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3.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4.xml" ContentType="application/vnd.openxmlformats-officedocument.themeOverride+xml"/>
  <Override PartName="/word/drawings/drawing4.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drawings/drawing5.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6.xml" ContentType="application/vnd.openxmlformats-officedocument.themeOverride+xml"/>
  <Override PartName="/word/drawings/drawing6.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7.xml" ContentType="application/vnd.openxmlformats-officedocument.themeOverride+xml"/>
  <Override PartName="/word/drawings/drawing7.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8.xml" ContentType="application/vnd.openxmlformats-officedocument.themeOverride+xml"/>
  <Override PartName="/word/drawings/drawing8.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9.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0.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6E732C" w14:textId="77777777" w:rsidR="00650851" w:rsidRPr="009D11AD" w:rsidRDefault="00650851" w:rsidP="001E782A">
      <w:pPr>
        <w:pStyle w:val="afd"/>
        <w:overflowPunct w:val="0"/>
        <w:rPr>
          <w:rFonts w:ascii="標楷體" w:hAnsi="標楷體"/>
          <w:color w:val="000000" w:themeColor="text1"/>
        </w:rPr>
      </w:pPr>
      <w:r w:rsidRPr="009D11AD">
        <w:rPr>
          <w:rFonts w:ascii="標楷體" w:hAnsi="標楷體" w:hint="eastAsia"/>
          <w:color w:val="000000" w:themeColor="text1"/>
        </w:rPr>
        <w:t>貳、行政院主管</w:t>
      </w:r>
    </w:p>
    <w:p w14:paraId="0C453707" w14:textId="733490CA" w:rsidR="00650851" w:rsidRPr="009D11AD" w:rsidRDefault="00F31B83" w:rsidP="001E782A">
      <w:pPr>
        <w:pStyle w:val="aff5"/>
        <w:overflowPunct w:val="0"/>
        <w:spacing w:line="410" w:lineRule="exact"/>
        <w:ind w:firstLine="480"/>
        <w:rPr>
          <w:rFonts w:hAnsi="標楷體"/>
          <w:color w:val="000000" w:themeColor="text1"/>
        </w:rPr>
      </w:pPr>
      <w:r w:rsidRPr="009D11AD">
        <w:rPr>
          <w:rFonts w:hAnsi="標楷體" w:hint="eastAsia"/>
          <w:color w:val="000000" w:themeColor="text1"/>
        </w:rPr>
        <w:t>行政院主管包括行政院、主計總處、人事行政總處、公務人力發展學院、國立故宮博物院、國家發展委員會、檔案管理局、原住民族委員會、原住民族文化發展中心、客家委員會及所屬、中央選舉委員會及所屬、公平交易委員會、國家通訊傳播委員會</w:t>
      </w:r>
      <w:r w:rsidR="00CB7CDB">
        <w:rPr>
          <w:rFonts w:hAnsi="標楷體" w:hint="eastAsia"/>
          <w:color w:val="000000" w:themeColor="text1"/>
        </w:rPr>
        <w:t>、大陸委員會、國家運輸安全調查委員會</w:t>
      </w:r>
      <w:r w:rsidRPr="009D11AD">
        <w:rPr>
          <w:rFonts w:hAnsi="標楷體" w:hint="eastAsia"/>
          <w:color w:val="000000" w:themeColor="text1"/>
        </w:rPr>
        <w:t>、不當黨產處理委員會、公共工程委員會等</w:t>
      </w:r>
      <w:r w:rsidR="00CB7CDB">
        <w:rPr>
          <w:rFonts w:hAnsi="標楷體" w:hint="eastAsia"/>
          <w:color w:val="000000" w:themeColor="text1"/>
        </w:rPr>
        <w:t>17</w:t>
      </w:r>
      <w:r w:rsidRPr="009D11AD">
        <w:rPr>
          <w:rFonts w:hAnsi="標楷體" w:hint="eastAsia"/>
          <w:color w:val="000000" w:themeColor="text1"/>
        </w:rPr>
        <w:t>個機關，掌理政策之審議及國家長期發展方向之策定，全國重要行政事務、歲計、會計、統計事宜，行政院所屬人事行政之政策規劃、執行及發展，國家古文物及藝術品之保管、研析、徵集與展覽，國家發展之規劃、協調、審議、資源分配業務，原住民族政策、制度、法規之擬訂、規劃及推動，客家文化之闡揚及研究，公職人員選舉、罷免事務之辦理及指揮監督，公平交易之政策擬訂及案件調查處分，通訊傳播監理政策、法令訂定及事業營運之監督管理</w:t>
      </w:r>
      <w:r w:rsidR="00CB7CDB">
        <w:rPr>
          <w:rFonts w:hAnsi="標楷體" w:hint="eastAsia"/>
          <w:color w:val="000000" w:themeColor="text1"/>
        </w:rPr>
        <w:t>，大陸政策之研究與規劃，重大運輸事故通報、調查、肇因鑑定及分析</w:t>
      </w:r>
      <w:r w:rsidRPr="009D11AD">
        <w:rPr>
          <w:rFonts w:hAnsi="標楷體" w:hint="eastAsia"/>
          <w:color w:val="000000" w:themeColor="text1"/>
        </w:rPr>
        <w:t>，政黨、附隨組織及其受託管理人不當取得財產之調查、返還，政府採購事務及公共工程政策之規劃、審議、協調及督導等業務。茲將11</w:t>
      </w:r>
      <w:r w:rsidR="00A03B2F">
        <w:rPr>
          <w:rFonts w:hAnsi="標楷體" w:hint="eastAsia"/>
          <w:color w:val="000000" w:themeColor="text1"/>
        </w:rPr>
        <w:t>2</w:t>
      </w:r>
      <w:r w:rsidRPr="009D11AD">
        <w:rPr>
          <w:rFonts w:hAnsi="標楷體" w:hint="eastAsia"/>
          <w:color w:val="000000" w:themeColor="text1"/>
        </w:rPr>
        <w:t>年度決算審核結果說明如次（</w:t>
      </w:r>
      <w:r w:rsidR="00895712" w:rsidRPr="00895712">
        <w:rPr>
          <w:rFonts w:hAnsi="標楷體" w:hint="eastAsia"/>
          <w:color w:val="000000" w:themeColor="text1"/>
        </w:rPr>
        <w:t>有關歲入、歲出決算之審定及各項差異之原因分析等詳細內容，請至審計部全球資訊網/總決算審核報告/總決算審核報告查詢平台查閱</w:t>
      </w:r>
      <w:r w:rsidRPr="009D11AD">
        <w:rPr>
          <w:rFonts w:hAnsi="標楷體" w:hint="eastAsia"/>
          <w:color w:val="000000" w:themeColor="text1"/>
        </w:rPr>
        <w:t>）：</w:t>
      </w:r>
    </w:p>
    <w:p w14:paraId="565CCB6D" w14:textId="77777777" w:rsidR="00650851" w:rsidRPr="009D11AD" w:rsidRDefault="00FE73F8" w:rsidP="001E782A">
      <w:pPr>
        <w:pStyle w:val="10"/>
        <w:overflowPunct w:val="0"/>
        <w:spacing w:beforeLines="20" w:before="72" w:afterLines="20" w:after="72" w:line="424" w:lineRule="exact"/>
        <w:ind w:firstLineChars="100" w:firstLine="320"/>
        <w:rPr>
          <w:rFonts w:ascii="標楷體" w:eastAsia="標楷體" w:hAnsi="標楷體"/>
          <w:b w:val="0"/>
          <w:color w:val="000000" w:themeColor="text1"/>
          <w:sz w:val="32"/>
          <w:szCs w:val="32"/>
        </w:rPr>
      </w:pPr>
      <w:r w:rsidRPr="009D11AD">
        <w:rPr>
          <w:rFonts w:ascii="標楷體" w:eastAsia="標楷體" w:hAnsi="標楷體" w:hint="eastAsia"/>
          <w:color w:val="000000" w:themeColor="text1"/>
          <w:sz w:val="32"/>
          <w:szCs w:val="32"/>
        </w:rPr>
        <w:t>一、</w:t>
      </w:r>
      <w:r w:rsidR="00650851" w:rsidRPr="009D11AD">
        <w:rPr>
          <w:rFonts w:ascii="標楷體" w:eastAsia="標楷體" w:hAnsi="標楷體" w:hint="eastAsia"/>
          <w:color w:val="000000" w:themeColor="text1"/>
          <w:sz w:val="32"/>
          <w:szCs w:val="32"/>
        </w:rPr>
        <w:t>計畫實施之查核</w:t>
      </w:r>
    </w:p>
    <w:p w14:paraId="40F5042B" w14:textId="46CAE9EC" w:rsidR="00A97FA8" w:rsidRPr="009D11AD" w:rsidRDefault="00650851" w:rsidP="001E782A">
      <w:pPr>
        <w:pStyle w:val="aff5"/>
        <w:overflowPunct w:val="0"/>
        <w:spacing w:line="410" w:lineRule="exact"/>
        <w:ind w:firstLine="480"/>
        <w:rPr>
          <w:rFonts w:hAnsi="標楷體"/>
          <w:color w:val="000000" w:themeColor="text1"/>
        </w:rPr>
      </w:pPr>
      <w:r w:rsidRPr="009D11AD">
        <w:rPr>
          <w:rFonts w:hAnsi="標楷體" w:hint="eastAsia"/>
          <w:color w:val="000000" w:themeColor="text1"/>
        </w:rPr>
        <w:t>業務計畫</w:t>
      </w:r>
      <w:r w:rsidR="001F6A01">
        <w:rPr>
          <w:rFonts w:hAnsi="標楷體" w:hint="eastAsia"/>
          <w:color w:val="000000" w:themeColor="text1"/>
        </w:rPr>
        <w:t>104</w:t>
      </w:r>
      <w:r w:rsidRPr="009D11AD">
        <w:rPr>
          <w:rFonts w:hAnsi="標楷體" w:hint="eastAsia"/>
          <w:color w:val="000000" w:themeColor="text1"/>
        </w:rPr>
        <w:t>項，下分工作計畫</w:t>
      </w:r>
      <w:r w:rsidR="001F6A01">
        <w:rPr>
          <w:rFonts w:hAnsi="標楷體" w:hint="eastAsia"/>
          <w:color w:val="000000" w:themeColor="text1"/>
        </w:rPr>
        <w:t>113</w:t>
      </w:r>
      <w:r w:rsidRPr="009D11AD">
        <w:rPr>
          <w:rFonts w:hAnsi="標楷體" w:hint="eastAsia"/>
          <w:color w:val="000000" w:themeColor="text1"/>
        </w:rPr>
        <w:t>項，</w:t>
      </w:r>
      <w:r w:rsidR="00B2080E" w:rsidRPr="009D11AD">
        <w:rPr>
          <w:rFonts w:hAnsi="標楷體" w:hint="eastAsia"/>
          <w:color w:val="000000" w:themeColor="text1"/>
        </w:rPr>
        <w:t>包括</w:t>
      </w:r>
      <w:r w:rsidR="00F06D48" w:rsidRPr="009D11AD">
        <w:rPr>
          <w:rFonts w:hAnsi="標楷體" w:hint="eastAsia"/>
          <w:color w:val="000000" w:themeColor="text1"/>
        </w:rPr>
        <w:t>國土安全、災害防救、消費者保護等政策之規劃、推動、督導</w:t>
      </w:r>
      <w:r w:rsidR="00214FE6" w:rsidRPr="009D11AD">
        <w:rPr>
          <w:rFonts w:hAnsi="標楷體" w:hint="eastAsia"/>
          <w:color w:val="000000" w:themeColor="text1"/>
        </w:rPr>
        <w:t>，</w:t>
      </w:r>
      <w:r w:rsidR="00721AB5" w:rsidRPr="009D11AD">
        <w:rPr>
          <w:rFonts w:hAnsi="標楷體" w:hint="eastAsia"/>
        </w:rPr>
        <w:t>研擬經濟政策、協調推動財經措施、促進產業發展</w:t>
      </w:r>
      <w:r w:rsidR="002D55C7" w:rsidRPr="009D11AD">
        <w:rPr>
          <w:rFonts w:hAnsi="標楷體" w:hint="eastAsia"/>
        </w:rPr>
        <w:t>，</w:t>
      </w:r>
      <w:r w:rsidR="00137B95" w:rsidRPr="009D11AD">
        <w:rPr>
          <w:rFonts w:hAnsi="標楷體" w:hint="eastAsia"/>
        </w:rPr>
        <w:t>健全政府會計制度、</w:t>
      </w:r>
      <w:r w:rsidR="0036390D" w:rsidRPr="009D11AD">
        <w:rPr>
          <w:rFonts w:hAnsi="標楷體" w:hint="eastAsia"/>
        </w:rPr>
        <w:t>發揮內部控制功能</w:t>
      </w:r>
      <w:r w:rsidR="00B4256D" w:rsidRPr="009D11AD">
        <w:rPr>
          <w:rFonts w:hAnsi="標楷體" w:hint="eastAsia"/>
        </w:rPr>
        <w:t>，</w:t>
      </w:r>
      <w:r w:rsidR="00B263FA" w:rsidRPr="009D11AD">
        <w:rPr>
          <w:rFonts w:hAnsi="標楷體" w:hint="eastAsia"/>
        </w:rPr>
        <w:t>推動公務人才培育</w:t>
      </w:r>
      <w:r w:rsidR="00302D62" w:rsidRPr="009D11AD">
        <w:rPr>
          <w:rFonts w:hAnsi="標楷體" w:hint="eastAsia"/>
        </w:rPr>
        <w:t>，</w:t>
      </w:r>
      <w:r w:rsidR="00DF204B" w:rsidRPr="009D11AD">
        <w:rPr>
          <w:rFonts w:hAnsi="標楷體" w:hint="eastAsia"/>
        </w:rPr>
        <w:t>強化</w:t>
      </w:r>
      <w:r w:rsidR="00E82220" w:rsidRPr="009D11AD">
        <w:rPr>
          <w:rFonts w:hAnsi="標楷體" w:hint="eastAsia"/>
        </w:rPr>
        <w:t>文物安全、管理與修護，</w:t>
      </w:r>
      <w:r w:rsidR="00AC07D1" w:rsidRPr="009D11AD">
        <w:rPr>
          <w:rFonts w:hAnsi="標楷體" w:hint="eastAsia"/>
        </w:rPr>
        <w:t>推動</w:t>
      </w:r>
      <w:r w:rsidR="00AC07D1" w:rsidRPr="009D11AD">
        <w:rPr>
          <w:rFonts w:hAnsi="標楷體"/>
        </w:rPr>
        <w:t>原住民族經濟產業發展</w:t>
      </w:r>
      <w:r w:rsidR="00AC07D1" w:rsidRPr="009D11AD">
        <w:rPr>
          <w:rFonts w:hAnsi="標楷體" w:hint="eastAsia"/>
        </w:rPr>
        <w:t>、強化民族教育體系暨保障原住民族語言發展</w:t>
      </w:r>
      <w:r w:rsidR="00B263FA" w:rsidRPr="009D11AD">
        <w:rPr>
          <w:rFonts w:hAnsi="標楷體" w:hint="eastAsia"/>
        </w:rPr>
        <w:t>，</w:t>
      </w:r>
      <w:r w:rsidR="00A31813" w:rsidRPr="009D11AD">
        <w:rPr>
          <w:rFonts w:hAnsi="標楷體" w:hint="eastAsia"/>
        </w:rPr>
        <w:t>建立客語推廣機制</w:t>
      </w:r>
      <w:r w:rsidR="0084062C">
        <w:rPr>
          <w:rFonts w:hAnsi="標楷體" w:hint="eastAsia"/>
        </w:rPr>
        <w:t>、</w:t>
      </w:r>
      <w:r w:rsidR="00A31813" w:rsidRPr="009D11AD">
        <w:rPr>
          <w:rFonts w:hAnsi="標楷體" w:hint="eastAsia"/>
        </w:rPr>
        <w:t>創新客家文化產業價值</w:t>
      </w:r>
      <w:r w:rsidR="00125E9E" w:rsidRPr="009D11AD">
        <w:rPr>
          <w:rFonts w:hAnsi="標楷體" w:hint="eastAsia"/>
        </w:rPr>
        <w:t>，</w:t>
      </w:r>
      <w:r w:rsidR="00007940" w:rsidRPr="009D11AD">
        <w:rPr>
          <w:rFonts w:hAnsi="標楷體" w:hint="eastAsia"/>
        </w:rPr>
        <w:t>查處妨礙市場競爭行為，</w:t>
      </w:r>
      <w:r w:rsidR="00741B1B" w:rsidRPr="009D11AD">
        <w:rPr>
          <w:rFonts w:hAnsi="標楷體" w:hint="eastAsia"/>
        </w:rPr>
        <w:t>通訊傳播監理</w:t>
      </w:r>
      <w:r w:rsidR="004A0211" w:rsidRPr="009D11AD">
        <w:rPr>
          <w:rFonts w:hAnsi="標楷體" w:hint="eastAsia"/>
        </w:rPr>
        <w:t>政策、法令訂定及事業營運之監督管理</w:t>
      </w:r>
      <w:r w:rsidR="00F115FB" w:rsidRPr="009D11AD">
        <w:rPr>
          <w:rFonts w:hAnsi="標楷體" w:hint="eastAsia"/>
          <w:color w:val="000000" w:themeColor="text1"/>
        </w:rPr>
        <w:t>，</w:t>
      </w:r>
      <w:r w:rsidR="00273A15" w:rsidRPr="009D11AD">
        <w:rPr>
          <w:rFonts w:hAnsi="標楷體" w:hint="eastAsia"/>
          <w:color w:val="000000" w:themeColor="text1"/>
        </w:rPr>
        <w:t>推動兩岸制度化協商、深化兩岸經貿</w:t>
      </w:r>
      <w:r w:rsidR="00137B95" w:rsidRPr="009D11AD">
        <w:rPr>
          <w:rFonts w:hAnsi="標楷體" w:hint="eastAsia"/>
          <w:color w:val="000000" w:themeColor="text1"/>
        </w:rPr>
        <w:t>交流</w:t>
      </w:r>
      <w:r w:rsidR="00273A15" w:rsidRPr="009D11AD">
        <w:rPr>
          <w:rFonts w:hAnsi="標楷體" w:hint="eastAsia"/>
          <w:color w:val="000000" w:themeColor="text1"/>
        </w:rPr>
        <w:t>及合作</w:t>
      </w:r>
      <w:r w:rsidR="000128D6" w:rsidRPr="009D11AD">
        <w:rPr>
          <w:rFonts w:hAnsi="標楷體" w:hint="eastAsia"/>
          <w:color w:val="000000" w:themeColor="text1"/>
        </w:rPr>
        <w:t>，受理政黨</w:t>
      </w:r>
      <w:r w:rsidR="00125E9E" w:rsidRPr="009D11AD">
        <w:rPr>
          <w:rFonts w:hAnsi="標楷體" w:hint="eastAsia"/>
          <w:color w:val="000000" w:themeColor="text1"/>
        </w:rPr>
        <w:t>、附隨組織等財產申報並界定其</w:t>
      </w:r>
      <w:r w:rsidR="005E79D1" w:rsidRPr="009D11AD">
        <w:rPr>
          <w:rFonts w:hAnsi="標楷體" w:hint="eastAsia"/>
          <w:color w:val="000000" w:themeColor="text1"/>
        </w:rPr>
        <w:t>財產範圍，</w:t>
      </w:r>
      <w:r w:rsidR="00302D62" w:rsidRPr="009D11AD">
        <w:rPr>
          <w:rFonts w:hAnsi="標楷體" w:hint="eastAsia"/>
          <w:color w:val="000000" w:themeColor="text1"/>
        </w:rPr>
        <w:t>積極推動各項重大公共建設計畫</w:t>
      </w:r>
      <w:r w:rsidR="00137B95" w:rsidRPr="009D11AD">
        <w:rPr>
          <w:rFonts w:hAnsi="標楷體" w:hint="eastAsia"/>
          <w:color w:val="000000" w:themeColor="text1"/>
        </w:rPr>
        <w:t>等</w:t>
      </w:r>
      <w:r w:rsidR="00B2080E" w:rsidRPr="009D11AD">
        <w:rPr>
          <w:rFonts w:hAnsi="標楷體" w:hint="eastAsia"/>
          <w:color w:val="000000" w:themeColor="text1"/>
        </w:rPr>
        <w:t>重要施政項目，</w:t>
      </w:r>
      <w:r w:rsidR="00AB271A" w:rsidRPr="009D11AD">
        <w:rPr>
          <w:rFonts w:hAnsi="標楷體" w:hint="eastAsia"/>
          <w:color w:val="000000" w:themeColor="text1"/>
        </w:rPr>
        <w:t>其</w:t>
      </w:r>
      <w:r w:rsidRPr="009D11AD">
        <w:rPr>
          <w:rFonts w:hAnsi="標楷體" w:hint="eastAsia"/>
          <w:color w:val="000000" w:themeColor="text1"/>
        </w:rPr>
        <w:t>中已執行完成者</w:t>
      </w:r>
      <w:r w:rsidR="00BC44D1">
        <w:rPr>
          <w:rFonts w:hAnsi="標楷體" w:hint="eastAsia"/>
          <w:color w:val="000000" w:themeColor="text1"/>
        </w:rPr>
        <w:t>66</w:t>
      </w:r>
      <w:r w:rsidRPr="009D11AD">
        <w:rPr>
          <w:rFonts w:hAnsi="標楷體" w:hint="eastAsia"/>
          <w:color w:val="000000" w:themeColor="text1"/>
        </w:rPr>
        <w:t>項，尚在執行者</w:t>
      </w:r>
      <w:r w:rsidR="00092A3B" w:rsidRPr="009D11AD">
        <w:rPr>
          <w:rFonts w:hAnsi="標楷體" w:hint="eastAsia"/>
          <w:color w:val="000000" w:themeColor="text1"/>
        </w:rPr>
        <w:t>4</w:t>
      </w:r>
      <w:r w:rsidR="00BC44D1">
        <w:rPr>
          <w:rFonts w:hAnsi="標楷體" w:hint="eastAsia"/>
          <w:color w:val="000000" w:themeColor="text1"/>
        </w:rPr>
        <w:t>5</w:t>
      </w:r>
      <w:r w:rsidRPr="009D11AD">
        <w:rPr>
          <w:rFonts w:hAnsi="標楷體" w:hint="eastAsia"/>
          <w:color w:val="000000" w:themeColor="text1"/>
        </w:rPr>
        <w:t>項，</w:t>
      </w:r>
      <w:r w:rsidRPr="008C7401">
        <w:rPr>
          <w:rFonts w:hAnsi="標楷體" w:hint="eastAsia"/>
          <w:color w:val="000000" w:themeColor="text1"/>
        </w:rPr>
        <w:t>主要係</w:t>
      </w:r>
      <w:r w:rsidR="00092A3B" w:rsidRPr="008C7401">
        <w:rPr>
          <w:rFonts w:hAnsi="標楷體" w:hint="eastAsia"/>
          <w:color w:val="000000" w:themeColor="text1"/>
        </w:rPr>
        <w:t>原住民族委員會</w:t>
      </w:r>
      <w:r w:rsidR="00AC4C86">
        <w:rPr>
          <w:rFonts w:hAnsi="標楷體" w:hint="eastAsia"/>
          <w:color w:val="000000" w:themeColor="text1"/>
        </w:rPr>
        <w:t>捐</w:t>
      </w:r>
      <w:r w:rsidR="00BC44D1" w:rsidRPr="008C7401">
        <w:rPr>
          <w:rFonts w:hAnsi="標楷體" w:hint="eastAsia"/>
          <w:color w:val="000000" w:themeColor="text1"/>
        </w:rPr>
        <w:t>助財團法人原住民族文化事業基金會及財團法人原住民族語言研究發展基金會「永久會址興建」</w:t>
      </w:r>
      <w:r w:rsidR="0084062C">
        <w:rPr>
          <w:rFonts w:hAnsi="標楷體" w:hint="eastAsia"/>
          <w:color w:val="000000" w:themeColor="text1"/>
        </w:rPr>
        <w:t>等</w:t>
      </w:r>
      <w:r w:rsidR="00BC44D1" w:rsidRPr="008C7401">
        <w:rPr>
          <w:rFonts w:hAnsi="標楷體" w:hint="eastAsia"/>
          <w:color w:val="000000" w:themeColor="text1"/>
        </w:rPr>
        <w:t>計畫</w:t>
      </w:r>
      <w:r w:rsidR="0084062C">
        <w:rPr>
          <w:rFonts w:hAnsi="標楷體" w:hint="eastAsia"/>
          <w:color w:val="000000" w:themeColor="text1"/>
        </w:rPr>
        <w:t>，尚在執行</w:t>
      </w:r>
      <w:r w:rsidR="00392C56" w:rsidRPr="008C7401">
        <w:rPr>
          <w:rFonts w:hAnsi="標楷體" w:hint="eastAsia"/>
          <w:color w:val="000000" w:themeColor="text1"/>
        </w:rPr>
        <w:t>；</w:t>
      </w:r>
      <w:r w:rsidR="00BC44D1" w:rsidRPr="008C7401">
        <w:rPr>
          <w:rFonts w:hAnsi="標楷體" w:hint="eastAsia"/>
          <w:color w:val="000000" w:themeColor="text1"/>
        </w:rPr>
        <w:t>中央選舉委員會及所屬辦理第16任總統副總統及第11屆立法委員選舉</w:t>
      </w:r>
      <w:r w:rsidR="0084062C">
        <w:rPr>
          <w:rFonts w:hAnsi="標楷體" w:hint="eastAsia"/>
          <w:color w:val="000000" w:themeColor="text1"/>
        </w:rPr>
        <w:t>，相關經費須依各項選務工作程序支用等</w:t>
      </w:r>
      <w:r w:rsidR="00895FDE" w:rsidRPr="008C7401">
        <w:rPr>
          <w:rFonts w:hAnsi="標楷體" w:hint="eastAsia"/>
          <w:color w:val="000000" w:themeColor="text1"/>
        </w:rPr>
        <w:t>。</w:t>
      </w:r>
      <w:r w:rsidR="009A73B5" w:rsidRPr="008C7401">
        <w:rPr>
          <w:rFonts w:hAnsi="標楷體" w:hint="eastAsia"/>
          <w:color w:val="000000" w:themeColor="text1"/>
        </w:rPr>
        <w:t>未</w:t>
      </w:r>
      <w:r w:rsidR="009A73B5" w:rsidRPr="009D11AD">
        <w:rPr>
          <w:rFonts w:hAnsi="標楷體" w:hint="eastAsia"/>
          <w:color w:val="000000" w:themeColor="text1"/>
        </w:rPr>
        <w:t>執行者</w:t>
      </w:r>
      <w:r w:rsidR="00B7411F">
        <w:rPr>
          <w:rFonts w:hAnsi="標楷體" w:hint="eastAsia"/>
          <w:color w:val="000000" w:themeColor="text1"/>
        </w:rPr>
        <w:t>2</w:t>
      </w:r>
      <w:r w:rsidR="009A73B5" w:rsidRPr="009D11AD">
        <w:rPr>
          <w:rFonts w:hAnsi="標楷體" w:hint="eastAsia"/>
          <w:color w:val="000000" w:themeColor="text1"/>
        </w:rPr>
        <w:t>項，</w:t>
      </w:r>
      <w:r w:rsidR="005D749F" w:rsidRPr="009D11AD">
        <w:rPr>
          <w:rFonts w:hAnsi="標楷體" w:hint="eastAsia"/>
          <w:color w:val="000000" w:themeColor="text1"/>
        </w:rPr>
        <w:t>係</w:t>
      </w:r>
      <w:r w:rsidR="00B51BBD" w:rsidRPr="009D11AD">
        <w:rPr>
          <w:rFonts w:hAnsi="標楷體" w:hint="eastAsia"/>
          <w:color w:val="000000" w:themeColor="text1"/>
        </w:rPr>
        <w:t>行政院</w:t>
      </w:r>
      <w:r w:rsidR="005D749F" w:rsidRPr="009D11AD">
        <w:rPr>
          <w:rFonts w:hAnsi="標楷體" w:hint="eastAsia"/>
          <w:color w:val="000000" w:themeColor="text1"/>
        </w:rPr>
        <w:t>人事行政總處</w:t>
      </w:r>
      <w:r w:rsidR="00B7411F" w:rsidRPr="00B7411F">
        <w:rPr>
          <w:rFonts w:hAnsi="標楷體" w:hint="eastAsia"/>
          <w:color w:val="000000" w:themeColor="text1"/>
        </w:rPr>
        <w:t>之執行職務意外傷亡慰問給付及公教員工資遣退職給付，因各機關無申請案件，爰均未執行。</w:t>
      </w:r>
    </w:p>
    <w:p w14:paraId="12ADAADC" w14:textId="77777777" w:rsidR="00650851" w:rsidRPr="009D11AD" w:rsidRDefault="00FE73F8" w:rsidP="001E782A">
      <w:pPr>
        <w:pStyle w:val="10"/>
        <w:overflowPunct w:val="0"/>
        <w:spacing w:beforeLines="20" w:before="72" w:afterLines="20" w:after="72" w:line="424" w:lineRule="exact"/>
        <w:ind w:firstLineChars="100" w:firstLine="320"/>
        <w:rPr>
          <w:rFonts w:ascii="標楷體" w:eastAsia="標楷體" w:hAnsi="標楷體"/>
          <w:color w:val="000000" w:themeColor="text1"/>
          <w:sz w:val="32"/>
          <w:szCs w:val="32"/>
        </w:rPr>
      </w:pPr>
      <w:r w:rsidRPr="009D11AD">
        <w:rPr>
          <w:rFonts w:ascii="標楷體" w:eastAsia="標楷體" w:hAnsi="標楷體" w:hint="eastAsia"/>
          <w:color w:val="000000" w:themeColor="text1"/>
          <w:sz w:val="32"/>
          <w:szCs w:val="32"/>
        </w:rPr>
        <w:t>二、</w:t>
      </w:r>
      <w:r w:rsidR="00650851" w:rsidRPr="009D11AD">
        <w:rPr>
          <w:rFonts w:ascii="標楷體" w:eastAsia="標楷體" w:hAnsi="標楷體" w:hint="eastAsia"/>
          <w:color w:val="000000" w:themeColor="text1"/>
          <w:sz w:val="32"/>
          <w:szCs w:val="32"/>
        </w:rPr>
        <w:t>預算執行之審核</w:t>
      </w:r>
    </w:p>
    <w:p w14:paraId="2B80671B" w14:textId="567ACB70" w:rsidR="0019529A" w:rsidRPr="009D11AD" w:rsidRDefault="009876C8" w:rsidP="001E782A">
      <w:pPr>
        <w:pStyle w:val="13"/>
        <w:overflowPunct w:val="0"/>
        <w:spacing w:line="416" w:lineRule="exact"/>
        <w:ind w:firstLineChars="200" w:firstLine="480"/>
        <w:rPr>
          <w:rFonts w:hAnsi="標楷體"/>
          <w:color w:val="000000" w:themeColor="text1"/>
        </w:rPr>
      </w:pPr>
      <w:r>
        <w:rPr>
          <w:rFonts w:hAnsi="標楷體" w:hint="eastAsia"/>
          <w:color w:val="000000" w:themeColor="text1"/>
        </w:rPr>
        <w:t>（一）</w:t>
      </w:r>
      <w:r w:rsidR="00650851" w:rsidRPr="009D11AD">
        <w:rPr>
          <w:rFonts w:hAnsi="標楷體" w:hint="eastAsia"/>
          <w:color w:val="000000" w:themeColor="text1"/>
        </w:rPr>
        <w:t xml:space="preserve">　</w:t>
      </w:r>
      <w:r w:rsidR="003E1CB0" w:rsidRPr="003E1CB0">
        <w:rPr>
          <w:rFonts w:hAnsi="標楷體" w:hint="eastAsia"/>
          <w:color w:val="000000" w:themeColor="text1"/>
        </w:rPr>
        <w:t>歲入預算數1,966億8,027萬餘元，決算審核結果，修正增列應收保留數1,081萬餘元</w:t>
      </w:r>
      <w:r w:rsidR="00A457C7" w:rsidRPr="00A457C7">
        <w:rPr>
          <w:rFonts w:hAnsi="標楷體" w:hint="eastAsia"/>
          <w:color w:val="000000" w:themeColor="text1"/>
        </w:rPr>
        <w:t>，係應收中央銀行繳庫股息紅利；</w:t>
      </w:r>
      <w:r w:rsidR="003E1CB0" w:rsidRPr="003E1CB0">
        <w:rPr>
          <w:rFonts w:hAnsi="標楷體" w:hint="eastAsia"/>
          <w:color w:val="000000" w:themeColor="text1"/>
        </w:rPr>
        <w:t>審定實現數1,967億3,443萬餘元，應收保留數2,645萬餘元</w:t>
      </w:r>
      <w:r w:rsidR="00A457C7" w:rsidRPr="00A457C7">
        <w:rPr>
          <w:rFonts w:hAnsi="標楷體" w:hint="eastAsia"/>
          <w:color w:val="000000" w:themeColor="text1"/>
        </w:rPr>
        <w:t>，主要係應收中央銀行繳庫股息紅利</w:t>
      </w:r>
      <w:r w:rsidR="00A457C7">
        <w:rPr>
          <w:rFonts w:hAnsi="標楷體" w:hint="eastAsia"/>
          <w:color w:val="000000" w:themeColor="text1"/>
        </w:rPr>
        <w:t>及</w:t>
      </w:r>
      <w:r w:rsidR="00A457C7" w:rsidRPr="00A457C7">
        <w:rPr>
          <w:rFonts w:hAnsi="標楷體" w:hint="eastAsia"/>
          <w:color w:val="000000" w:themeColor="text1"/>
        </w:rPr>
        <w:t>國家通訊傳播委員會核處之罰鍰；</w:t>
      </w:r>
      <w:r w:rsidR="003E1CB0" w:rsidRPr="003E1CB0">
        <w:rPr>
          <w:rFonts w:hAnsi="標楷體" w:hint="eastAsia"/>
          <w:color w:val="000000" w:themeColor="text1"/>
        </w:rPr>
        <w:t>合計決算審定數1,967億6,088萬餘元，較預算增加8,061萬餘元（0.04％），主要係</w:t>
      </w:r>
      <w:r w:rsidR="00A457C7" w:rsidRPr="00A457C7">
        <w:rPr>
          <w:rFonts w:hAnsi="標楷體" w:hint="eastAsia"/>
          <w:color w:val="000000" w:themeColor="text1"/>
        </w:rPr>
        <w:t>國立故宮</w:t>
      </w:r>
      <w:r w:rsidR="00A457C7">
        <w:rPr>
          <w:rFonts w:hAnsi="標楷體" w:hint="eastAsia"/>
          <w:color w:val="000000" w:themeColor="text1"/>
        </w:rPr>
        <w:t>博物院門票收</w:t>
      </w:r>
      <w:r w:rsidR="00A457C7">
        <w:rPr>
          <w:rFonts w:hAnsi="標楷體" w:hint="eastAsia"/>
          <w:color w:val="000000" w:themeColor="text1"/>
        </w:rPr>
        <w:lastRenderedPageBreak/>
        <w:t>入</w:t>
      </w:r>
      <w:r w:rsidR="007A3D85">
        <w:rPr>
          <w:rFonts w:hAnsi="標楷體" w:hint="eastAsia"/>
          <w:color w:val="000000" w:themeColor="text1"/>
        </w:rPr>
        <w:t>及國家通訊傳播委員會核處之罰鍰等</w:t>
      </w:r>
      <w:r w:rsidR="00A457C7">
        <w:rPr>
          <w:rFonts w:hAnsi="標楷體" w:hint="eastAsia"/>
          <w:color w:val="000000" w:themeColor="text1"/>
        </w:rPr>
        <w:t>較預計增加</w:t>
      </w:r>
      <w:r w:rsidR="007A3D85">
        <w:rPr>
          <w:rFonts w:hAnsi="標楷體" w:hint="eastAsia"/>
          <w:color w:val="000000" w:themeColor="text1"/>
        </w:rPr>
        <w:t>，及公平交易委員會核處之罰鍰較預計減少等增減互抵所致</w:t>
      </w:r>
      <w:r w:rsidR="003E1CB0" w:rsidRPr="003E1CB0">
        <w:rPr>
          <w:rFonts w:hAnsi="標楷體" w:hint="eastAsia"/>
          <w:color w:val="000000" w:themeColor="text1"/>
        </w:rPr>
        <w:t>。</w:t>
      </w:r>
    </w:p>
    <w:p w14:paraId="78003E96" w14:textId="1613C82A" w:rsidR="0019529A" w:rsidRPr="009D11AD" w:rsidRDefault="009876C8" w:rsidP="001E782A">
      <w:pPr>
        <w:pStyle w:val="13"/>
        <w:overflowPunct w:val="0"/>
        <w:spacing w:line="416" w:lineRule="exact"/>
        <w:ind w:firstLineChars="200" w:firstLine="480"/>
        <w:rPr>
          <w:rFonts w:hAnsi="標楷體"/>
          <w:color w:val="000000" w:themeColor="text1"/>
        </w:rPr>
      </w:pPr>
      <w:r w:rsidRPr="0075163D">
        <w:rPr>
          <w:rFonts w:hAnsi="標楷體" w:hint="eastAsia"/>
          <w:color w:val="000000" w:themeColor="text1"/>
        </w:rPr>
        <w:t>（二）</w:t>
      </w:r>
      <w:r w:rsidR="00650851" w:rsidRPr="0075163D">
        <w:rPr>
          <w:rFonts w:hAnsi="標楷體" w:hint="eastAsia"/>
          <w:color w:val="000000" w:themeColor="text1"/>
        </w:rPr>
        <w:t xml:space="preserve">　以前</w:t>
      </w:r>
      <w:r w:rsidR="00650851" w:rsidRPr="009D11AD">
        <w:rPr>
          <w:rFonts w:hAnsi="標楷體" w:hint="eastAsia"/>
          <w:color w:val="000000" w:themeColor="text1"/>
        </w:rPr>
        <w:t>年度歲入轉入數計</w:t>
      </w:r>
      <w:r w:rsidR="0075163D" w:rsidRPr="00C7313B">
        <w:rPr>
          <w:rFonts w:hAnsi="標楷體"/>
          <w:kern w:val="0"/>
        </w:rPr>
        <w:t>1億4,752萬餘元</w:t>
      </w:r>
      <w:r w:rsidR="00650851" w:rsidRPr="009D11AD">
        <w:rPr>
          <w:rFonts w:hAnsi="標楷體" w:hint="eastAsia"/>
          <w:color w:val="000000" w:themeColor="text1"/>
        </w:rPr>
        <w:t>，決算審核結果，審定實現數</w:t>
      </w:r>
      <w:r w:rsidR="0075163D" w:rsidRPr="00C7313B">
        <w:rPr>
          <w:rFonts w:hAnsi="標楷體"/>
          <w:kern w:val="0"/>
        </w:rPr>
        <w:t>6,878萬餘元（46.62％）</w:t>
      </w:r>
      <w:r w:rsidR="00650851" w:rsidRPr="009D11AD">
        <w:rPr>
          <w:rFonts w:hAnsi="標楷體" w:hint="eastAsia"/>
          <w:color w:val="000000" w:themeColor="text1"/>
        </w:rPr>
        <w:t>；減免</w:t>
      </w:r>
      <w:r w:rsidR="00DF204B" w:rsidRPr="009D11AD">
        <w:rPr>
          <w:rFonts w:hAnsi="標楷體" w:hint="eastAsia"/>
          <w:color w:val="000000" w:themeColor="text1"/>
        </w:rPr>
        <w:t>（註銷）</w:t>
      </w:r>
      <w:r w:rsidR="00650851" w:rsidRPr="009D11AD">
        <w:rPr>
          <w:rFonts w:hAnsi="標楷體" w:hint="eastAsia"/>
          <w:color w:val="000000" w:themeColor="text1"/>
        </w:rPr>
        <w:t>數</w:t>
      </w:r>
      <w:r w:rsidR="0075163D" w:rsidRPr="00C7313B">
        <w:rPr>
          <w:rFonts w:hAnsi="標楷體"/>
          <w:kern w:val="0"/>
        </w:rPr>
        <w:t>321萬餘元（2.18％）</w:t>
      </w:r>
      <w:r w:rsidR="003A544B" w:rsidRPr="009D11AD">
        <w:rPr>
          <w:rFonts w:hAnsi="標楷體" w:hint="eastAsia"/>
          <w:color w:val="000000" w:themeColor="text1"/>
        </w:rPr>
        <w:t>，主要</w:t>
      </w:r>
      <w:r w:rsidR="003A544B" w:rsidRPr="009D11AD">
        <w:rPr>
          <w:rFonts w:hAnsi="標楷體"/>
          <w:color w:val="000000" w:themeColor="text1"/>
        </w:rPr>
        <w:t>係公平交易委員會應收違反公平交易相關法規案件之罰鍰，移送行政執行取得債權憑證，經核定註銷</w:t>
      </w:r>
      <w:r w:rsidR="00650851" w:rsidRPr="009D11AD">
        <w:rPr>
          <w:rFonts w:hAnsi="標楷體" w:hint="eastAsia"/>
          <w:color w:val="000000" w:themeColor="text1"/>
        </w:rPr>
        <w:t>；應收保留數</w:t>
      </w:r>
      <w:r w:rsidR="0075163D" w:rsidRPr="00C7313B">
        <w:rPr>
          <w:rFonts w:hAnsi="標楷體"/>
          <w:kern w:val="0"/>
        </w:rPr>
        <w:t>7,553萬餘元（51.20％）</w:t>
      </w:r>
      <w:r w:rsidR="00650851" w:rsidRPr="009D11AD">
        <w:rPr>
          <w:rFonts w:hAnsi="標楷體" w:hint="eastAsia"/>
          <w:color w:val="000000" w:themeColor="text1"/>
        </w:rPr>
        <w:t>，主要係</w:t>
      </w:r>
      <w:r w:rsidR="00004A85" w:rsidRPr="009D11AD">
        <w:rPr>
          <w:rFonts w:hAnsi="標楷體" w:hint="eastAsia"/>
          <w:color w:val="000000" w:themeColor="text1"/>
        </w:rPr>
        <w:t>國家通訊傳播委員會以前年度核處之罰鍰及</w:t>
      </w:r>
      <w:r w:rsidR="00E40389" w:rsidRPr="009D11AD">
        <w:rPr>
          <w:rFonts w:hAnsi="標楷體" w:hint="eastAsia"/>
          <w:color w:val="000000" w:themeColor="text1"/>
        </w:rPr>
        <w:t>通訊傳播業務許可費</w:t>
      </w:r>
      <w:r w:rsidR="00004A85" w:rsidRPr="009D11AD">
        <w:rPr>
          <w:rFonts w:hAnsi="標楷體" w:hint="eastAsia"/>
          <w:color w:val="000000" w:themeColor="text1"/>
        </w:rPr>
        <w:t>等</w:t>
      </w:r>
      <w:r w:rsidR="00650851" w:rsidRPr="009D11AD">
        <w:rPr>
          <w:rFonts w:hAnsi="標楷體" w:hint="eastAsia"/>
          <w:color w:val="000000" w:themeColor="text1"/>
        </w:rPr>
        <w:t>，尚待繼續收取。</w:t>
      </w:r>
    </w:p>
    <w:p w14:paraId="3C6E0125" w14:textId="6BD6C457" w:rsidR="000B715E" w:rsidRPr="003C7CC8" w:rsidRDefault="009876C8" w:rsidP="001E782A">
      <w:pPr>
        <w:pStyle w:val="13"/>
        <w:overflowPunct w:val="0"/>
        <w:spacing w:line="416" w:lineRule="exact"/>
        <w:ind w:firstLineChars="200" w:firstLine="480"/>
        <w:rPr>
          <w:rFonts w:hAnsi="標楷體"/>
          <w:color w:val="000000" w:themeColor="text1"/>
        </w:rPr>
      </w:pPr>
      <w:r w:rsidRPr="007E6F85">
        <w:rPr>
          <w:rFonts w:hAnsi="標楷體" w:hint="eastAsia"/>
          <w:color w:val="000000" w:themeColor="text1"/>
        </w:rPr>
        <w:t>（三）</w:t>
      </w:r>
      <w:r w:rsidR="00650851" w:rsidRPr="007E6F85">
        <w:rPr>
          <w:rFonts w:hAnsi="標楷體" w:hint="eastAsia"/>
          <w:color w:val="000000" w:themeColor="text1"/>
        </w:rPr>
        <w:t xml:space="preserve">　歲出原編</w:t>
      </w:r>
      <w:r w:rsidR="00650851" w:rsidRPr="009D11AD">
        <w:rPr>
          <w:rFonts w:hAnsi="標楷體" w:hint="eastAsia"/>
          <w:color w:val="000000" w:themeColor="text1"/>
        </w:rPr>
        <w:t>列預算數</w:t>
      </w:r>
      <w:r w:rsidR="006057BC" w:rsidRPr="00C7313B">
        <w:rPr>
          <w:rFonts w:hAnsi="標楷體"/>
          <w:kern w:val="0"/>
        </w:rPr>
        <w:t>297億6,703萬餘元</w:t>
      </w:r>
      <w:r w:rsidR="00650851" w:rsidRPr="009D11AD">
        <w:rPr>
          <w:rFonts w:hAnsi="標楷體" w:hint="eastAsia"/>
          <w:color w:val="000000" w:themeColor="text1"/>
        </w:rPr>
        <w:t>，</w:t>
      </w:r>
      <w:r w:rsidR="00F31B83" w:rsidRPr="009D11AD">
        <w:rPr>
          <w:rFonts w:hAnsi="標楷體" w:hint="eastAsia"/>
          <w:color w:val="000000" w:themeColor="text1"/>
        </w:rPr>
        <w:t>因</w:t>
      </w:r>
      <w:r w:rsidR="00E766CA" w:rsidRPr="00E766CA">
        <w:rPr>
          <w:rFonts w:hAnsi="標楷體" w:hint="eastAsia"/>
          <w:color w:val="000000" w:themeColor="text1"/>
        </w:rPr>
        <w:t>行政院</w:t>
      </w:r>
      <w:r w:rsidR="00E766CA">
        <w:rPr>
          <w:rFonts w:hAnsi="標楷體" w:hint="eastAsia"/>
          <w:color w:val="000000" w:themeColor="text1"/>
        </w:rPr>
        <w:t>及國家通訊傳播委員會辦理</w:t>
      </w:r>
      <w:r w:rsidR="00E766CA" w:rsidRPr="00E766CA">
        <w:rPr>
          <w:rFonts w:hAnsi="標楷體" w:hint="eastAsia"/>
          <w:color w:val="000000" w:themeColor="text1"/>
        </w:rPr>
        <w:t>新世代打擊詐欺策略行動綱領</w:t>
      </w:r>
      <w:r w:rsidR="00E766CA">
        <w:rPr>
          <w:rFonts w:hAnsi="標楷體" w:hint="eastAsia"/>
          <w:color w:val="000000" w:themeColor="text1"/>
        </w:rPr>
        <w:t>1.5版，</w:t>
      </w:r>
      <w:r w:rsidR="00E766CA" w:rsidRPr="00E766CA">
        <w:rPr>
          <w:rFonts w:hAnsi="標楷體" w:hint="eastAsia"/>
          <w:color w:val="000000" w:themeColor="text1"/>
        </w:rPr>
        <w:t>行政院因應個人資料保護</w:t>
      </w:r>
      <w:r w:rsidR="00E766CA">
        <w:rPr>
          <w:rFonts w:hAnsi="標楷體" w:hint="eastAsia"/>
          <w:color w:val="000000" w:themeColor="text1"/>
        </w:rPr>
        <w:t>委員會籌備處成立，新增進用員額、基本維運及辦公廳舍裝修，</w:t>
      </w:r>
      <w:r w:rsidR="00E766CA" w:rsidRPr="00E766CA">
        <w:rPr>
          <w:rFonts w:hAnsi="標楷體" w:hint="eastAsia"/>
          <w:color w:val="000000" w:themeColor="text1"/>
        </w:rPr>
        <w:t>國立故宮博物院配合疫後旅遊復甦國際觀光客增加及電費調漲</w:t>
      </w:r>
      <w:r w:rsidR="00E766CA">
        <w:rPr>
          <w:rFonts w:hAnsi="標楷體" w:hint="eastAsia"/>
          <w:color w:val="000000" w:themeColor="text1"/>
        </w:rPr>
        <w:t>，</w:t>
      </w:r>
      <w:r w:rsidR="003C7CC8">
        <w:rPr>
          <w:rFonts w:hAnsi="標楷體" w:hint="eastAsia"/>
          <w:color w:val="000000" w:themeColor="text1"/>
        </w:rPr>
        <w:t>國家發展委員會辦理</w:t>
      </w:r>
      <w:r w:rsidR="00E766CA" w:rsidRPr="00E766CA">
        <w:rPr>
          <w:rFonts w:hAnsi="標楷體" w:hint="eastAsia"/>
          <w:color w:val="000000" w:themeColor="text1"/>
        </w:rPr>
        <w:t>提供外</w:t>
      </w:r>
      <w:r w:rsidR="003C7CC8">
        <w:rPr>
          <w:rFonts w:hAnsi="標楷體" w:hint="eastAsia"/>
          <w:color w:val="000000" w:themeColor="text1"/>
        </w:rPr>
        <w:t>籍人才來臺工作生活諮詢服務暨建置外籍人才單一入口網</w:t>
      </w:r>
      <w:r w:rsidR="00E766CA">
        <w:rPr>
          <w:rFonts w:hAnsi="標楷體" w:hint="eastAsia"/>
          <w:color w:val="000000" w:themeColor="text1"/>
        </w:rPr>
        <w:t>，</w:t>
      </w:r>
      <w:r w:rsidR="00E766CA" w:rsidRPr="00E766CA">
        <w:rPr>
          <w:rFonts w:hAnsi="標楷體" w:hint="eastAsia"/>
          <w:color w:val="000000" w:themeColor="text1"/>
        </w:rPr>
        <w:t>中央選舉委員會辦理第</w:t>
      </w:r>
      <w:r w:rsidR="00E766CA">
        <w:rPr>
          <w:rFonts w:hAnsi="標楷體" w:hint="eastAsia"/>
          <w:color w:val="000000" w:themeColor="text1"/>
        </w:rPr>
        <w:t>10</w:t>
      </w:r>
      <w:r w:rsidR="00E766CA" w:rsidRPr="00E766CA">
        <w:rPr>
          <w:rFonts w:hAnsi="標楷體" w:hint="eastAsia"/>
          <w:color w:val="000000" w:themeColor="text1"/>
        </w:rPr>
        <w:t>屆立法委員南投縣第</w:t>
      </w:r>
      <w:r w:rsidR="00E766CA">
        <w:rPr>
          <w:rFonts w:hAnsi="標楷體" w:hint="eastAsia"/>
          <w:color w:val="000000" w:themeColor="text1"/>
        </w:rPr>
        <w:t>2選舉區缺額補選</w:t>
      </w:r>
      <w:r w:rsidR="00F31B83" w:rsidRPr="009D11AD">
        <w:rPr>
          <w:rFonts w:hAnsi="標楷體" w:hint="eastAsia"/>
          <w:color w:val="000000" w:themeColor="text1"/>
        </w:rPr>
        <w:t>等</w:t>
      </w:r>
      <w:r w:rsidR="00F31B83" w:rsidRPr="009D11AD">
        <w:rPr>
          <w:rFonts w:hAnsi="標楷體" w:hint="eastAsia"/>
          <w:color w:val="000000" w:themeColor="text1"/>
          <w:spacing w:val="-4"/>
        </w:rPr>
        <w:t>所需經費或經費不敷</w:t>
      </w:r>
      <w:r w:rsidR="000B18B3" w:rsidRPr="009D11AD">
        <w:rPr>
          <w:rFonts w:hAnsi="標楷體" w:hint="eastAsia"/>
          <w:color w:val="000000" w:themeColor="text1"/>
          <w:spacing w:val="-4"/>
        </w:rPr>
        <w:t>，經動支第二預備金</w:t>
      </w:r>
      <w:r w:rsidR="006057BC" w:rsidRPr="00C7313B">
        <w:rPr>
          <w:rFonts w:hAnsi="標楷體"/>
          <w:kern w:val="0"/>
        </w:rPr>
        <w:t>2億49萬餘元</w:t>
      </w:r>
      <w:r w:rsidR="000B18B3" w:rsidRPr="009D11AD">
        <w:rPr>
          <w:rFonts w:hAnsi="標楷體" w:hint="eastAsia"/>
          <w:color w:val="000000" w:themeColor="text1"/>
        </w:rPr>
        <w:t>，合計</w:t>
      </w:r>
      <w:r w:rsidR="00F12054" w:rsidRPr="00C7313B">
        <w:rPr>
          <w:rFonts w:hAnsi="標楷體"/>
          <w:kern w:val="0"/>
        </w:rPr>
        <w:t>299億6,752萬餘元</w:t>
      </w:r>
      <w:r w:rsidR="000B18B3" w:rsidRPr="009D11AD">
        <w:rPr>
          <w:rFonts w:hAnsi="標楷體" w:hint="eastAsia"/>
          <w:color w:val="000000" w:themeColor="text1"/>
        </w:rPr>
        <w:t>，</w:t>
      </w:r>
      <w:r w:rsidR="00650851" w:rsidRPr="009D11AD">
        <w:rPr>
          <w:rFonts w:hAnsi="標楷體" w:hint="eastAsia"/>
          <w:color w:val="000000" w:themeColor="text1"/>
        </w:rPr>
        <w:t>決算審核結果，</w:t>
      </w:r>
      <w:r w:rsidR="00F12054" w:rsidRPr="00C7313B">
        <w:rPr>
          <w:rFonts w:hAnsi="標楷體"/>
          <w:kern w:val="0"/>
        </w:rPr>
        <w:t>修正減列實現數649萬餘元，</w:t>
      </w:r>
      <w:r w:rsidR="003C7CC8" w:rsidRPr="003C7CC8">
        <w:rPr>
          <w:rFonts w:hAnsi="標楷體" w:hint="eastAsia"/>
          <w:kern w:val="0"/>
        </w:rPr>
        <w:t>係原住民族委員會補助經費賸餘款</w:t>
      </w:r>
      <w:r w:rsidR="00F12054" w:rsidRPr="00C7313B">
        <w:rPr>
          <w:rFonts w:hAnsi="標楷體"/>
          <w:kern w:val="0"/>
        </w:rPr>
        <w:t>；</w:t>
      </w:r>
      <w:r w:rsidR="00650851" w:rsidRPr="009D11AD">
        <w:rPr>
          <w:rFonts w:hAnsi="標楷體" w:hint="eastAsia"/>
        </w:rPr>
        <w:t>審定實現數</w:t>
      </w:r>
      <w:r w:rsidR="00F12054" w:rsidRPr="00C7313B">
        <w:rPr>
          <w:rFonts w:hAnsi="標楷體"/>
          <w:kern w:val="0"/>
        </w:rPr>
        <w:t>254億8,714萬餘元（85.05％）</w:t>
      </w:r>
      <w:r w:rsidR="00650851" w:rsidRPr="009D11AD">
        <w:rPr>
          <w:rFonts w:hAnsi="標楷體" w:hint="eastAsia"/>
        </w:rPr>
        <w:t>，</w:t>
      </w:r>
      <w:r w:rsidR="004E09EE" w:rsidRPr="009D11AD">
        <w:rPr>
          <w:rFonts w:hAnsi="標楷體" w:hint="eastAsia"/>
        </w:rPr>
        <w:t>應付保留數</w:t>
      </w:r>
      <w:r w:rsidR="00F12054" w:rsidRPr="00C7313B">
        <w:rPr>
          <w:rFonts w:hAnsi="標楷體"/>
          <w:kern w:val="0"/>
        </w:rPr>
        <w:t>36億7,090萬餘元（12.25％）</w:t>
      </w:r>
      <w:r w:rsidR="00650851" w:rsidRPr="009D11AD">
        <w:rPr>
          <w:rFonts w:hAnsi="標楷體" w:hint="eastAsia"/>
          <w:color w:val="000000" w:themeColor="text1"/>
        </w:rPr>
        <w:t>，保留原因詳「一</w:t>
      </w:r>
      <w:r w:rsidR="007050E8" w:rsidRPr="009D11AD">
        <w:rPr>
          <w:rFonts w:hAnsi="標楷體" w:hint="eastAsia"/>
          <w:color w:val="000000" w:themeColor="text1"/>
        </w:rPr>
        <w:t>、</w:t>
      </w:r>
      <w:r w:rsidR="00650851" w:rsidRPr="009D11AD">
        <w:rPr>
          <w:rFonts w:hAnsi="標楷體" w:hint="eastAsia"/>
          <w:color w:val="000000" w:themeColor="text1"/>
        </w:rPr>
        <w:t>計畫實施之查核」說明；合計決算審定數</w:t>
      </w:r>
      <w:r w:rsidR="00F12054" w:rsidRPr="00C7313B">
        <w:rPr>
          <w:rFonts w:hAnsi="標楷體"/>
          <w:kern w:val="0"/>
        </w:rPr>
        <w:t>291億5,804萬餘元</w:t>
      </w:r>
      <w:r w:rsidR="00650851" w:rsidRPr="009D11AD">
        <w:rPr>
          <w:rFonts w:hAnsi="標楷體" w:hint="eastAsia"/>
          <w:color w:val="000000" w:themeColor="text1"/>
        </w:rPr>
        <w:t>，預算賸餘</w:t>
      </w:r>
      <w:r w:rsidR="00F12054" w:rsidRPr="00C7313B">
        <w:rPr>
          <w:rFonts w:hAnsi="標楷體"/>
          <w:kern w:val="0"/>
        </w:rPr>
        <w:t>8億947萬餘元（2.70％）</w:t>
      </w:r>
      <w:r w:rsidR="00650851" w:rsidRPr="009D11AD">
        <w:rPr>
          <w:rFonts w:hAnsi="標楷體" w:hint="eastAsia"/>
          <w:color w:val="000000" w:themeColor="text1"/>
        </w:rPr>
        <w:t>，</w:t>
      </w:r>
      <w:r w:rsidR="00650851" w:rsidRPr="003C7CC8">
        <w:rPr>
          <w:rFonts w:hAnsi="標楷體" w:hint="eastAsia"/>
          <w:color w:val="000000" w:themeColor="text1"/>
        </w:rPr>
        <w:t>主要係</w:t>
      </w:r>
      <w:r w:rsidR="007E0983" w:rsidRPr="003C7CC8">
        <w:rPr>
          <w:rFonts w:hAnsi="標楷體" w:hint="eastAsia"/>
          <w:color w:val="000000" w:themeColor="text1"/>
        </w:rPr>
        <w:t>行政院人事行政總處</w:t>
      </w:r>
      <w:r w:rsidR="0017644D" w:rsidRPr="003C7CC8">
        <w:rPr>
          <w:rFonts w:hAnsi="標楷體" w:hint="eastAsia"/>
          <w:color w:val="000000" w:themeColor="text1"/>
        </w:rPr>
        <w:t>核發</w:t>
      </w:r>
      <w:r w:rsidR="00055AD5" w:rsidRPr="003C7CC8">
        <w:rPr>
          <w:rFonts w:hAnsi="標楷體" w:hint="eastAsia"/>
          <w:color w:val="000000" w:themeColor="text1"/>
        </w:rPr>
        <w:t>各機關</w:t>
      </w:r>
      <w:r w:rsidR="006C1F76" w:rsidRPr="003C7CC8">
        <w:rPr>
          <w:rFonts w:hAnsi="標楷體" w:hint="eastAsia"/>
          <w:color w:val="000000" w:themeColor="text1"/>
        </w:rPr>
        <w:t>人員婚喪生育及子女教育補助</w:t>
      </w:r>
      <w:r w:rsidR="00055AD5" w:rsidRPr="003C7CC8">
        <w:rPr>
          <w:rFonts w:hAnsi="標楷體" w:hint="eastAsia"/>
          <w:color w:val="000000" w:themeColor="text1"/>
        </w:rPr>
        <w:t>之金額，較預計減少</w:t>
      </w:r>
      <w:r w:rsidR="004E09EE" w:rsidRPr="003C7CC8">
        <w:rPr>
          <w:rFonts w:hAnsi="標楷體" w:hint="eastAsia"/>
          <w:color w:val="000000" w:themeColor="text1"/>
        </w:rPr>
        <w:t>；</w:t>
      </w:r>
      <w:r w:rsidR="003C7CC8" w:rsidRPr="003C7CC8">
        <w:rPr>
          <w:rFonts w:hAnsi="標楷體" w:hint="eastAsia"/>
          <w:color w:val="000000" w:themeColor="text1"/>
        </w:rPr>
        <w:t>中央選舉委員會辦理第16任總統副總統及第11屆立法委員選舉，相關經費之結餘</w:t>
      </w:r>
      <w:r w:rsidR="00264DF5" w:rsidRPr="003C7CC8">
        <w:rPr>
          <w:rFonts w:hAnsi="標楷體" w:hint="eastAsia"/>
          <w:color w:val="000000" w:themeColor="text1"/>
        </w:rPr>
        <w:t>；</w:t>
      </w:r>
      <w:r w:rsidR="004E09EE" w:rsidRPr="003C7CC8">
        <w:rPr>
          <w:rFonts w:hAnsi="標楷體" w:hint="eastAsia"/>
          <w:color w:val="000000" w:themeColor="text1"/>
        </w:rPr>
        <w:t>部分機關</w:t>
      </w:r>
      <w:r w:rsidR="00653AD2">
        <w:rPr>
          <w:rFonts w:hAnsi="標楷體" w:hint="eastAsia"/>
          <w:color w:val="000000" w:themeColor="text1"/>
        </w:rPr>
        <w:t>補助或委辦計畫經費之結餘，或</w:t>
      </w:r>
      <w:r w:rsidR="004E09EE" w:rsidRPr="003C7CC8">
        <w:rPr>
          <w:rFonts w:hAnsi="標楷體" w:hint="eastAsia"/>
          <w:color w:val="000000" w:themeColor="text1"/>
        </w:rPr>
        <w:t>實際進用人員較少之人事費結餘。</w:t>
      </w:r>
    </w:p>
    <w:p w14:paraId="632EBDA2" w14:textId="4DC872BB" w:rsidR="00650851" w:rsidRPr="009D11AD" w:rsidRDefault="009876C8" w:rsidP="001E782A">
      <w:pPr>
        <w:pStyle w:val="13"/>
        <w:overflowPunct w:val="0"/>
        <w:spacing w:afterLines="20" w:after="72" w:line="416" w:lineRule="exact"/>
        <w:ind w:firstLineChars="200" w:firstLine="480"/>
        <w:rPr>
          <w:rFonts w:hAnsi="標楷體"/>
          <w:color w:val="000000" w:themeColor="text1"/>
        </w:rPr>
      </w:pPr>
      <w:r w:rsidRPr="008935AE">
        <w:rPr>
          <w:rFonts w:hAnsi="標楷體" w:hint="eastAsia"/>
          <w:color w:val="000000" w:themeColor="text1"/>
        </w:rPr>
        <w:t>（四）</w:t>
      </w:r>
      <w:r w:rsidR="00650851" w:rsidRPr="008935AE">
        <w:rPr>
          <w:rFonts w:hAnsi="標楷體" w:hint="eastAsia"/>
          <w:color w:val="000000" w:themeColor="text1"/>
        </w:rPr>
        <w:t xml:space="preserve">　以前年度歲出轉</w:t>
      </w:r>
      <w:r w:rsidR="00650851" w:rsidRPr="009D11AD">
        <w:rPr>
          <w:rFonts w:hAnsi="標楷體" w:hint="eastAsia"/>
          <w:color w:val="000000" w:themeColor="text1"/>
        </w:rPr>
        <w:t>入數計</w:t>
      </w:r>
      <w:r w:rsidR="009F7614" w:rsidRPr="00C7313B">
        <w:rPr>
          <w:rFonts w:hAnsi="標楷體"/>
          <w:kern w:val="0"/>
        </w:rPr>
        <w:t>16億6,721萬餘元</w:t>
      </w:r>
      <w:r w:rsidR="00650851" w:rsidRPr="009D11AD">
        <w:rPr>
          <w:rFonts w:hAnsi="標楷體" w:hint="eastAsia"/>
          <w:color w:val="000000" w:themeColor="text1"/>
        </w:rPr>
        <w:t>，決算審核結果，審定實現數</w:t>
      </w:r>
      <w:r w:rsidR="009F7614" w:rsidRPr="00C7313B">
        <w:rPr>
          <w:rFonts w:hAnsi="標楷體"/>
          <w:kern w:val="0"/>
        </w:rPr>
        <w:t>11億2,944萬餘元（67.74％）</w:t>
      </w:r>
      <w:r w:rsidR="00650851" w:rsidRPr="009D11AD">
        <w:rPr>
          <w:rFonts w:hAnsi="標楷體" w:hint="eastAsia"/>
          <w:color w:val="000000" w:themeColor="text1"/>
        </w:rPr>
        <w:t>，減免</w:t>
      </w:r>
      <w:r w:rsidR="00DF204B" w:rsidRPr="009D11AD">
        <w:rPr>
          <w:rFonts w:hAnsi="標楷體" w:hint="eastAsia"/>
          <w:color w:val="000000" w:themeColor="text1"/>
        </w:rPr>
        <w:t>（註銷）</w:t>
      </w:r>
      <w:r w:rsidR="00650851" w:rsidRPr="009D11AD">
        <w:rPr>
          <w:rFonts w:hAnsi="標楷體" w:hint="eastAsia"/>
          <w:color w:val="000000" w:themeColor="text1"/>
        </w:rPr>
        <w:t>數</w:t>
      </w:r>
      <w:r w:rsidR="009F7614" w:rsidRPr="00C7313B">
        <w:rPr>
          <w:rFonts w:hAnsi="標楷體"/>
          <w:kern w:val="0"/>
        </w:rPr>
        <w:t>6,426萬餘元（3.85％）</w:t>
      </w:r>
      <w:r w:rsidR="00650851" w:rsidRPr="009D11AD">
        <w:rPr>
          <w:rFonts w:hAnsi="標楷體" w:hint="eastAsia"/>
          <w:color w:val="000000" w:themeColor="text1"/>
        </w:rPr>
        <w:t>，</w:t>
      </w:r>
      <w:r w:rsidR="009F7614" w:rsidRPr="009F7614">
        <w:rPr>
          <w:rFonts w:hAnsi="標楷體" w:hint="eastAsia"/>
        </w:rPr>
        <w:t>主要係原住民族委員會補助及委辦計畫經費之結餘</w:t>
      </w:r>
      <w:r w:rsidR="00785239" w:rsidRPr="009D11AD">
        <w:rPr>
          <w:rFonts w:hAnsi="標楷體" w:hint="eastAsia"/>
          <w:color w:val="000000" w:themeColor="text1"/>
        </w:rPr>
        <w:t>；</w:t>
      </w:r>
      <w:r w:rsidR="00650851" w:rsidRPr="009D11AD">
        <w:rPr>
          <w:rFonts w:hAnsi="標楷體" w:hint="eastAsia"/>
          <w:color w:val="000000" w:themeColor="text1"/>
        </w:rPr>
        <w:t>應付保留數</w:t>
      </w:r>
      <w:r w:rsidR="009F7614" w:rsidRPr="00C7313B">
        <w:rPr>
          <w:rFonts w:hAnsi="標楷體"/>
          <w:kern w:val="0"/>
        </w:rPr>
        <w:t>4億7,351萬餘元（28.40％）</w:t>
      </w:r>
      <w:r w:rsidR="00650851" w:rsidRPr="009D11AD">
        <w:rPr>
          <w:rFonts w:hAnsi="標楷體" w:hint="eastAsia"/>
          <w:color w:val="000000" w:themeColor="text1"/>
        </w:rPr>
        <w:t>，</w:t>
      </w:r>
      <w:r w:rsidR="009009F6" w:rsidRPr="009D11AD">
        <w:rPr>
          <w:rFonts w:hAnsi="標楷體" w:hint="eastAsia"/>
          <w:color w:val="000000" w:themeColor="text1"/>
        </w:rPr>
        <w:t>主要係</w:t>
      </w:r>
      <w:r w:rsidR="00EF7C31">
        <w:rPr>
          <w:rFonts w:hAnsi="標楷體" w:hint="eastAsia"/>
          <w:color w:val="000000" w:themeColor="text1"/>
        </w:rPr>
        <w:t>原住民族委員會辦理國立原住民族博物館興建計畫，</w:t>
      </w:r>
      <w:r w:rsidR="003A0229" w:rsidRPr="00E31547">
        <w:rPr>
          <w:rFonts w:hAnsi="標楷體" w:hint="eastAsia"/>
          <w:color w:val="000000" w:themeColor="text1"/>
        </w:rPr>
        <w:t>原住民族文化發展中心辦理原住民族文化園區館舍再利用工程</w:t>
      </w:r>
      <w:r w:rsidR="003A0229">
        <w:rPr>
          <w:rFonts w:hAnsi="標楷體" w:hint="eastAsia"/>
          <w:color w:val="000000" w:themeColor="text1"/>
        </w:rPr>
        <w:t>，</w:t>
      </w:r>
      <w:r w:rsidR="00EF7C31">
        <w:rPr>
          <w:rFonts w:hAnsi="標楷體" w:hint="eastAsia"/>
          <w:color w:val="000000" w:themeColor="text1"/>
        </w:rPr>
        <w:t>及</w:t>
      </w:r>
      <w:r w:rsidR="009009F6" w:rsidRPr="009D11AD">
        <w:rPr>
          <w:rFonts w:hAnsi="標楷體" w:hint="eastAsia"/>
          <w:color w:val="000000" w:themeColor="text1"/>
        </w:rPr>
        <w:t>國家發展委員會檔案管理局委託代辦國家檔案館新建工程</w:t>
      </w:r>
      <w:r w:rsidR="003A0229">
        <w:rPr>
          <w:rFonts w:hAnsi="標楷體" w:hint="eastAsia"/>
          <w:color w:val="000000" w:themeColor="text1"/>
        </w:rPr>
        <w:t>等</w:t>
      </w:r>
      <w:r w:rsidR="009009F6" w:rsidRPr="009D11AD">
        <w:rPr>
          <w:rFonts w:hAnsi="標楷體" w:hint="eastAsia"/>
          <w:color w:val="000000" w:themeColor="text1"/>
        </w:rPr>
        <w:t>，尚在執行中</w:t>
      </w:r>
      <w:r w:rsidR="00F7765A" w:rsidRPr="009D11AD">
        <w:rPr>
          <w:rFonts w:hAnsi="標楷體" w:hint="eastAsia"/>
          <w:color w:val="000000" w:themeColor="text1"/>
        </w:rPr>
        <w:t>。</w:t>
      </w:r>
    </w:p>
    <w:p w14:paraId="132DDDD9" w14:textId="77777777" w:rsidR="006B0827" w:rsidRPr="009D11AD" w:rsidRDefault="00FE73F8" w:rsidP="001E782A">
      <w:pPr>
        <w:pStyle w:val="10"/>
        <w:overflowPunct w:val="0"/>
        <w:spacing w:beforeLines="20" w:before="72" w:afterLines="20" w:after="72" w:line="430" w:lineRule="exact"/>
        <w:ind w:firstLineChars="100" w:firstLine="320"/>
        <w:rPr>
          <w:rFonts w:ascii="標楷體" w:eastAsia="標楷體" w:hAnsi="標楷體"/>
          <w:color w:val="000000" w:themeColor="text1"/>
          <w:sz w:val="32"/>
          <w:szCs w:val="32"/>
        </w:rPr>
      </w:pPr>
      <w:r w:rsidRPr="009D11AD">
        <w:rPr>
          <w:rFonts w:ascii="標楷體" w:eastAsia="標楷體" w:hAnsi="標楷體" w:hint="eastAsia"/>
          <w:color w:val="000000" w:themeColor="text1"/>
          <w:sz w:val="32"/>
          <w:szCs w:val="32"/>
        </w:rPr>
        <w:t>三</w:t>
      </w:r>
      <w:r w:rsidR="006B0827" w:rsidRPr="009D11AD">
        <w:rPr>
          <w:rFonts w:ascii="標楷體" w:eastAsia="標楷體" w:hAnsi="標楷體" w:hint="eastAsia"/>
          <w:color w:val="000000" w:themeColor="text1"/>
          <w:sz w:val="32"/>
          <w:szCs w:val="32"/>
        </w:rPr>
        <w:t>、提供行政院決定施政方針之</w:t>
      </w:r>
      <w:r w:rsidR="006B0827" w:rsidRPr="00F36B9D">
        <w:rPr>
          <w:rFonts w:ascii="標楷體" w:eastAsia="標楷體" w:hAnsi="標楷體" w:hint="eastAsia"/>
          <w:color w:val="000000" w:themeColor="text1"/>
          <w:sz w:val="32"/>
          <w:szCs w:val="32"/>
        </w:rPr>
        <w:t>建議意見</w:t>
      </w:r>
    </w:p>
    <w:p w14:paraId="61A49A2F" w14:textId="34321CB2" w:rsidR="00E522F1" w:rsidRPr="009D11AD" w:rsidRDefault="008C7401" w:rsidP="00265FC8">
      <w:pPr>
        <w:pStyle w:val="a7"/>
        <w:overflowPunct w:val="0"/>
        <w:spacing w:line="410" w:lineRule="exact"/>
        <w:ind w:firstLineChars="200" w:firstLine="480"/>
        <w:jc w:val="both"/>
        <w:rPr>
          <w:rFonts w:ascii="標楷體" w:eastAsia="標楷體" w:hAnsi="標楷體"/>
          <w:color w:val="000000" w:themeColor="text1"/>
          <w:szCs w:val="24"/>
        </w:rPr>
      </w:pPr>
      <w:r w:rsidRPr="00A90F65">
        <w:rPr>
          <w:rFonts w:ascii="標楷體" w:eastAsia="標楷體" w:hAnsi="標楷體" w:hint="eastAsia"/>
          <w:szCs w:val="24"/>
        </w:rPr>
        <w:t>依審計法第70條及預算法第28條規定，本部應提供審核中央政府以前年度歲入、歲出、財務（物）經營管理、附屬單位預算（包含營業及非營業部分）等預算執行之有關資料，及財務上增進效能與減少不經濟支出之建議，以供行政院作為決定114年度施政方針之參考。茲將所提建議意見，摘</w:t>
      </w:r>
      <w:r>
        <w:rPr>
          <w:rFonts w:ascii="標楷體" w:eastAsia="標楷體" w:hAnsi="標楷體" w:hint="eastAsia"/>
          <w:color w:val="000000" w:themeColor="text1"/>
          <w:szCs w:val="24"/>
        </w:rPr>
        <w:t>述如次</w:t>
      </w:r>
      <w:r w:rsidR="0032669B" w:rsidRPr="009876C8">
        <w:rPr>
          <w:rFonts w:ascii="標楷體" w:eastAsia="標楷體" w:hAnsi="標楷體" w:hint="eastAsia"/>
          <w:color w:val="000000" w:themeColor="text1"/>
          <w:szCs w:val="24"/>
        </w:rPr>
        <w:t>：</w:t>
      </w:r>
    </w:p>
    <w:p w14:paraId="1C62EAB9" w14:textId="77777777" w:rsidR="00E8604E" w:rsidRPr="002764DD" w:rsidRDefault="00E8604E" w:rsidP="00265FC8">
      <w:pPr>
        <w:pStyle w:val="2"/>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（一）　政府已獎助布建住宿式長照機構，惟計畫執行進度落後且預計增加之床位仍不敷需求，</w:t>
      </w:r>
      <w:r w:rsidRPr="00E8604E">
        <w:rPr>
          <w:rFonts w:hAnsi="標楷體" w:hint="eastAsia"/>
          <w:b/>
          <w:color w:val="000000" w:themeColor="text1"/>
          <w:spacing w:val="-4"/>
          <w:sz w:val="28"/>
          <w:szCs w:val="28"/>
        </w:rPr>
        <w:t>又部分已開放使用之床位空置，資源未有效運用，另住宿式機構照服員人數之成長率</w:t>
      </w:r>
      <w:r w:rsidRPr="002764DD">
        <w:rPr>
          <w:rFonts w:hAnsi="標楷體" w:hint="eastAsia"/>
          <w:b/>
          <w:color w:val="000000" w:themeColor="text1"/>
          <w:sz w:val="28"/>
          <w:szCs w:val="28"/>
        </w:rPr>
        <w:t>，未及居家與社區場域，且已產生人力缺口，允宜督促妥為規劃因應，</w:t>
      </w:r>
      <w:r w:rsidRPr="00E8604E">
        <w:rPr>
          <w:rFonts w:hAnsi="標楷體" w:hint="eastAsia"/>
          <w:b/>
          <w:color w:val="000000" w:themeColor="text1"/>
          <w:spacing w:val="-4"/>
          <w:sz w:val="28"/>
          <w:szCs w:val="28"/>
        </w:rPr>
        <w:t>並引導長照人力資源均衡發展，以提升服務量能</w:t>
      </w:r>
      <w:r w:rsidRPr="002764DD">
        <w:rPr>
          <w:rFonts w:hAnsi="標楷體" w:hint="eastAsia"/>
          <w:b/>
          <w:color w:val="000000" w:themeColor="text1"/>
          <w:sz w:val="28"/>
          <w:szCs w:val="28"/>
        </w:rPr>
        <w:t>，發揮計畫財務效能。</w:t>
      </w:r>
    </w:p>
    <w:p w14:paraId="19D3767A" w14:textId="77777777"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lastRenderedPageBreak/>
        <w:t>政府為因應高齡化社會衍生之長照服務需求，自106年起推動長期照顧十年計畫2.0，布建居家、社區及住宿式服務資源，復為回應長者在家終老之意願，透過長期照顧服務申請及給付辦法所定機制，引導民眾使用居家式及社區式之服務，使輕、中度失能長者可透過居家、社區資源留在社區生活，惟部分重度失能個案因需24小時密集照護，且無家屬（主要照顧者）可提供照顧服務或無法長期負擔等情形下，仍有入住住宿式機構需求。依經濟合作暨發展組織（Organisation for Economic Co-operation and Development, OECD）推估，住宿式機構之服務規模應以國家整體長照服務需求人口之20％為目標。衛生福利部（下稱衛福部）考量住宿式機構服務使用者，係以重度失能者為主要服務對象，經推估全國長照失能人口數58萬餘人，並按上述OECD推估比率20％估算結果，112年度需求床位數為11萬7,208床，並將逐步增加至114年度之12萬7,232床。有關政府布建住宿式機構床位與相關人力資源發展情形，核有下列事項：</w:t>
      </w:r>
    </w:p>
    <w:p w14:paraId="6074F3CB"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　衛福部獎助布建住宿式機構，惟計畫執行進度落後且預計增加之床位仍不敷需求，又部分已開放使用之床位空置，資源未有效運用：</w:t>
      </w:r>
      <w:r w:rsidRPr="002764DD">
        <w:rPr>
          <w:rFonts w:ascii="標楷體" w:eastAsia="標楷體" w:hAnsi="標楷體" w:hint="eastAsia"/>
          <w:color w:val="000000" w:themeColor="text1"/>
          <w:szCs w:val="24"/>
        </w:rPr>
        <w:t>截至112年6月底止，全國住宿式機構核定床位數為1</w:t>
      </w:r>
      <w:r w:rsidRPr="002764DD">
        <w:rPr>
          <w:rFonts w:ascii="標楷體" w:eastAsia="標楷體" w:hAnsi="標楷體"/>
          <w:color w:val="000000" w:themeColor="text1"/>
          <w:szCs w:val="24"/>
        </w:rPr>
        <w:t>1</w:t>
      </w:r>
      <w:r w:rsidRPr="002764DD">
        <w:rPr>
          <w:rFonts w:ascii="標楷體" w:eastAsia="標楷體" w:hAnsi="標楷體" w:hint="eastAsia"/>
          <w:color w:val="000000" w:themeColor="text1"/>
          <w:szCs w:val="24"/>
        </w:rPr>
        <w:t>萬</w:t>
      </w:r>
      <w:r w:rsidRPr="002764DD">
        <w:rPr>
          <w:rFonts w:ascii="標楷體" w:eastAsia="標楷體" w:hAnsi="標楷體"/>
          <w:color w:val="000000" w:themeColor="text1"/>
          <w:szCs w:val="24"/>
        </w:rPr>
        <w:t>5,767</w:t>
      </w:r>
      <w:r w:rsidRPr="002764DD">
        <w:rPr>
          <w:rFonts w:ascii="標楷體" w:eastAsia="標楷體" w:hAnsi="標楷體" w:hint="eastAsia"/>
          <w:color w:val="000000" w:themeColor="text1"/>
          <w:szCs w:val="24"/>
        </w:rPr>
        <w:t>床，服務量能逐年擴增，惟仍未敷112年度推估需求1</w:t>
      </w:r>
      <w:r w:rsidRPr="002764DD">
        <w:rPr>
          <w:rFonts w:ascii="標楷體" w:eastAsia="標楷體" w:hAnsi="標楷體"/>
          <w:color w:val="000000" w:themeColor="text1"/>
          <w:szCs w:val="24"/>
        </w:rPr>
        <w:t>1</w:t>
      </w:r>
      <w:r w:rsidRPr="002764DD">
        <w:rPr>
          <w:rFonts w:ascii="標楷體" w:eastAsia="標楷體" w:hAnsi="標楷體" w:hint="eastAsia"/>
          <w:color w:val="000000" w:themeColor="text1"/>
          <w:szCs w:val="24"/>
        </w:rPr>
        <w:t>萬7</w:t>
      </w:r>
      <w:r w:rsidRPr="002764DD">
        <w:rPr>
          <w:rFonts w:ascii="標楷體" w:eastAsia="標楷體" w:hAnsi="標楷體"/>
          <w:color w:val="000000" w:themeColor="text1"/>
          <w:szCs w:val="24"/>
        </w:rPr>
        <w:t>,</w:t>
      </w:r>
      <w:r w:rsidRPr="002764DD">
        <w:rPr>
          <w:rFonts w:ascii="標楷體" w:eastAsia="標楷體" w:hAnsi="標楷體" w:hint="eastAsia"/>
          <w:color w:val="000000" w:themeColor="text1"/>
          <w:szCs w:val="24"/>
        </w:rPr>
        <w:t>208床，如臺北市等12市縣之供床數尚不敷所需。衛福部為提升民眾取得住宿式資源之可近性，辦理「獎助布建住宿式長照機構公共化資源計畫」（下稱獎助布建計畫），獎助公立醫療院所、市縣政府等公立機關（構），於完全無住宿式機構資源地區，設立住宿式長照機構，於108至110年間計核定37案，截至112年6月底止，扣除已中止執行案件1案及因執行單位無法取得適合用地刻正申請中止執行案件1案，餘35案預計可增加床位4</w:t>
      </w:r>
      <w:r w:rsidRPr="002764DD">
        <w:rPr>
          <w:rFonts w:ascii="標楷體" w:eastAsia="標楷體" w:hAnsi="標楷體"/>
          <w:color w:val="000000" w:themeColor="text1"/>
          <w:szCs w:val="24"/>
        </w:rPr>
        <w:t>,</w:t>
      </w:r>
      <w:r w:rsidRPr="002764DD">
        <w:rPr>
          <w:rFonts w:ascii="標楷體" w:eastAsia="標楷體" w:hAnsi="標楷體" w:hint="eastAsia"/>
          <w:color w:val="000000" w:themeColor="text1"/>
          <w:szCs w:val="24"/>
        </w:rPr>
        <w:t>637床，總獎助經費82億867萬餘元。原規劃於110至114年度間陸續完成，受部分案件執行進度落後影響，展延至112至114年度間完成，惟上開獎助布建完成後臺北市等1</w:t>
      </w:r>
      <w:r w:rsidRPr="002764DD">
        <w:rPr>
          <w:rFonts w:ascii="標楷體" w:eastAsia="標楷體" w:hAnsi="標楷體"/>
          <w:color w:val="000000" w:themeColor="text1"/>
          <w:szCs w:val="24"/>
        </w:rPr>
        <w:t>2</w:t>
      </w:r>
      <w:r w:rsidRPr="002764DD">
        <w:rPr>
          <w:rFonts w:ascii="標楷體" w:eastAsia="標楷體" w:hAnsi="標楷體" w:hint="eastAsia"/>
          <w:color w:val="000000" w:themeColor="text1"/>
          <w:szCs w:val="24"/>
        </w:rPr>
        <w:t>市縣之供床數仍有不足數計</w:t>
      </w:r>
      <w:r w:rsidRPr="002764DD">
        <w:rPr>
          <w:rFonts w:ascii="標楷體" w:eastAsia="標楷體" w:hAnsi="標楷體"/>
          <w:color w:val="000000" w:themeColor="text1"/>
          <w:szCs w:val="24"/>
        </w:rPr>
        <w:t>1</w:t>
      </w:r>
      <w:r w:rsidRPr="002764DD">
        <w:rPr>
          <w:rFonts w:ascii="標楷體" w:eastAsia="標楷體" w:hAnsi="標楷體" w:hint="eastAsia"/>
          <w:color w:val="000000" w:themeColor="text1"/>
          <w:szCs w:val="24"/>
        </w:rPr>
        <w:t>萬1</w:t>
      </w:r>
      <w:r w:rsidRPr="002764DD">
        <w:rPr>
          <w:rFonts w:ascii="標楷體" w:eastAsia="標楷體" w:hAnsi="標楷體"/>
          <w:color w:val="000000" w:themeColor="text1"/>
          <w:szCs w:val="24"/>
        </w:rPr>
        <w:t>,</w:t>
      </w:r>
      <w:r w:rsidRPr="002764DD">
        <w:rPr>
          <w:rFonts w:ascii="標楷體" w:eastAsia="標楷體" w:hAnsi="標楷體" w:hint="eastAsia"/>
          <w:color w:val="000000" w:themeColor="text1"/>
          <w:szCs w:val="24"/>
        </w:rPr>
        <w:t>924床。衛福部賡續於112年8月24日公告並受理申請「獎助布建住宿式長照機構資源計畫」，規劃於116年以前於完全無住宿式機構地區及住宿式機構床位供給不足區等地區，完成布建6,500床，然預計增加之床位數仍不敷需求缺口。另查衛福部前於108年間調查住宿式服務機構資源現況，就現有機構之供給不足，且全國占床率僅約8成，推論其原因為現有住宿式機構之品質尚待提升。嗣衛福部為提升住宿式機構之服務品質，於109年3月函頒住宿式服務機構品質提升卓越計畫，針對老人福利機構（不含安養床）等4類住宿式服務機構，訂定品質指標，並對當年度達成全部指標之機構給予獎勵，執行期程自109年4月至112年12月底止，預計於112年達到品質精進之目標。經查該計畫109至112年度預算數共計55億4,150萬元，截至112年6月底止，累計執行數46億5,585萬餘元，約84.02％，109至111年度品質指標未通過查核者分別有208家、111家、75家，顯示尚有部分機構未能透過參與住宿式機構品質提升卓越計畫，增進服務品質。又109至111年度通過查核之機構比率雖逐年增加，惟截至112年6月底止，全國住宿式機構占床率84.77％，與衛福部110年2月統計之全國住宿式機構占床率86％相較，不增反減，全國住宿式機構仍有空床數1萬7,052床，顯示部分布建資源未能有效運用。</w:t>
      </w:r>
    </w:p>
    <w:p w14:paraId="01B9ABE9" w14:textId="32796745"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lastRenderedPageBreak/>
        <w:t>2.　住宿式機構持續布建，惟該場域照服員人數之成長率，未及居家與社區場域，且已產生人力缺口：</w:t>
      </w:r>
      <w:r w:rsidRPr="002764DD">
        <w:rPr>
          <w:rFonts w:ascii="標楷體" w:eastAsia="標楷體" w:hAnsi="標楷體" w:hint="eastAsia"/>
          <w:color w:val="000000" w:themeColor="text1"/>
          <w:szCs w:val="24"/>
        </w:rPr>
        <w:t>依長期照顧服務機構設立標準等規定，住宿式機構應按服務規模聘僱照顧服務員（下稱照服員）以提供服務。鑑於衛福部獎助布建計畫核定案件將於114年以前增加4,637床，又續辦理「獎助布建住宿式長照機構資源計畫」，亦規劃於116年以前完成布建6,500床。隨住宿式機構床位資源持續布建，機構照服員之人力需求，勢必持續增加。按照服員提供長照服務場域不限於住宿式機構，尚可投入居家、社區服務。截至112年6月底止，整體照服員人數為9萬6,978人，較107年底之3萬5,081人，增加6萬1,897人，約176.44％。復查各場域照服員人數成長情形，自107年起政府推動長照給支付制度、明定居家照服員起薪標準等措施，國人踴躍投入居家及社區場域任職照服員工作，而107至111年度各年度住宿式機構照服員人數之成長率介於2.88％至44.70％間，皆未及居家與社區場域。又112年住宿式機構照服員人力需求為3萬7,507人，截至112年6月底止進用3萬5,417人，人力缺口達2,090人。又經分析衛福部所屬6家老人福利機構於111年度進用照服員情形，計有北區老人之家等4家機構之平均進用比率未及8成，顯未能有效招募所需照服人力，勢影響機構照顧人力調度及人員工作負荷；且該6家機構照服員111年度平均離職率，約介於20.51％至49.35％間，其中彰化老人養護中心之照服員離職率甚至接近5成，顯示機構照服人力流動率高，不易留任持續提供服務。據該等機構分析照服員離職之原因，主要係薪資與居家照服員相較偏低、工作量大且複雜度高、須配合夜間及例假日輪班等。凸顯住宿式機構照服員低薪多勞，導致未能招募所需照服人力，且不易留任人力持續提供服務。</w:t>
      </w:r>
    </w:p>
    <w:p w14:paraId="4B04B21B" w14:textId="77777777"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鑑於全國住宿式機構床位不敷需求，然部分床位空置，另住宿式機構照服員人數已產生人力缺口，薪資水準相較偏低，加以工作量大且複雜性高，又須配合夜間及例假日輪班等因素，均不利機構招募照服人力並鼓勵人員久任，允宜督促衛福部就預計增加之床位數仍不敷需求缺口妥為規劃因應，並就已布建之床位未能有效運用之癥結原因研謀改善，暨促請權責機關研議強化照服員培育，及提供鼓勵誘因，引導長照人力資源均衡發展，提升服務量能，俾發揮計畫財務效能。</w:t>
      </w:r>
    </w:p>
    <w:p w14:paraId="0E3192F3" w14:textId="77777777" w:rsidR="00E8604E" w:rsidRPr="002764DD" w:rsidRDefault="00E8604E" w:rsidP="00E31547">
      <w:pPr>
        <w:pStyle w:val="2"/>
        <w:overflowPunct w:val="0"/>
        <w:spacing w:beforeLines="20" w:before="72" w:afterLines="20" w:after="72" w:line="40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（二）　政府為穩定農產品產銷，推動產銷輔導及調節措施，惟農產品輔導轉作之源頭管理措施成效有限，外銷總出口值持續衰退；又雞蛋產量統計調查資訊欠精準，及蛋雞產業結構性問題，致產銷調節經費連年鉅額超支，允宜強化農產品源頭管理機制，積極擴展外銷通路，並精進雞蛋生產調查技術，以前瞻政策促進蛋雞產業發展，俾降低產銷失衡之頻度，減輕政府財務負擔。</w:t>
      </w:r>
    </w:p>
    <w:p w14:paraId="1EDF364B" w14:textId="77777777" w:rsidR="00E8604E" w:rsidRPr="002764DD" w:rsidRDefault="00E8604E" w:rsidP="00E31547">
      <w:pPr>
        <w:pStyle w:val="a7"/>
        <w:overflowPunct w:val="0"/>
        <w:spacing w:line="40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政府為有效調節及穩定重要農、漁、畜產品之供需，於農業特別收入基金農業發展分基金項下編列產銷調節計畫（原產銷調節緊急處理計畫）預算，透過產銷預警機制與輔導加工處理、購貯、促進內銷及輔導外銷等調節措施，避免農產品價量劇烈波動影響農民及消費者權益。農業委員會（112年8月1日改制為農業部，下稱農業部）1</w:t>
      </w:r>
      <w:r w:rsidRPr="002764DD">
        <w:rPr>
          <w:rFonts w:ascii="標楷體" w:eastAsia="標楷體" w:hAnsi="標楷體"/>
          <w:color w:val="000000" w:themeColor="text1"/>
          <w:szCs w:val="24"/>
        </w:rPr>
        <w:t>07</w:t>
      </w:r>
      <w:r w:rsidRPr="002764DD">
        <w:rPr>
          <w:rFonts w:ascii="標楷體" w:eastAsia="標楷體" w:hAnsi="標楷體" w:hint="eastAsia"/>
          <w:color w:val="000000" w:themeColor="text1"/>
          <w:szCs w:val="24"/>
        </w:rPr>
        <w:t>至1</w:t>
      </w:r>
      <w:r w:rsidRPr="002764DD">
        <w:rPr>
          <w:rFonts w:ascii="標楷體" w:eastAsia="標楷體" w:hAnsi="標楷體"/>
          <w:color w:val="000000" w:themeColor="text1"/>
          <w:szCs w:val="24"/>
        </w:rPr>
        <w:t>11</w:t>
      </w:r>
      <w:r w:rsidRPr="002764DD">
        <w:rPr>
          <w:rFonts w:ascii="標楷體" w:eastAsia="標楷體" w:hAnsi="標楷體" w:hint="eastAsia"/>
          <w:color w:val="000000" w:themeColor="text1"/>
          <w:szCs w:val="24"/>
        </w:rPr>
        <w:t>年度編列產銷調節計畫預算數已由107年度之1億5,875萬餘元調增至111年度之3億2,195萬餘元，惟近年受</w:t>
      </w:r>
      <w:r w:rsidRPr="002764DD">
        <w:rPr>
          <w:rFonts w:ascii="標楷體" w:eastAsia="標楷體" w:hAnsi="標楷體"/>
          <w:color w:val="000000" w:themeColor="text1"/>
          <w:szCs w:val="24"/>
        </w:rPr>
        <w:t>極端氣候</w:t>
      </w:r>
      <w:r w:rsidRPr="002764DD">
        <w:rPr>
          <w:rFonts w:ascii="標楷體" w:eastAsia="標楷體" w:hAnsi="標楷體" w:hint="eastAsia"/>
          <w:color w:val="000000" w:themeColor="text1"/>
          <w:szCs w:val="24"/>
        </w:rPr>
        <w:t>、</w:t>
      </w:r>
      <w:r w:rsidRPr="002764DD">
        <w:rPr>
          <w:rFonts w:ascii="標楷體" w:eastAsia="標楷體" w:hAnsi="標楷體"/>
          <w:color w:val="000000" w:themeColor="text1"/>
          <w:szCs w:val="24"/>
        </w:rPr>
        <w:lastRenderedPageBreak/>
        <w:t>疫病干擾</w:t>
      </w:r>
      <w:r w:rsidRPr="002764DD">
        <w:rPr>
          <w:rFonts w:ascii="標楷體" w:eastAsia="標楷體" w:hAnsi="標楷體" w:hint="eastAsia"/>
          <w:color w:val="000000" w:themeColor="text1"/>
          <w:szCs w:val="24"/>
        </w:rPr>
        <w:t>、</w:t>
      </w:r>
      <w:r w:rsidRPr="002764DD">
        <w:rPr>
          <w:rFonts w:ascii="標楷體" w:eastAsia="標楷體" w:hAnsi="標楷體"/>
          <w:color w:val="000000" w:themeColor="text1"/>
          <w:szCs w:val="24"/>
        </w:rPr>
        <w:t>產期集中</w:t>
      </w:r>
      <w:r w:rsidRPr="002764DD">
        <w:rPr>
          <w:rFonts w:ascii="標楷體" w:eastAsia="標楷體" w:hAnsi="標楷體" w:hint="eastAsia"/>
          <w:color w:val="000000" w:themeColor="text1"/>
          <w:szCs w:val="24"/>
        </w:rPr>
        <w:t>、外銷受阻等多重不利因素影響，及產銷預警與安全監管機制不足，致</w:t>
      </w:r>
      <w:r w:rsidRPr="002764DD">
        <w:rPr>
          <w:rFonts w:ascii="標楷體" w:eastAsia="標楷體" w:hAnsi="標楷體" w:hint="eastAsia"/>
          <w:color w:val="000000" w:themeColor="text1"/>
          <w:spacing w:val="2"/>
          <w:szCs w:val="24"/>
        </w:rPr>
        <w:t>鳳梨釋迦、石斑魚、雞蛋等供需失衡，而須辦理多項產銷調節因應措施，以穩定國內農漁畜產品產銷，產銷調節預算執行數由107年度之1億1,928萬餘元，增至111年度之10億9,988萬餘元，為歷年新高，108年度起連續4個年度均有鉅額超支，且超支金額龐鉅，超支比率達80.09％</w:t>
      </w:r>
      <w:r w:rsidRPr="002764DD">
        <w:rPr>
          <w:rFonts w:ascii="標楷體" w:eastAsia="標楷體" w:hAnsi="標楷體" w:hint="eastAsia"/>
          <w:color w:val="000000" w:themeColor="text1"/>
          <w:szCs w:val="24"/>
        </w:rPr>
        <w:t>至315.43％。1</w:t>
      </w:r>
      <w:r w:rsidRPr="002764DD">
        <w:rPr>
          <w:rFonts w:ascii="標楷體" w:eastAsia="標楷體" w:hAnsi="標楷體"/>
          <w:color w:val="000000" w:themeColor="text1"/>
          <w:szCs w:val="24"/>
        </w:rPr>
        <w:t>12</w:t>
      </w:r>
      <w:r w:rsidRPr="002764DD">
        <w:rPr>
          <w:rFonts w:ascii="標楷體" w:eastAsia="標楷體" w:hAnsi="標楷體" w:hint="eastAsia"/>
          <w:color w:val="000000" w:themeColor="text1"/>
          <w:szCs w:val="24"/>
        </w:rPr>
        <w:t>年度編列預算數5億1</w:t>
      </w:r>
      <w:r w:rsidRPr="002764DD">
        <w:rPr>
          <w:rFonts w:ascii="標楷體" w:eastAsia="標楷體" w:hAnsi="標楷體"/>
          <w:color w:val="000000" w:themeColor="text1"/>
          <w:szCs w:val="24"/>
        </w:rPr>
        <w:t>20</w:t>
      </w:r>
      <w:r w:rsidRPr="002764DD">
        <w:rPr>
          <w:rFonts w:ascii="標楷體" w:eastAsia="標楷體" w:hAnsi="標楷體" w:hint="eastAsia"/>
          <w:color w:val="000000" w:themeColor="text1"/>
          <w:szCs w:val="24"/>
        </w:rPr>
        <w:t>萬餘元，截至</w:t>
      </w:r>
      <w:r w:rsidRPr="002764DD">
        <w:rPr>
          <w:rFonts w:ascii="標楷體" w:eastAsia="標楷體" w:hAnsi="標楷體"/>
          <w:color w:val="000000" w:themeColor="text1"/>
          <w:szCs w:val="24"/>
        </w:rPr>
        <w:t>10</w:t>
      </w:r>
      <w:r w:rsidRPr="002764DD">
        <w:rPr>
          <w:rFonts w:ascii="標楷體" w:eastAsia="標楷體" w:hAnsi="標楷體" w:hint="eastAsia"/>
          <w:color w:val="000000" w:themeColor="text1"/>
          <w:szCs w:val="24"/>
        </w:rPr>
        <w:t>月底止，執行數3億8,</w:t>
      </w:r>
      <w:r w:rsidRPr="002764DD">
        <w:rPr>
          <w:rFonts w:ascii="標楷體" w:eastAsia="標楷體" w:hAnsi="標楷體"/>
          <w:color w:val="000000" w:themeColor="text1"/>
          <w:szCs w:val="24"/>
        </w:rPr>
        <w:t>929</w:t>
      </w:r>
      <w:r w:rsidRPr="002764DD">
        <w:rPr>
          <w:rFonts w:ascii="標楷體" w:eastAsia="標楷體" w:hAnsi="標楷體" w:hint="eastAsia"/>
          <w:color w:val="000000" w:themeColor="text1"/>
          <w:szCs w:val="24"/>
        </w:rPr>
        <w:t>萬餘元。有關產銷調節計畫執行情形，核有下列事項：</w:t>
      </w:r>
    </w:p>
    <w:p w14:paraId="74328FB1" w14:textId="7B8C8DD1" w:rsidR="00E8604E" w:rsidRPr="002764DD" w:rsidRDefault="00E8604E" w:rsidP="00E31547">
      <w:pPr>
        <w:overflowPunct w:val="0"/>
        <w:spacing w:line="40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　農產品輔導轉作之源頭管理成效有限，且外銷總出口值持續衰退，影響國內產銷調度，潛存產銷失衡風險：</w:t>
      </w:r>
      <w:r w:rsidRPr="002764DD">
        <w:rPr>
          <w:rFonts w:ascii="標楷體" w:eastAsia="標楷體" w:hAnsi="標楷體" w:hint="eastAsia"/>
          <w:color w:val="000000" w:themeColor="text1"/>
          <w:szCs w:val="24"/>
        </w:rPr>
        <w:t>農業部為穩定農產品產銷價格與提升農民收益，同時考量國際經貿自由化趨勢，自90年起每年依「行政院農業委員會訂定農業年度生產目標作業要點」參考過去3年生產實績、環境背景及價格趨勢，結合農業政策方向，評估國內外農業環境變化、產地實際生產狀況、市場需求、進出口數量等因素，規劃重要農產品年度目標生產面積與數量，並針對重要及敏感性農產品，參照生產目標，研訂年度產銷計畫加強輔導。又</w:t>
      </w:r>
      <w:r w:rsidR="007A7A85">
        <w:rPr>
          <w:rFonts w:ascii="標楷體" w:eastAsia="標楷體" w:hAnsi="標楷體" w:hint="eastAsia"/>
          <w:color w:val="000000" w:themeColor="text1"/>
          <w:szCs w:val="24"/>
        </w:rPr>
        <w:t>農業部</w:t>
      </w:r>
      <w:r w:rsidRPr="002764DD">
        <w:rPr>
          <w:rFonts w:ascii="標楷體" w:eastAsia="標楷體" w:hAnsi="標楷體" w:hint="eastAsia"/>
          <w:color w:val="000000" w:themeColor="text1"/>
          <w:szCs w:val="24"/>
        </w:rPr>
        <w:t>農糧署為避免部分農作物產銷因農民種植習性固定，產期及產區集中，於盛產期可能面臨產銷失衡情形，建立大宗蔬菜播種量及供苗預警資訊平臺，進行源頭管理及發布預警資訊，並輔導農民分批種植、轉作其他具外銷或加工需求之作物，以調整生產結構，穩定供需及維護農民收益。惟執行結果，107年度至112年10月底止，已辦理產銷調節措施之農糧作物品項高達29項，且部分作物（如香蕉、鳳梨、文旦柚、紅龍果、番石榴、柑桔類果品、芒果及甘藍等）連續多年仍出現產銷失衡而須緊急調節情形。經分析易發生產銷失衡作物生產狀況，其中香蕉、柑桔類果品、番石榴及甘藍等作物，實際產量或種植面積多超逾年度生產目標，農業部雖已建立大宗蔬菜播種量及供苗預警資訊，惟超產預警僅止於提醒性質而無強制效果，致經常性出現產銷失衡現象，輔導轉作之源頭管理措施成效尚屬有限。另中國大陸自110年度起陸續宣布暫停我方部分農漁產品輸入，農業部為減輕國內市場銷售壓力，積極推動農漁產品之海外拓銷獎勵計畫，鼓勵業者拓展外銷市場，提高出口數量，以穩定產地價格，惟依農業貿易統計資料，111年度農產品總出口值52億3,678萬餘美元，較110年度之56億6,918萬餘美元，減少4億3,240萬</w:t>
      </w:r>
      <w:r w:rsidR="007A7A85">
        <w:rPr>
          <w:rFonts w:ascii="標楷體" w:eastAsia="標楷體" w:hAnsi="標楷體" w:hint="eastAsia"/>
          <w:color w:val="000000" w:themeColor="text1"/>
          <w:szCs w:val="24"/>
        </w:rPr>
        <w:t>餘</w:t>
      </w:r>
      <w:r w:rsidRPr="002764DD">
        <w:rPr>
          <w:rFonts w:ascii="標楷體" w:eastAsia="標楷體" w:hAnsi="標楷體" w:hint="eastAsia"/>
          <w:color w:val="000000" w:themeColor="text1"/>
          <w:szCs w:val="24"/>
        </w:rPr>
        <w:t>美元，約7.63％，主要係111年度對中國大陸出口值驟減4億4,290萬餘美元，衰退幅度約39.53％，其間對日本出口值雖成長8,488萬餘美元，年增率約11.01％，仍無法彌補中國大陸對我國農產品實施進口禁令後減少之外銷缺口，顯示我國農產品外銷長期集中特定市場造成之嚴重衝擊，尚無法以獎勵補貼政策予以紓解</w:t>
      </w:r>
      <w:r w:rsidR="007A7A85">
        <w:rPr>
          <w:rFonts w:ascii="標楷體" w:eastAsia="標楷體" w:hAnsi="標楷體" w:hint="eastAsia"/>
          <w:color w:val="000000" w:themeColor="text1"/>
          <w:szCs w:val="24"/>
        </w:rPr>
        <w:t>；</w:t>
      </w:r>
      <w:r w:rsidRPr="002764DD">
        <w:rPr>
          <w:rFonts w:ascii="標楷體" w:eastAsia="標楷體" w:hAnsi="標楷體" w:hint="eastAsia"/>
          <w:color w:val="000000" w:themeColor="text1"/>
          <w:szCs w:val="24"/>
        </w:rPr>
        <w:t>又112年度1至10月農產品總出口值40億5,875萬餘美元，較111年度同期之44億3,01</w:t>
      </w:r>
      <w:r w:rsidR="007A7A85">
        <w:rPr>
          <w:rFonts w:ascii="標楷體" w:eastAsia="標楷體" w:hAnsi="標楷體" w:hint="eastAsia"/>
          <w:color w:val="000000" w:themeColor="text1"/>
          <w:szCs w:val="24"/>
        </w:rPr>
        <w:t>1</w:t>
      </w:r>
      <w:r w:rsidRPr="002764DD">
        <w:rPr>
          <w:rFonts w:ascii="標楷體" w:eastAsia="標楷體" w:hAnsi="標楷體" w:hint="eastAsia"/>
          <w:color w:val="000000" w:themeColor="text1"/>
          <w:szCs w:val="24"/>
        </w:rPr>
        <w:t>萬</w:t>
      </w:r>
      <w:r w:rsidR="007A7A85">
        <w:rPr>
          <w:rFonts w:ascii="標楷體" w:eastAsia="標楷體" w:hAnsi="標楷體" w:hint="eastAsia"/>
          <w:color w:val="000000" w:themeColor="text1"/>
          <w:szCs w:val="24"/>
        </w:rPr>
        <w:t>餘</w:t>
      </w:r>
      <w:r w:rsidRPr="002764DD">
        <w:rPr>
          <w:rFonts w:ascii="標楷體" w:eastAsia="標楷體" w:hAnsi="標楷體" w:hint="eastAsia"/>
          <w:color w:val="000000" w:themeColor="text1"/>
          <w:szCs w:val="24"/>
        </w:rPr>
        <w:t>美元，減少3億7,136萬餘美元，減幅約8.38％，其中香蕉、鳳梨、柑桔類果品及釋迦等作物，出口值衰退比率分別為12.30％、21.19％、30.77％及35.64％</w:t>
      </w:r>
      <w:r w:rsidR="007A7A85">
        <w:rPr>
          <w:rFonts w:ascii="標楷體" w:eastAsia="標楷體" w:hAnsi="標楷體" w:hint="eastAsia"/>
          <w:color w:val="000000" w:themeColor="text1"/>
          <w:szCs w:val="24"/>
        </w:rPr>
        <w:t>，恐影響國內產銷調度，產銷失衡問題加劇</w:t>
      </w:r>
      <w:r w:rsidRPr="002764DD">
        <w:rPr>
          <w:rFonts w:ascii="標楷體" w:eastAsia="標楷體" w:hAnsi="標楷體" w:hint="eastAsia"/>
          <w:color w:val="000000" w:themeColor="text1"/>
          <w:szCs w:val="24"/>
        </w:rPr>
        <w:t>。</w:t>
      </w:r>
    </w:p>
    <w:p w14:paraId="52BF7F32" w14:textId="77777777" w:rsidR="00E8604E" w:rsidRPr="002764DD" w:rsidRDefault="00E8604E">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2.　雞蛋產量統計調查資訊仍欠精準，蛋雞產業結構性問題亦待改善，影響政府及相關單位及時調控產銷之能力：</w:t>
      </w:r>
      <w:r w:rsidRPr="002764DD">
        <w:rPr>
          <w:rFonts w:ascii="標楷體" w:eastAsia="標楷體" w:hAnsi="標楷體" w:hint="eastAsia"/>
          <w:color w:val="000000" w:themeColor="text1"/>
          <w:szCs w:val="24"/>
        </w:rPr>
        <w:t>近年國內雞蛋供需失衡及產銷爭議等問題，按監察院曾於100年針對蛋雞產業包銷制度，蛋價長期掌握在大型蛋商等缺失，及雞蛋價格決定機制缺乏明確基礎</w:t>
      </w:r>
      <w:r w:rsidRPr="002764DD">
        <w:rPr>
          <w:rFonts w:ascii="標楷體" w:eastAsia="標楷體" w:hAnsi="標楷體" w:hint="eastAsia"/>
          <w:color w:val="000000" w:themeColor="text1"/>
          <w:szCs w:val="24"/>
        </w:rPr>
        <w:lastRenderedPageBreak/>
        <w:t>等情糾正農業部，又108年間國內面臨蛋價飆漲，監察院針對無法掌握與調控雞蛋數量及價格，未善盡主管機關對蛋品產銷調控職責等情再次提出糾正。本部於111及112年度查核雞蛋產銷調節計畫執行情形，發現農業部及財團法人中央畜產會（下稱中央畜產會</w:t>
      </w:r>
      <w:r w:rsidRPr="002764DD">
        <w:rPr>
          <w:rFonts w:ascii="標楷體" w:eastAsia="標楷體" w:hAnsi="標楷體"/>
          <w:color w:val="000000" w:themeColor="text1"/>
          <w:szCs w:val="24"/>
        </w:rPr>
        <w:t>）</w:t>
      </w:r>
      <w:r w:rsidRPr="002764DD">
        <w:rPr>
          <w:rFonts w:ascii="標楷體" w:eastAsia="標楷體" w:hAnsi="標楷體" w:hint="eastAsia"/>
          <w:color w:val="000000" w:themeColor="text1"/>
          <w:szCs w:val="24"/>
        </w:rPr>
        <w:t>為輔導雞蛋業者生產調度，進行價格監控及供銷調節，110年度召開4次雞蛋預供調配會議，並根據社團法人中華民國養雞協會（下稱養雞協會）調查統計之雞蛋生產資訊研判結果，預期未來月份日均產蛋箱數將超過12萬箱，雞蛋將供過於求，產地價格下跌致嚴重影響蛋農收益，均決議建請蛋農加速淘汰寡產蛋雞。然110年入冬後，蛋雞受氣候及疫病等因素干擾，產蛋效率不佳，且因蛋種雞進口時程遲延，無法及時更新產蛋雞群或淘汰後未能立即補充，致國內雞蛋嚴重短缺，蛋價節節攀升。經分析養雞協會調查統計之雞蛋產量及實際產地價格資訊發現，農業部據以研判雞蛋產銷趨勢之相關生產數據，囿於調查人力有限及蛋農未覈實回報生產現況，存有時間落差及失真情形，如110年1月至111年9月雞蛋日均產蛋箱數調查結果與實際月平均產地蛋價竟呈現異常之同向變動趨勢，未來產銷趨勢研判結果（供過於求、價格下跌）與實際情形（供不應求、價格上漲）未能相契合，產銷預警機制未能發揮功能，顯示生產資訊失真情形已嚴重影響產銷調控決策之判斷，致雞蛋產銷失衡。另農業部111年度投入5億2,283萬餘元辦理雞蛋產銷調節計畫，期透過補助蛋雞場增產雞蛋、復養蛋雞、協調加工業者調度原料蛋及專案進口雞蛋等因應措施，解決國內缺蛋及蛋價高漲問題，惟缺蛋問題仍持續延燒至112年初，復於112年3至10月間透過中央畜產會，以吸收國外雞蛋到岸價格與國內雞蛋產地價格之差額方式，專案進口雞蛋1.54億顆，補足國內雞蛋缺口，預計投入8億1,801萬餘元辦理雞蛋緊急調度計畫。又依農業部統計資料，截至112年10月底止，全臺蛋雞場達8成為傳統開放式禽舍，雞隻易受氣候、疫病等因素影響產蛋效率，且國內雞蛋運銷模式以蛋商採包銷制收購為主，蛋農多以混齡方式飼養，致蛋雞場未能以「空場」方式全面清消，形成禽場生物安全管理之漏洞，蛋雞育成及產蛋效率易受影響等因素長期無法有效改善，不利蛋雞產業發展及雞蛋產銷調節。</w:t>
      </w:r>
    </w:p>
    <w:p w14:paraId="177F91C9" w14:textId="77777777" w:rsidR="00E8604E" w:rsidRPr="002764DD" w:rsidRDefault="00E8604E">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鑑於政府輔導各項農產品實施計畫性生產之源頭管理成效有限，無法透過先期預警調整產銷策略，又農產品總出口值持續衰退，影響國內產銷調度；另雞蛋產量統計調查資訊尚欠精準及蛋雞產業結構性問題待改善等因素，產銷調節計畫經費連年超支且金額龐鉅，允宜督促農業部積極強化遵循計畫性生產之誘因，提高農民配合意願及輔導農民建立產銷風險管理意識，有效從源頭管控產量，並積極研謀善策拓展多元外銷通路，分散市場風險；持續精進雞蛋生產數據調查技術，及研擬前瞻政策促進蛋雞產業發展，以有效改善我國農產品產業結構，降低農產品產銷失衡之頻度，俾減少產銷調節經費支出及減輕政府財務負擔。</w:t>
      </w:r>
    </w:p>
    <w:p w14:paraId="14087FB9" w14:textId="77777777" w:rsidR="00E8604E" w:rsidRPr="002764DD" w:rsidRDefault="00E8604E" w:rsidP="00E31547">
      <w:pPr>
        <w:pStyle w:val="2"/>
        <w:overflowPunct w:val="0"/>
        <w:spacing w:beforeLines="20" w:before="72" w:afterLines="20" w:after="72" w:line="40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（三）　政府為因應綠色交通運輸趨勢，積極推動重大軌道建設計畫，惟軌道建設興建成本龐鉅，且仰賴中央政府預算挹注，財務負擔沉重，允宜就後續鉅額延續性經費妥謀善策，及研訂全國性軌道建設藍圖，作為整體運輸規劃與審議準據，並督導地方政府覈實估算運量與自償率，建立追蹤考核及回饋機制，確保政府資源有效運用，增進財務效能。</w:t>
      </w:r>
    </w:p>
    <w:p w14:paraId="25189C6C" w14:textId="75FECA27"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lastRenderedPageBreak/>
        <w:t>政府為紓緩城際及都會區交通，提升公共運輸使用率，積極推動軌道建設，又因年度一般公共建設經費預算不足，加以各市縣對軌道交通之需求不斷增加，爰自106年度起將軌道建設經費納列於前瞻基礎建設計畫（下稱前瞻計畫）特別預算。依行政院106年4月5日核定前瞻計畫所載，軌道建設列有</w:t>
      </w:r>
      <w:r w:rsidR="007A7A85">
        <w:rPr>
          <w:rFonts w:ascii="標楷體" w:eastAsia="標楷體" w:hAnsi="標楷體" w:hint="eastAsia"/>
          <w:color w:val="000000" w:themeColor="text1"/>
          <w:szCs w:val="24"/>
        </w:rPr>
        <w:t>5</w:t>
      </w:r>
      <w:r w:rsidRPr="002764DD">
        <w:rPr>
          <w:rFonts w:ascii="標楷體" w:eastAsia="標楷體" w:hAnsi="標楷體" w:hint="eastAsia"/>
          <w:color w:val="000000" w:themeColor="text1"/>
          <w:szCs w:val="24"/>
        </w:rPr>
        <w:t>大主軸、38項計畫，概估計畫總經費高達9,558.64億元（含中央公務預算、特別預算及地方自籌款），規模龐鉅，其中4,241.33億元擬由特別預算支應，為前瞻基礎建設之重點施政項目（</w:t>
      </w:r>
      <w:r w:rsidR="007A7A85">
        <w:rPr>
          <w:rFonts w:ascii="標楷體" w:eastAsia="標楷體" w:hAnsi="標楷體" w:hint="eastAsia"/>
          <w:color w:val="000000" w:themeColor="text1"/>
          <w:szCs w:val="24"/>
        </w:rPr>
        <w:t>占</w:t>
      </w:r>
      <w:r w:rsidRPr="002764DD">
        <w:rPr>
          <w:rFonts w:ascii="標楷體" w:eastAsia="標楷體" w:hAnsi="標楷體" w:hint="eastAsia"/>
          <w:color w:val="000000" w:themeColor="text1"/>
          <w:szCs w:val="24"/>
        </w:rPr>
        <w:t>8年期特別預算額度上限8,400億元</w:t>
      </w:r>
      <w:r w:rsidR="007A7A85">
        <w:rPr>
          <w:rFonts w:ascii="標楷體" w:eastAsia="標楷體" w:hAnsi="標楷體" w:hint="eastAsia"/>
          <w:color w:val="000000" w:themeColor="text1"/>
          <w:szCs w:val="24"/>
        </w:rPr>
        <w:t>逾</w:t>
      </w:r>
      <w:r w:rsidRPr="002764DD">
        <w:rPr>
          <w:rFonts w:ascii="標楷體" w:eastAsia="標楷體" w:hAnsi="標楷體" w:hint="eastAsia"/>
          <w:color w:val="000000" w:themeColor="text1"/>
          <w:szCs w:val="24"/>
        </w:rPr>
        <w:t>5成）。惟邇來媒體針對軌道建設目標達成績效、補助預算資源配置合理性、地方自籌款對其財政影響、公共運輸使用率不增反減等議題之報導，引起各界高度關切。有關軌道建設各項計畫辦理情形，核有下列事項：</w:t>
      </w:r>
    </w:p>
    <w:p w14:paraId="3C35A843"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　前瞻計畫軌道建設間有未符計畫所訂推動及選案原則，致執行進度未如預期，並遭大幅調減特別預算編列數，須就後續鉅額延續性經費妥謀善策：</w:t>
      </w:r>
      <w:r w:rsidRPr="002764DD">
        <w:rPr>
          <w:rFonts w:ascii="標楷體" w:eastAsia="標楷體" w:hAnsi="標楷體" w:hint="eastAsia"/>
          <w:color w:val="000000" w:themeColor="text1"/>
          <w:szCs w:val="24"/>
        </w:rPr>
        <w:t>依前述106年4月5日核定之前瞻計畫，列述推動原則包括：「具有必要性、急迫性及乘數效果」，又軌道建設之選案原則，係「4年內可執行加速完成或具成效之已核定或4年內可啟動之新興計畫」。按軌道建設所列38項計畫，因相關新興計畫依規定應辦理可行性研究、綜合規劃、環境影響評估及都市計畫等各項審議程序，歷經前4年之執行結果，尚未核定並啟動者逾6成，進度未如預期，預算實現率偏低，顯未符計畫所訂推動及選案原則。嗣政府考量諸多計畫於前瞻計畫特別預算屆期後方能完工，爰於109年間編列前瞻計畫第3期特別預算時，大幅調減軌道建設整體經費（由原規劃之4,241.33億元降為約1,900億元，前瞻計畫並未修正重新核定），並說明調減部分將回歸一般公共建設預算編列。按前瞻計畫第1期至第4期（106至113年度）特別預算，軌道建設經費累計編列1,521.15億元，僅占總歲出預算7,696.87億元之19.76％，與原預期（占逾5成）顯有極大落差，影響後續作業啟動時程及推動主軸預期效益之達成；另占該38項軌道建設計畫原預估總經費9,558.64億元亦僅15.91％，尚有鉅額延續性經費，須於前瞻計畫屆期後由公務預算續編，亦待妥為因應，避免計畫所需財源排擠其他公共建設計畫經費需求。</w:t>
      </w:r>
    </w:p>
    <w:p w14:paraId="7184E1B0"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2.　軌道建設興建成本龐鉅，尚乏全國性軌道建設藍圖，作為整體運輸規劃與審議準據，影響政府資源配置及財務效益之展現：</w:t>
      </w:r>
      <w:r w:rsidRPr="002764DD">
        <w:rPr>
          <w:rFonts w:ascii="標楷體" w:eastAsia="標楷體" w:hAnsi="標楷體" w:hint="eastAsia"/>
          <w:color w:val="000000" w:themeColor="text1"/>
          <w:szCs w:val="24"/>
        </w:rPr>
        <w:t>前瞻計畫軌道建設5大主軸中，以鐵路立體化或通勤提速、都市推捷運等2項為推動重點，計有22項計畫（占總數38項之57.89％），概估計畫經費約8,223.95億元（占軌道建設總經費9,558.64億元之86.04％），經費來源包括地方預算等。截至111年底止，該2大建設主軸之執行中計畫，計畫總經費7,367.85億元，其中須由地方自籌款高達3,794.86億元。按前瞻計畫軌道建設規模龐鉅，且截至112年10月底仍有多項計畫尚處可行性研究或綜合規劃階段，然軌道相關計畫之推動多由地方政府提報，此由下而上之提報方式較難顧及整體效益，且交通部迄未進行軌道建設全面性整合，缺乏以總體資源供需角度，系統性規劃全國軌道建設藍圖，作為整體規劃及審議相關建設計畫及其推動優先順序之準據，以積極引導地方政府規劃因地制宜之最適經濟規模軌道建設，除導致個案計畫之推動難以展現預期效益外，並影響政府資源配置合理性及財務運用效益性。</w:t>
      </w:r>
    </w:p>
    <w:p w14:paraId="11D3047E" w14:textId="69C7158D"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3.　軌道建設仰賴中央政府預算挹注，財務負擔沉重，且部分軌道建設計畫之財務效</w:t>
      </w:r>
      <w:r w:rsidRPr="002764DD">
        <w:rPr>
          <w:rFonts w:ascii="標楷體" w:eastAsia="標楷體" w:hAnsi="標楷體" w:hint="eastAsia"/>
          <w:b/>
          <w:color w:val="000000" w:themeColor="text1"/>
          <w:szCs w:val="24"/>
        </w:rPr>
        <w:lastRenderedPageBreak/>
        <w:t>益評估過於樂觀，地方政府估算運量與自償率未盡覈實，亦未建立後續追蹤考核及回饋機制：</w:t>
      </w:r>
      <w:r w:rsidRPr="002764DD">
        <w:rPr>
          <w:rFonts w:ascii="標楷體" w:eastAsia="標楷體" w:hAnsi="標楷體" w:hint="eastAsia"/>
          <w:color w:val="000000" w:themeColor="text1"/>
          <w:szCs w:val="24"/>
        </w:rPr>
        <w:t>為使政府資源有效運用，軌道建設計畫須辦理可行性研究及綜合規劃，內容包括衡量興建成本由營運收入回收情形之自償率分析。我國軌道建設計畫規劃過程間有營運量與財務效益評估過於樂觀，增加財政負擔風險情事，如新北捷運環狀線（第一階段）、淡海輕軌綠山線、桃園機場捷運、臺中捷運綠線、高雄捷運紅橘線、環狀輕軌（第一階段）等，實際平均日運量多未達建設計畫或綜合規劃報告預估之6成。又交通部訂定之鐵路及捷運建設計畫審查作業要點規定，相關計畫中央補助門檻原則上以自償率為衡量基準，重大軌道建設計畫並多以營運年期30年為自償率評估期間，對未來營運期之運量預測，存有相當不確定性；復大型軌道建設施工期間多長達十餘年，部分計畫自興建起相距40年以上，始能評估其自償率之達成情形，軌道建設計畫雖於規劃階段就自償率予以評估與審查，惟執行期間因土地取得、設計作業、物價調整或廠商履約等多次計畫修正，卻未辦理再評估及配合調整自償率，且缺乏事後評估機制，致未能適時提供回饋資訊，作為評量計畫實際執行成效之參考。</w:t>
      </w:r>
    </w:p>
    <w:p w14:paraId="67600A72" w14:textId="77777777"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鑑於軌道建設興建成本龐鉅，仰賴中央政府預算挹注，財務負擔沉重，允宜就前瞻計畫軌道建設未符計畫所訂推動及選案原則，致須調減特別預算並回歸公務預算編列，檢討妥謀善策，以利原預期效益之達成；又前瞻計畫軌道建設多項計畫仍於可行性研究或綜合規劃階段，尚乏全國性軌道建設藍圖，作為審議及推動優先順序之準據，允宜就我國未來30年軌道發展需求提出具體之軌道建設藍圖暨交通整合規劃，以明確整體軌道建設政策及執行效益；另為免軌道建設計畫財務效益評估過於樂觀，增加財政負擔風險，允宜督促執行機關應隨同修正計畫適時調整，提高相關數據之準確度，並列管追蹤已通車路線之實際營運效益及建立回饋機制，確保政府資源妥適配置與有效運用，增進財務效能。</w:t>
      </w:r>
    </w:p>
    <w:p w14:paraId="6A7DABDA" w14:textId="77777777" w:rsidR="00E8604E" w:rsidRPr="002764DD" w:rsidRDefault="00E8604E" w:rsidP="00265FC8">
      <w:pPr>
        <w:pStyle w:val="2"/>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（四）　政</w:t>
      </w:r>
      <w:r w:rsidRPr="002764DD">
        <w:rPr>
          <w:rFonts w:hAnsi="標楷體" w:hint="eastAsia"/>
          <w:b/>
          <w:color w:val="000000" w:themeColor="text1"/>
          <w:spacing w:val="2"/>
          <w:sz w:val="28"/>
          <w:szCs w:val="28"/>
        </w:rPr>
        <w:t>府推動整體科技發展，全國研發經費占國內生產毛額比率逐年成長，</w:t>
      </w:r>
      <w:r w:rsidRPr="002764DD">
        <w:rPr>
          <w:rFonts w:hAnsi="標楷體" w:hint="eastAsia"/>
          <w:b/>
          <w:color w:val="000000" w:themeColor="text1"/>
          <w:sz w:val="28"/>
          <w:szCs w:val="28"/>
        </w:rPr>
        <w:t>惟長期偏重於技術發展，投入基礎研究經費比率偏低，且尚無法有效引導企業投入原創性之創新研發，</w:t>
      </w:r>
      <w:r w:rsidRPr="00B77760">
        <w:rPr>
          <w:rFonts w:hAnsi="標楷體" w:hint="eastAsia"/>
          <w:b/>
          <w:color w:val="000000" w:themeColor="text1"/>
          <w:spacing w:val="-4"/>
          <w:sz w:val="28"/>
          <w:szCs w:val="28"/>
        </w:rPr>
        <w:t>產業技術自主性仍待強化；又學術期刊論文被引用次數及收錄篇數尚有提升空間，允宜研謀強化基礎研究能量</w:t>
      </w:r>
      <w:r w:rsidRPr="002764DD">
        <w:rPr>
          <w:rFonts w:hAnsi="標楷體" w:hint="eastAsia"/>
          <w:b/>
          <w:color w:val="000000" w:themeColor="text1"/>
          <w:sz w:val="28"/>
          <w:szCs w:val="28"/>
        </w:rPr>
        <w:t>，並引導企業共同提升投入基礎研究經費，及研謀提升學術論文影響力之對策，以增進科研經費運用效能。</w:t>
      </w:r>
    </w:p>
    <w:p w14:paraId="7236AE5F" w14:textId="77777777"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政府面對全球競爭與挑戰，為促進產業發展及提升國家競爭力，投入科技發展經費，以提升科研創新能量。各主管機關因應新興科技快速發展，除既有科技施政目標外，亦藉由前瞻基礎建設計畫、五加二產業創新計畫及六大核心戰略產業推動方案之執行，暨跨領域與跨部會合作，期提升產業創新研發動能。有關政府推動整體科技發展情形，核有下列事項：</w:t>
      </w:r>
    </w:p>
    <w:p w14:paraId="36CC6D18" w14:textId="055A01E8"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　科技研發長期偏重技術發展，投入基礎研究經費之比率仍有待提升：</w:t>
      </w:r>
      <w:r w:rsidRPr="002764DD">
        <w:rPr>
          <w:rFonts w:ascii="標楷體" w:eastAsia="標楷體" w:hAnsi="標楷體" w:hint="eastAsia"/>
          <w:color w:val="000000" w:themeColor="text1"/>
          <w:szCs w:val="24"/>
        </w:rPr>
        <w:t>依科學技術基本法第4條規定，政府應採取必要措施，以持續充實基礎研究。科技部（111年7月27日改制為國家科學及技術委員會，下稱國科會）於109年召開第11次全國科學技術會議，與會專家學者建議，基礎研究為國家發展基盤，須針對未來新興領域與尖端科技進行研發部署，鼓勵前</w:t>
      </w:r>
      <w:r w:rsidRPr="002764DD">
        <w:rPr>
          <w:rFonts w:ascii="標楷體" w:eastAsia="標楷體" w:hAnsi="標楷體" w:hint="eastAsia"/>
          <w:color w:val="000000" w:themeColor="text1"/>
          <w:szCs w:val="24"/>
        </w:rPr>
        <w:lastRenderedPageBreak/>
        <w:t>瞻性研究計畫。</w:t>
      </w:r>
      <w:r w:rsidR="00914445">
        <w:rPr>
          <w:rFonts w:ascii="標楷體" w:eastAsia="標楷體" w:hAnsi="標楷體" w:hint="eastAsia"/>
          <w:color w:val="000000" w:themeColor="text1"/>
          <w:szCs w:val="24"/>
        </w:rPr>
        <w:t>國科會</w:t>
      </w:r>
      <w:r w:rsidRPr="002764DD">
        <w:rPr>
          <w:rFonts w:ascii="標楷體" w:eastAsia="標楷體" w:hAnsi="標楷體" w:hint="eastAsia"/>
          <w:color w:val="000000" w:themeColor="text1"/>
          <w:szCs w:val="24"/>
        </w:rPr>
        <w:t>經參酌各界意見，將厚實基礎研究列為國家科學技術發展計畫（110至113年）策略目標之一，規範政府應維持基礎研究經費額度一定投入比例與成長，完善建置科技發展所需基礎環境，保障基礎研究經費不受政局變化影響，並維持長期穩定之科研經費來源。另依國科會於112年10月31日公布之「111年全國科技動態調查」載述，111年度全國研發經費8,979億餘元，占國內生產毛額（GDP）之3.96％，較107年度全國研發經費6,159億餘元，占GDP比率3.35％，有逐年成長趨勢，</w:t>
      </w:r>
      <w:r w:rsidR="005D60A4">
        <w:rPr>
          <w:rFonts w:ascii="標楷體" w:eastAsia="標楷體" w:hAnsi="標楷體" w:hint="eastAsia"/>
          <w:color w:val="000000" w:themeColor="text1"/>
          <w:szCs w:val="24"/>
        </w:rPr>
        <w:t>107至111</w:t>
      </w:r>
      <w:r w:rsidRPr="002764DD">
        <w:rPr>
          <w:rFonts w:ascii="標楷體" w:eastAsia="標楷體" w:hAnsi="標楷體" w:hint="eastAsia"/>
          <w:color w:val="000000" w:themeColor="text1"/>
          <w:szCs w:val="24"/>
        </w:rPr>
        <w:t>年度全國研發經費平均年成長率9.37％。以研發經費投入類型區分，111年度技術發展經費6,540億餘元，占全國研發經費比率由107年度之69.75％上升</w:t>
      </w:r>
      <w:r w:rsidRPr="002764DD">
        <w:rPr>
          <w:rFonts w:ascii="標楷體" w:eastAsia="標楷體" w:hAnsi="標楷體" w:hint="eastAsia"/>
          <w:color w:val="000000" w:themeColor="text1"/>
          <w:spacing w:val="-4"/>
          <w:szCs w:val="24"/>
        </w:rPr>
        <w:t>至111年度之72.83％，增加3.08個百分點，成長幅度最高；基礎研究經費685億餘元，占全國研發經費比率由107年度之7.46％成長至111年度之7.63％，</w:t>
      </w:r>
      <w:r w:rsidRPr="002764DD">
        <w:rPr>
          <w:rFonts w:ascii="標楷體" w:eastAsia="標楷體" w:hAnsi="標楷體" w:hint="eastAsia"/>
          <w:color w:val="000000" w:themeColor="text1"/>
          <w:szCs w:val="24"/>
        </w:rPr>
        <w:t>僅微幅增加0.17個百分點，成長幅度低於全國研發經費增加比率（9.37％），顯示我國科技研發長期偏重技術發展，投入基礎研究經費之比率仍低，且相較鄰近國家（如新加坡22.8％、南韓14.4％、日本12.3％），我國基礎研究經費占比仍有待提升。</w:t>
      </w:r>
    </w:p>
    <w:p w14:paraId="5B8211DA"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2.　政府增加基礎研究經費挹注，尚無法有效引導企業投入原創性之創新研發，產業技術自主性亦待強化：</w:t>
      </w:r>
      <w:r w:rsidRPr="002764DD">
        <w:rPr>
          <w:rFonts w:ascii="標楷體" w:eastAsia="標楷體" w:hAnsi="標楷體" w:hint="eastAsia"/>
          <w:color w:val="000000" w:themeColor="text1"/>
          <w:szCs w:val="24"/>
        </w:rPr>
        <w:t>行政院110年5月核定之國家科學技術發展計畫（110至113年）列載，基礎研究為我國科研能量之基盤，成果應用影響深遠，政府除穩定投入基礎研究預算之外，須思考如何提高企業參與意願，協助與引導企業投入原創性之創新研發，強化產業核心競爭力。政府近年增加研發經費投入，111年度中央政府總預算及前瞻基礎建設計畫第3期（110至111年度）特別預算編列研發經費合計1,250億餘元，較107年度之1,157億餘元，增加93億餘元，其中基礎研究經費係國科會自109年度爭取獨立編列，由109年度之387億餘元，增加至112年度之443億餘元。依111年全國科技動態調查載述，以執行部門區分，111年度高等教育部門執行之研發經費580億餘元，其中413億餘元為基礎研究，占其研發經費之71.24％，較107年度增加28.73個百分點，主要係政府增加基礎研究經費之挹注，惟企業部門111年度執行之研發經費7,677億餘元，其中僅64億餘元為基礎研究，占其研發經費之0.84％，且較110年度下降0.15個百分點，於主要國家中，僅略高於中國大陸之0.5％（2020年），與瑞士（26.3％）、新加坡（17.5％）、荷蘭（11.3％）及南韓（10.5％）（2019年）等國家相較，企業投入基礎研究經費比率差距甚大，有待研謀協助及引導企業投入原創性基礎研究之措施。另技術貿易收支餘額為衡量一個國家技術進步程度之指標，其中技術輸出象徵產業技術自主能力，依經濟部工廠校正及營運調查報告（111年4月出版）統計，我國技術貿易收支淨額長期呈現逆差，106至109年度技術輸出金額介於425億餘元至469億餘元，平均每年成長率僅約2.76％，技術貿易逆差介於106億餘元至364億餘元之間，產業技術自主性仍待強化。</w:t>
      </w:r>
    </w:p>
    <w:p w14:paraId="27F3B3C2"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3.　我國學術期刊論文被引用次數及收錄篇數排名下滑，尚有提升空間：</w:t>
      </w:r>
      <w:r w:rsidRPr="002764DD">
        <w:rPr>
          <w:rFonts w:ascii="標楷體" w:eastAsia="標楷體" w:hAnsi="標楷體" w:hint="eastAsia"/>
          <w:color w:val="000000" w:themeColor="text1"/>
          <w:szCs w:val="24"/>
        </w:rPr>
        <w:t xml:space="preserve">依國科會109至112年度基礎科學研究計畫載述，計畫目標為持續提升學術論文影響力。按學術論文篇數及引用次數為學術論文影響力之重要指標，又國科會每年出版之科學技術統計要覽亦將臺灣期刊論文於科學引用索引（Science Citation Index Expanded, SCIE）及工程索引（The Engineering </w:t>
      </w:r>
      <w:r w:rsidRPr="002764DD">
        <w:rPr>
          <w:rFonts w:ascii="標楷體" w:eastAsia="標楷體" w:hAnsi="標楷體" w:hint="eastAsia"/>
          <w:color w:val="000000" w:themeColor="text1"/>
          <w:szCs w:val="24"/>
        </w:rPr>
        <w:lastRenderedPageBreak/>
        <w:t>Index,</w:t>
      </w:r>
      <w:r w:rsidRPr="002764DD">
        <w:rPr>
          <w:rFonts w:ascii="標楷體" w:eastAsia="標楷體" w:hAnsi="標楷體" w:hint="eastAsia"/>
          <w:color w:val="000000" w:themeColor="text1"/>
          <w:spacing w:val="-4"/>
          <w:sz w:val="28"/>
          <w:szCs w:val="28"/>
        </w:rPr>
        <w:t xml:space="preserve"> </w:t>
      </w:r>
      <w:r w:rsidRPr="002764DD">
        <w:rPr>
          <w:rFonts w:ascii="標楷體" w:eastAsia="標楷體" w:hAnsi="標楷體" w:hint="eastAsia"/>
          <w:color w:val="000000" w:themeColor="text1"/>
          <w:szCs w:val="24"/>
        </w:rPr>
        <w:t>EI）資料庫收錄篇數列為主要科技成果。111年度臺灣期刊論文於SCIE資料庫收錄篇數3萬6,394篇，107至111年度被引用次數140萬餘次，已較107年度之收錄篇數2萬6,094篇、103至107年度被引用次數86萬餘次多，惟被引用次數排名由第21名下滑3名至第24名；111年度臺灣期刊論文於EI資料庫收錄篇數2萬2,382篇，排名第21名，亦較107年度之2萬218篇增加，惟排名落後2名，尚有提升空間。</w:t>
      </w:r>
    </w:p>
    <w:p w14:paraId="4B43F1F7" w14:textId="77777777"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鑑於政府近年除持續執行五加二產業創新計畫及六大核心戰略產業推動方案，並擴大經費投入量子、太空、淨零碳排、高齡科技、6G次世代通訊等新興科技，允宜督促權責機關研謀強化基礎研究能量，及引導企業共同提升投入基礎研究經費，並研謀提升學術論文影響力之對策，以增進科研經費運用效能。</w:t>
      </w:r>
    </w:p>
    <w:p w14:paraId="08A67E6E" w14:textId="77777777" w:rsidR="00E8604E" w:rsidRPr="002764DD" w:rsidRDefault="00E8604E" w:rsidP="00265FC8">
      <w:pPr>
        <w:pStyle w:val="2"/>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（五）　受人口老化影響，</w:t>
      </w:r>
      <w:r w:rsidRPr="00E34E1E">
        <w:rPr>
          <w:rFonts w:hAnsi="標楷體" w:hint="eastAsia"/>
          <w:b/>
          <w:color w:val="000000" w:themeColor="text1"/>
          <w:spacing w:val="-4"/>
          <w:sz w:val="28"/>
          <w:szCs w:val="28"/>
        </w:rPr>
        <w:t>健保藥費支出逐年攀升，其中指示用藥及日劑藥費111年度申報金額更達79億餘元，健保署雖已檢討指示用藥給付情形，</w:t>
      </w:r>
      <w:r w:rsidRPr="002764DD">
        <w:rPr>
          <w:rFonts w:hAnsi="標楷體" w:hint="eastAsia"/>
          <w:b/>
          <w:color w:val="000000" w:themeColor="text1"/>
          <w:sz w:val="28"/>
          <w:szCs w:val="28"/>
        </w:rPr>
        <w:t>惟進程緩慢；另日劑藥費之給付若與實際開立之藥品價格比較存有增加藥費支出之現象，允宜督促落實檢討指示用藥及日劑藥費給付之允適性，以提升健保資源利用效率。</w:t>
      </w:r>
    </w:p>
    <w:p w14:paraId="764CF270" w14:textId="77777777"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全民健康保險（下稱健保）自84年開辦以來，藥品費用係由醫事機構依「全民健康保險藥物給付項目及支付標準」申報。依中央健康保險署（下稱健保署）統計，因受人口老化影響，健保藥費已由91年度之906億餘點，逐年成長至111年度之2,316億餘點</w:t>
      </w:r>
      <w:r w:rsidRPr="00E34E1E">
        <w:rPr>
          <w:rFonts w:ascii="標楷體" w:eastAsia="標楷體" w:hAnsi="標楷體" w:hint="eastAsia"/>
          <w:color w:val="000000" w:themeColor="text1"/>
          <w:spacing w:val="-4"/>
          <w:szCs w:val="24"/>
        </w:rPr>
        <w:t>（藥品支付價格於總額預算下，係以1點1元保障點值計算），藥費占整體醫療費用之比率，</w:t>
      </w:r>
      <w:r w:rsidRPr="002764DD">
        <w:rPr>
          <w:rFonts w:ascii="標楷體" w:eastAsia="標楷體" w:hAnsi="標楷體" w:hint="eastAsia"/>
          <w:color w:val="000000" w:themeColor="text1"/>
          <w:szCs w:val="24"/>
        </w:rPr>
        <w:t>亦由91年度之24.41％，增加至111年度之27.32％。有關健保藥費中指示用藥及日劑藥費之給付情形，核有下列事項：</w:t>
      </w:r>
    </w:p>
    <w:p w14:paraId="00FDA089"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　指示用藥依法非屬健保規定給付範疇，健保署雖自94年起逐步檢討指示用藥給付情形，惟進程緩慢：</w:t>
      </w:r>
      <w:r w:rsidRPr="002764DD">
        <w:rPr>
          <w:rFonts w:ascii="標楷體" w:eastAsia="標楷體" w:hAnsi="標楷體" w:hint="eastAsia"/>
          <w:color w:val="000000" w:themeColor="text1"/>
          <w:szCs w:val="24"/>
        </w:rPr>
        <w:t>我國藥品依風險高低分為三級，分別為處方藥、指示用藥及成藥，其中指示用藥係指藥性溫和，使用風險較處方藥低，不需要醫師處方，而須有醫師或藥師等依症狀評估及指示後才可購買。依全民健康保險法第51條第4款規定，成藥、醫師藥師藥劑生指示藥品不列入保險給付範圍，惟健保開辦初期，考量醫師醫療習慣及民眾用藥需要，於「全民健康保險藥物給付項目及支付標準」第11條第1項第2款規定，原前公、勞保核准使用之指示用藥，經醫師處方暫予支付，但保險人應逐步檢討並縮小該類品項之給付範圍。按健保署為管控藥費支出及檢討指示用藥給付範圍，自94及95年陸續取消制酸劑與低含量、低效價維生素及礦物質等指示用藥健保給付，經統計截至107年5月底止，收載之指示用藥仍有949項，其中使用人數在5,000人以下者有276項，爰於110年12月22日邀集相關醫藥學（協）會團體，召開「全民健康保險收載指示藥品之意見交流會議」，結論以保障病人權益及減少社會衝擊為前提，逐步檢討指示藥品之健保給付品項，並整理使用人數在5,000人以下之指示藥品品項，依程序檢討評估。惟依健保署統計，指示藥品僅由108年底之872項，緩步下降至111年底之836項，3年期間僅減少36項，各該年度指示藥品之申報金額仍分別有20.95億元、19.27億元、17.80億元及20.56億元，112年度截至6月底止，因部分處方藥改列為指示用藥，收載之指示用藥暫</w:t>
      </w:r>
      <w:r w:rsidRPr="002764DD">
        <w:rPr>
          <w:rFonts w:ascii="標楷體" w:eastAsia="標楷體" w:hAnsi="標楷體" w:hint="eastAsia"/>
          <w:color w:val="000000" w:themeColor="text1"/>
          <w:szCs w:val="24"/>
        </w:rPr>
        <w:lastRenderedPageBreak/>
        <w:t>時上升為841項，申報金額為11億餘元。雖據健保署說明，取消指示用藥採雙軌方式進行，分由醫學相關專業團體提出取消給付，及主動蒐集專業醫學會評估意見，並優先朝對病患用藥影響程度小之品項</w:t>
      </w:r>
      <w:r w:rsidRPr="00E34E1E">
        <w:rPr>
          <w:rFonts w:ascii="標楷體" w:eastAsia="標楷體" w:hAnsi="標楷體" w:hint="eastAsia"/>
          <w:color w:val="000000" w:themeColor="text1"/>
          <w:spacing w:val="-4"/>
          <w:szCs w:val="24"/>
        </w:rPr>
        <w:t>（如使用人數較少者）檢討，經專業評估後按程序審核。</w:t>
      </w:r>
      <w:r w:rsidRPr="002764DD">
        <w:rPr>
          <w:rFonts w:ascii="標楷體" w:eastAsia="標楷體" w:hAnsi="標楷體" w:hint="eastAsia"/>
          <w:color w:val="000000" w:themeColor="text1"/>
          <w:szCs w:val="24"/>
        </w:rPr>
        <w:t>惟健保署自94年起執行指示用藥之收載檢討作業，迄112年6月底仍有841項指示用藥列入給付範圍，檢討進程緩慢。</w:t>
      </w:r>
    </w:p>
    <w:p w14:paraId="1D046656"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2.　健保署訂定日劑藥費，提供基層院所得以採固定藥費方式申報，惟日劑藥費若與實際開立之藥品價格比較，存有增加藥費支出之現象：</w:t>
      </w:r>
      <w:r w:rsidRPr="002764DD">
        <w:rPr>
          <w:rFonts w:ascii="標楷體" w:eastAsia="標楷體" w:hAnsi="標楷體" w:hint="eastAsia"/>
          <w:color w:val="000000" w:themeColor="text1"/>
          <w:szCs w:val="24"/>
        </w:rPr>
        <w:t>健保署為簡化西醫基層院所藥費申報程序，於「全民健康保險藥物給付項目及支付標準」訂定「日劑藥費」，診所及藥局可選擇採「逐項」或「日劑藥費」方式申報，其中逐項申報係以實際開立藥品內容申報，日劑藥費則係以每位病患開藥日數申報固定藥費，日劑藥費自99年12月1日起調降為每日22元，每件給藥日數不得超過3日。經分析107至111年度西醫基層門診藥費申報情形，其中日劑藥費申報案件數分別為1億1,423萬餘件、1億1,454萬餘件、9,414萬餘件、7,768萬餘件及8,371萬餘件，占各該年度門診案件量約3成；總申報點數分別為80億9,588萬餘點、81億2,803萬餘點、66億2,386萬餘點、53億8,398萬餘點及58億9,661萬餘點，平均每件日劑藥費點數介於69.3點至71.0點之間。惟依健保署統計，上開日劑藥費案件若以其實際開立之藥品點數計算，分別為38億1,987萬餘點、38億2,613萬餘點、30億5,070萬餘點、24億6,846萬餘點及27億4,382萬餘點，平均每件藥費點數介於31.8點至33.4點之間，顯示日劑藥費平均申報點數高於醫療院所實際開立之藥品平均點數。另以上開期間申報案件之就醫科別觀之，門診就醫案件前5大疾病別，分別為急性上呼吸道感染、高血壓性疾病、皮膚炎及濕疹、其他急性下呼吸道感染及糖尿病，其中呼吸道感染、皮膚炎及濕疹等疾病逾7成案件，係以日劑藥費申報；高血壓性疾病及糖尿病則逾9成採實際開立藥品費用申報，主要係呼吸道感染、皮膚炎及濕疹等疾病實際藥費低於日劑藥費所定標準，導致診所及藥局多選擇以日劑藥費之較有利方式申報，衍生部分日劑藥費申報案件金額高於實際藥費情事。</w:t>
      </w:r>
    </w:p>
    <w:p w14:paraId="4CD6BE6B" w14:textId="77777777"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鑑於我國人口快速老化，勢將帶來更多醫療需求，健保財務日益嚴峻，為導引健保資源有效配置，在保障病人權益及減少社會衝擊為前提下，允宜督促健保署研謀檢討改善，審慎檢討指示藥品及日劑藥費支付標準之允適性，以提升健保資源利用效率。</w:t>
      </w:r>
    </w:p>
    <w:p w14:paraId="6553F7A8" w14:textId="77777777" w:rsidR="00E8604E" w:rsidRPr="002764DD" w:rsidRDefault="00E8604E" w:rsidP="00CD0EA6">
      <w:pPr>
        <w:pStyle w:val="2"/>
        <w:kinsoku/>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（六）　政府每年編列預算補助市縣政府及大專校院增置輔導人力，惟部分市縣</w:t>
      </w:r>
      <w:r w:rsidRPr="002764DD">
        <w:rPr>
          <w:rFonts w:hAnsi="標楷體" w:hint="eastAsia"/>
          <w:b/>
          <w:color w:val="000000" w:themeColor="text1"/>
          <w:spacing w:val="-2"/>
          <w:sz w:val="28"/>
          <w:szCs w:val="28"/>
        </w:rPr>
        <w:t>及學校未足額聘任所需輔導人力，影響輔導效能，且近10年度全國學生自殺、自傷事件增加13.93倍，自殺身亡學生逾6成未曾接觸校內外心理輔導諮商資源，</w:t>
      </w:r>
      <w:r w:rsidRPr="002764DD">
        <w:rPr>
          <w:rFonts w:hAnsi="標楷體" w:hint="eastAsia"/>
          <w:b/>
          <w:color w:val="000000" w:themeColor="text1"/>
          <w:sz w:val="28"/>
          <w:szCs w:val="28"/>
        </w:rPr>
        <w:t>允宜督促檢討調整現有專業輔導人力聘用制度、人力配比及量能，提升輔導資源穩定性及可近性，以有效預防及處理學生自我傷害事件，增進學校輔導資源財務效能。</w:t>
      </w:r>
    </w:p>
    <w:p w14:paraId="6150D606" w14:textId="6907C52B"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學生輔導法於103年11月12日公布施行，除提供各級學校輔導單位人員資格、經費編列之設置法源依據外，並規範建置發展性輔導、介入性輔導及處遇性輔導等三級學生輔導機制。</w:t>
      </w:r>
      <w:r w:rsidRPr="002764DD">
        <w:rPr>
          <w:rFonts w:ascii="標楷體" w:eastAsia="標楷體" w:hAnsi="標楷體" w:hint="eastAsia"/>
          <w:color w:val="000000" w:themeColor="text1"/>
          <w:szCs w:val="24"/>
        </w:rPr>
        <w:lastRenderedPageBreak/>
        <w:t>教育部</w:t>
      </w:r>
      <w:r w:rsidR="005D60A4">
        <w:rPr>
          <w:rFonts w:ascii="標楷體" w:eastAsia="標楷體" w:hAnsi="標楷體" w:hint="eastAsia"/>
          <w:color w:val="000000" w:themeColor="text1"/>
          <w:szCs w:val="24"/>
        </w:rPr>
        <w:t>及所屬</w:t>
      </w:r>
      <w:r w:rsidRPr="002764DD">
        <w:rPr>
          <w:rFonts w:ascii="標楷體" w:eastAsia="標楷體" w:hAnsi="標楷體" w:hint="eastAsia"/>
          <w:color w:val="000000" w:themeColor="text1"/>
          <w:szCs w:val="24"/>
        </w:rPr>
        <w:t>國民及學前教育署為強化各級學校學生輔導工作，協助學校處理學生輔導問題，增進學生身心之健全發展，112年度編列預算數24億2,785萬餘元，補助大專校院完備專業輔導人員人力需求，暨補助各市縣政府與教育部主管之國立高、國中小學增置專任輔導教師、學生輔導諮商中心運作經費及專任專業輔導人員人事費，並辦理學校輔導人員職前培訓及在職進修課程，提升輔導專業知能，復透過課程、相關活動及培訓計畫等，建立學生正確價值觀。有關各級學校專業輔導人力配置及輔導工作執行情形，核有下列事項：</w:t>
      </w:r>
    </w:p>
    <w:p w14:paraId="752F96E4"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　學生輔導問題日益複雜，學校專業輔導人力因學生諮商事件眾多，工作負擔沉重且流動率大，致部分市縣及學校未足額聘任所需輔導人力，影響輔導效能：</w:t>
      </w:r>
      <w:r w:rsidRPr="002764DD">
        <w:rPr>
          <w:rFonts w:ascii="標楷體" w:eastAsia="標楷體" w:hAnsi="標楷體" w:hint="eastAsia"/>
          <w:color w:val="000000" w:themeColor="text1"/>
          <w:szCs w:val="24"/>
        </w:rPr>
        <w:t>監察院於110年8月26日有關青少年自殺率連續20年攀升調查報告指出，各級學校存有輔導人力不足、負擔過多行政工作，尤以私立學校專業輔導人力不足情形最為顯著，均嚴重影響專業輔導效能及學生接受輔導之成效，且107至108年自殺身亡個案近7成未曾接觸校內輔導資源，各級學校輔導資源與學生需求間顯存有落差。另媒體輿論迭有報導學校輔導人力不足，學生自殺、自傷人數年年增加，專業輔導人員工作負擔沉重，難以支應學生諮商需求等議題。除輔導人力不足外，預約時程過長亦為學校普遍面臨之問題，學校雖提供學生線上預約服務，惟常出現學生須等候1至2星期，才能進行諮商情形，導致學生遇到心理健康緊急狀況，難以獲得立即輔導。依教育部統計，111學年度全國148所大專校院，依學生輔導法第11條第5項規定，應配置886名專業輔導人員，實際聘任817名，加計依學生輔導法施行細則第12條第1項規定，以兼任服務時數折抵為專任之人數180名，共計997名，截至112年8月底止，除國立聯合大學、國立虎尾科技大學、國立臺中科技大學、國立高雄科技大學等4校計6名（不含台灣首府大學、中州科技大學、和春技術學院、大同技術學院等4所停辦學校4名）專業輔導人員，因離職尚未遞補，其餘大專校院專業輔導人員之配置已達法定標準。111學年度國小、國中及國立高級中等學校應聘專任輔導教師3,523人，實聘3,472人，部分市縣及學校尚未足額聘任。又111年度各市縣政府依法應設置專任專業輔導人員合計735人，實聘609人，整體聘任率約82.86％，22市縣中僅基隆市、宜蘭縣、新竹縣、新竹市及嘉義市等5縣市足額聘任，其餘17市縣尚未足額聘任，主要係高級中等以下學校主責處遇性輔導之學生輔導諮商中心專業輔導人員均為約聘人力，薪資結構低於行情，致使人員流動率大、年資淺，無法穩定招募適宜人力，專任輔導教師及專業輔導人力亦未足額聘用，且輔導人員面臨學生輔導問題日益複雜，難以立即有效處理，均影響專業輔導效能及學生接受輔導之成效。</w:t>
      </w:r>
    </w:p>
    <w:p w14:paraId="3DBCAC8D" w14:textId="2CAF0CD1"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2.　近10年度青少年自殺粗死亡率呈現增加趨勢，學生自殺、自傷事件增加13.93倍，自殺問題漸趨嚴峻，學生因時間、距離、隱私保護等原因影響其使用輔導室之意願，且自殺身亡學生逾6成未曾接觸校內外心理輔導諮商資源：</w:t>
      </w:r>
      <w:r w:rsidRPr="002764DD">
        <w:rPr>
          <w:rFonts w:ascii="標楷體" w:eastAsia="標楷體" w:hAnsi="標楷體" w:hint="eastAsia"/>
          <w:color w:val="000000" w:themeColor="text1"/>
          <w:szCs w:val="24"/>
        </w:rPr>
        <w:t>依衛</w:t>
      </w:r>
      <w:r w:rsidR="005D60A4">
        <w:rPr>
          <w:rFonts w:ascii="標楷體" w:eastAsia="標楷體" w:hAnsi="標楷體" w:hint="eastAsia"/>
          <w:color w:val="000000" w:themeColor="text1"/>
          <w:szCs w:val="24"/>
        </w:rPr>
        <w:t>生</w:t>
      </w:r>
      <w:r w:rsidRPr="002764DD">
        <w:rPr>
          <w:rFonts w:ascii="標楷體" w:eastAsia="標楷體" w:hAnsi="標楷體" w:hint="eastAsia"/>
          <w:color w:val="000000" w:themeColor="text1"/>
          <w:szCs w:val="24"/>
        </w:rPr>
        <w:t>福</w:t>
      </w:r>
      <w:r w:rsidR="005D60A4">
        <w:rPr>
          <w:rFonts w:ascii="標楷體" w:eastAsia="標楷體" w:hAnsi="標楷體" w:hint="eastAsia"/>
          <w:color w:val="000000" w:themeColor="text1"/>
          <w:szCs w:val="24"/>
        </w:rPr>
        <w:t>利</w:t>
      </w:r>
      <w:r w:rsidRPr="002764DD">
        <w:rPr>
          <w:rFonts w:ascii="標楷體" w:eastAsia="標楷體" w:hAnsi="標楷體" w:hint="eastAsia"/>
          <w:color w:val="000000" w:themeColor="text1"/>
          <w:szCs w:val="24"/>
        </w:rPr>
        <w:t>部全國自殺防治中心統計，全國自殺死亡人數自102年度之3,565人逐漸攀升，106年度增加為3,871人，隨後呈下降趨勢，惟111年度全國自殺死亡人數仍達3,787人，以各年齡分層自殺統計數據觀之，111年度15至24歲青少年人口自殺通報個案12,952人次，自殺死亡人數264人，較107年度</w:t>
      </w:r>
      <w:r w:rsidR="00CB624E">
        <w:rPr>
          <w:rFonts w:ascii="標楷體" w:eastAsia="標楷體" w:hAnsi="標楷體" w:hint="eastAsia"/>
          <w:color w:val="000000" w:themeColor="text1"/>
          <w:szCs w:val="24"/>
        </w:rPr>
        <w:t>之</w:t>
      </w:r>
      <w:r w:rsidRPr="002764DD">
        <w:rPr>
          <w:rFonts w:ascii="標楷體" w:eastAsia="標楷體" w:hAnsi="標楷體" w:hint="eastAsia"/>
          <w:color w:val="000000" w:themeColor="text1"/>
          <w:szCs w:val="24"/>
        </w:rPr>
        <w:t>6,352人次及</w:t>
      </w:r>
      <w:r w:rsidRPr="002764DD">
        <w:rPr>
          <w:rFonts w:ascii="標楷體" w:eastAsia="標楷體" w:hAnsi="標楷體" w:hint="eastAsia"/>
          <w:color w:val="000000" w:themeColor="text1"/>
          <w:szCs w:val="24"/>
        </w:rPr>
        <w:lastRenderedPageBreak/>
        <w:t>210人明顯增加。另分析各年齡層自殺死亡率，15至24歲青少年自殺粗死亡率相較其他年齡層人口，呈現明顯增加趨勢，由102年度之5.2（人/每十萬人），增加至111年度之10.7（人/每十萬人），自殺已成為15至24歲死亡人口之第2大死因，僅次於意外，青少年族群之自殺問題漸趨嚴峻。衛</w:t>
      </w:r>
      <w:r w:rsidR="005D60A4">
        <w:rPr>
          <w:rFonts w:ascii="標楷體" w:eastAsia="標楷體" w:hAnsi="標楷體" w:hint="eastAsia"/>
          <w:color w:val="000000" w:themeColor="text1"/>
          <w:szCs w:val="24"/>
        </w:rPr>
        <w:t>生</w:t>
      </w:r>
      <w:r w:rsidRPr="002764DD">
        <w:rPr>
          <w:rFonts w:ascii="標楷體" w:eastAsia="標楷體" w:hAnsi="標楷體" w:hint="eastAsia"/>
          <w:color w:val="000000" w:themeColor="text1"/>
          <w:szCs w:val="24"/>
        </w:rPr>
        <w:t>福</w:t>
      </w:r>
      <w:r w:rsidR="005D60A4">
        <w:rPr>
          <w:rFonts w:ascii="標楷體" w:eastAsia="標楷體" w:hAnsi="標楷體" w:hint="eastAsia"/>
          <w:color w:val="000000" w:themeColor="text1"/>
          <w:szCs w:val="24"/>
        </w:rPr>
        <w:t>利</w:t>
      </w:r>
      <w:r w:rsidRPr="002764DD">
        <w:rPr>
          <w:rFonts w:ascii="標楷體" w:eastAsia="標楷體" w:hAnsi="標楷體" w:hint="eastAsia"/>
          <w:color w:val="000000" w:themeColor="text1"/>
          <w:szCs w:val="24"/>
        </w:rPr>
        <w:t>部國民健康署110年青少年健康行為調查報告亦指出，高中職學生1年內曾認真地考慮自殺、計畫自殺、嘗試過自殺之比率分別為25％、12.7％及9.4％，而對國中學生調查相同題項之結果，比率更增為25.3％、16％及10.4％，兒少心理健康議題已不容忽視。另依教育部校園安全及災害事件通報統計，學生自殺、自傷意外事件自102年度之781件，增加至111年度之11,660件，10年來增加10</w:t>
      </w:r>
      <w:r w:rsidRPr="002764DD">
        <w:rPr>
          <w:rFonts w:ascii="標楷體" w:eastAsia="標楷體" w:hAnsi="標楷體"/>
          <w:color w:val="000000" w:themeColor="text1"/>
          <w:szCs w:val="24"/>
        </w:rPr>
        <w:t>,879</w:t>
      </w:r>
      <w:r w:rsidRPr="002764DD">
        <w:rPr>
          <w:rFonts w:ascii="標楷體" w:eastAsia="標楷體" w:hAnsi="標楷體" w:hint="eastAsia"/>
          <w:color w:val="000000" w:themeColor="text1"/>
          <w:szCs w:val="24"/>
        </w:rPr>
        <w:t>件、</w:t>
      </w:r>
      <w:r w:rsidRPr="002764DD">
        <w:rPr>
          <w:rFonts w:ascii="標楷體" w:eastAsia="標楷體" w:hAnsi="標楷體"/>
          <w:color w:val="000000" w:themeColor="text1"/>
          <w:szCs w:val="24"/>
        </w:rPr>
        <w:t>13.93</w:t>
      </w:r>
      <w:r w:rsidRPr="002764DD">
        <w:rPr>
          <w:rFonts w:ascii="標楷體" w:eastAsia="標楷體" w:hAnsi="標楷體" w:hint="eastAsia"/>
          <w:color w:val="000000" w:themeColor="text1"/>
          <w:szCs w:val="24"/>
        </w:rPr>
        <w:t>倍，呈現逐年成長趨勢，且學生自殺、自傷人次亦逐年成長，自</w:t>
      </w:r>
      <w:r w:rsidRPr="002764DD">
        <w:rPr>
          <w:rFonts w:ascii="標楷體" w:eastAsia="標楷體" w:hAnsi="標楷體"/>
          <w:color w:val="000000" w:themeColor="text1"/>
          <w:szCs w:val="24"/>
        </w:rPr>
        <w:t>104</w:t>
      </w:r>
      <w:r w:rsidRPr="002764DD">
        <w:rPr>
          <w:rFonts w:ascii="標楷體" w:eastAsia="標楷體" w:hAnsi="標楷體" w:hint="eastAsia"/>
          <w:color w:val="000000" w:themeColor="text1"/>
          <w:szCs w:val="24"/>
        </w:rPr>
        <w:t>年度之</w:t>
      </w:r>
      <w:r w:rsidRPr="002764DD">
        <w:rPr>
          <w:rFonts w:ascii="標楷體" w:eastAsia="標楷體" w:hAnsi="標楷體"/>
          <w:color w:val="000000" w:themeColor="text1"/>
          <w:szCs w:val="24"/>
        </w:rPr>
        <w:t>1,103</w:t>
      </w:r>
      <w:r w:rsidRPr="002764DD">
        <w:rPr>
          <w:rFonts w:ascii="標楷體" w:eastAsia="標楷體" w:hAnsi="標楷體" w:hint="eastAsia"/>
          <w:color w:val="000000" w:themeColor="text1"/>
          <w:szCs w:val="24"/>
        </w:rPr>
        <w:t>人次，增加至</w:t>
      </w:r>
      <w:r w:rsidRPr="002764DD">
        <w:rPr>
          <w:rFonts w:ascii="標楷體" w:eastAsia="標楷體" w:hAnsi="標楷體"/>
          <w:color w:val="000000" w:themeColor="text1"/>
          <w:szCs w:val="24"/>
        </w:rPr>
        <w:t>111</w:t>
      </w:r>
      <w:r w:rsidRPr="002764DD">
        <w:rPr>
          <w:rFonts w:ascii="標楷體" w:eastAsia="標楷體" w:hAnsi="標楷體" w:hint="eastAsia"/>
          <w:color w:val="000000" w:themeColor="text1"/>
          <w:szCs w:val="24"/>
        </w:rPr>
        <w:t>年度之</w:t>
      </w:r>
      <w:r w:rsidRPr="002764DD">
        <w:rPr>
          <w:rFonts w:ascii="標楷體" w:eastAsia="標楷體" w:hAnsi="標楷體"/>
          <w:color w:val="000000" w:themeColor="text1"/>
          <w:szCs w:val="24"/>
        </w:rPr>
        <w:t>11,834</w:t>
      </w:r>
      <w:r w:rsidRPr="002764DD">
        <w:rPr>
          <w:rFonts w:ascii="標楷體" w:eastAsia="標楷體" w:hAnsi="標楷體" w:hint="eastAsia"/>
          <w:color w:val="000000" w:themeColor="text1"/>
          <w:szCs w:val="24"/>
        </w:rPr>
        <w:t>人次，增加</w:t>
      </w:r>
      <w:r w:rsidRPr="002764DD">
        <w:rPr>
          <w:rFonts w:ascii="標楷體" w:eastAsia="標楷體" w:hAnsi="標楷體"/>
          <w:color w:val="000000" w:themeColor="text1"/>
          <w:szCs w:val="24"/>
        </w:rPr>
        <w:t>9.73</w:t>
      </w:r>
      <w:r w:rsidRPr="002764DD">
        <w:rPr>
          <w:rFonts w:ascii="標楷體" w:eastAsia="標楷體" w:hAnsi="標楷體" w:hint="eastAsia"/>
          <w:color w:val="000000" w:themeColor="text1"/>
          <w:szCs w:val="24"/>
        </w:rPr>
        <w:t>倍。復依教育部</w:t>
      </w:r>
      <w:r w:rsidRPr="002764DD">
        <w:rPr>
          <w:rFonts w:ascii="標楷體" w:eastAsia="標楷體" w:hAnsi="標楷體"/>
          <w:color w:val="000000" w:themeColor="text1"/>
          <w:szCs w:val="24"/>
        </w:rPr>
        <w:t>111</w:t>
      </w:r>
      <w:r w:rsidRPr="002764DD">
        <w:rPr>
          <w:rFonts w:ascii="標楷體" w:eastAsia="標楷體" w:hAnsi="標楷體" w:hint="eastAsia"/>
          <w:color w:val="000000" w:themeColor="text1"/>
          <w:szCs w:val="24"/>
        </w:rPr>
        <w:t>年校園學生自我傷害事件之分析及防治策略暨大專校院自殺防治成效訪視委託研究計畫成果報告載述，學生自傷多為精神疾病及家庭關係問題等，且自殺身亡學生逾</w:t>
      </w:r>
      <w:r w:rsidRPr="002764DD">
        <w:rPr>
          <w:rFonts w:ascii="標楷體" w:eastAsia="標楷體" w:hAnsi="標楷體"/>
          <w:color w:val="000000" w:themeColor="text1"/>
          <w:szCs w:val="24"/>
        </w:rPr>
        <w:t>6</w:t>
      </w:r>
      <w:r w:rsidRPr="002764DD">
        <w:rPr>
          <w:rFonts w:ascii="標楷體" w:eastAsia="標楷體" w:hAnsi="標楷體" w:hint="eastAsia"/>
          <w:color w:val="000000" w:themeColor="text1"/>
          <w:szCs w:val="24"/>
        </w:rPr>
        <w:t>成未曾接觸校內外心理輔導諮商資源。而兒童福利聯盟</w:t>
      </w:r>
      <w:r w:rsidRPr="002764DD">
        <w:rPr>
          <w:rFonts w:ascii="標楷體" w:eastAsia="標楷體" w:hAnsi="標楷體"/>
          <w:color w:val="000000" w:themeColor="text1"/>
          <w:szCs w:val="24"/>
        </w:rPr>
        <w:t>2022</w:t>
      </w:r>
      <w:r w:rsidRPr="002764DD">
        <w:rPr>
          <w:rFonts w:ascii="標楷體" w:eastAsia="標楷體" w:hAnsi="標楷體" w:hint="eastAsia"/>
          <w:color w:val="000000" w:themeColor="text1"/>
          <w:szCs w:val="24"/>
        </w:rPr>
        <w:t>年調查指出，</w:t>
      </w:r>
      <w:r w:rsidRPr="002764DD">
        <w:rPr>
          <w:rFonts w:ascii="標楷體" w:eastAsia="標楷體" w:hAnsi="標楷體"/>
          <w:color w:val="000000" w:themeColor="text1"/>
          <w:szCs w:val="24"/>
        </w:rPr>
        <w:t>78.5</w:t>
      </w:r>
      <w:r w:rsidRPr="002764DD">
        <w:rPr>
          <w:rFonts w:ascii="標楷體" w:eastAsia="標楷體" w:hAnsi="標楷體" w:hint="eastAsia"/>
          <w:color w:val="000000" w:themeColor="text1"/>
          <w:szCs w:val="24"/>
        </w:rPr>
        <w:t>％學生基於沒有時間、距離教室太遠、隱私保護不足等原因未曾使用輔導室，有待政府加強宣導輔導室功能、配合學生調整會談時間，並增加輔導資源隱密性，又該聯盟2023年針對國高中學生心理健康調查發現，有一成七之國高中學生有嚴重憂鬱情緒，然僅5.6％學生尋求輔導老師或專業人士討論，顯示現有輔導資源之提供尚無法完全契合實際需求。</w:t>
      </w:r>
    </w:p>
    <w:p w14:paraId="0A3483A7" w14:textId="54713406"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鑑於學生輔導法規定專業輔導人員之配置，</w:t>
      </w:r>
      <w:r w:rsidR="005D60A4">
        <w:rPr>
          <w:rFonts w:ascii="標楷體" w:eastAsia="標楷體" w:hAnsi="標楷體" w:hint="eastAsia"/>
          <w:color w:val="000000" w:themeColor="text1"/>
          <w:szCs w:val="24"/>
        </w:rPr>
        <w:t>自106年8月1日起由教育部每5年進行檢討，111年</w:t>
      </w:r>
      <w:r w:rsidRPr="002764DD">
        <w:rPr>
          <w:rFonts w:ascii="標楷體" w:eastAsia="標楷體" w:hAnsi="標楷體" w:hint="eastAsia"/>
          <w:color w:val="000000" w:themeColor="text1"/>
          <w:szCs w:val="24"/>
        </w:rPr>
        <w:t>已屆須針對輔導人力配置需求檢討之年限，允宜督促教育部通盤檢討輔導人力未足額之結構性原因，因應調整專業輔導人力聘用制度、符合教學現場實際輔導需求之人力配比及量能，並加強辦理培訓課程以提升輔導專業知能，同時會商相關權責機關針對學齡人口自殺之主要因素，如精神疾病、家庭關係及課業問題等，持續精進自殺防治策略與措施，共同建構符合學生需要之教育及社會支持系統，強化校園學生輔導工作，提升校園輔導資源穩定性及可近性，以有效預防及處理學生自我傷害事件，增進學校輔導資源財務效能。</w:t>
      </w:r>
    </w:p>
    <w:p w14:paraId="1BAB5CC3" w14:textId="77777777" w:rsidR="00E8604E" w:rsidRPr="002764DD" w:rsidRDefault="00E8604E" w:rsidP="00265FC8">
      <w:pPr>
        <w:pStyle w:val="2"/>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（七）　政府制定國防產業發展條例，期以軍用需求帶動國內廠商參與發展國防產業，惟公告之列管軍品未能扣合國防資源釋商，且獎勵廠商參與之配套措施尚欠完備，復未能與執行海空戰力提升計畫採購特別預算緊密結合，均影響廠商參與意願，允宜督促積極研謀改善，以達成國防自主之目標。</w:t>
      </w:r>
    </w:p>
    <w:p w14:paraId="18125612" w14:textId="4CE41255"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政府為有效結合民間力量，發展國防產業，達成國內研發、產製武器裝備及後勤支援為優先之目標，以落實國防獨立自主之基本方針，於108年6月19日制定公布國防產業發展條例，並自110年6月18日施行，期以列管軍品分等、廠商管理認證，佐以獎勵措施等作法發展國防產業。國防部為利</w:t>
      </w:r>
      <w:r w:rsidR="0033147F">
        <w:rPr>
          <w:rFonts w:ascii="標楷體" w:eastAsia="標楷體" w:hAnsi="標楷體" w:hint="eastAsia"/>
          <w:color w:val="000000" w:themeColor="text1"/>
          <w:szCs w:val="24"/>
        </w:rPr>
        <w:t>該</w:t>
      </w:r>
      <w:r w:rsidRPr="002764DD">
        <w:rPr>
          <w:rFonts w:ascii="標楷體" w:eastAsia="標楷體" w:hAnsi="標楷體" w:hint="eastAsia"/>
          <w:color w:val="000000" w:themeColor="text1"/>
          <w:szCs w:val="24"/>
        </w:rPr>
        <w:t>條例之推動，於全球資訊網設置專區，公告列管軍品清單及相關資訊，以提供國內廠商參與列管軍品研製修之擇選方向，並實施廠商資格級別認證，作為合格廠商取得列管軍品採購案與相關協助及獎勵之依據。國防部自110年8月至112年4月底止，已公告4</w:t>
      </w:r>
      <w:r w:rsidRPr="002764DD">
        <w:rPr>
          <w:rFonts w:ascii="標楷體" w:eastAsia="標楷體" w:hAnsi="標楷體" w:hint="eastAsia"/>
          <w:color w:val="000000" w:themeColor="text1"/>
          <w:szCs w:val="24"/>
        </w:rPr>
        <w:lastRenderedPageBreak/>
        <w:t>次列管軍品清單計837項，並同步受理廠商申請級別認證，計核發列管軍品廠商資格級別認證合格證明13項（9家廠商）。有關國防產業發展相關業務執行情形，核有下列事項：</w:t>
      </w:r>
    </w:p>
    <w:p w14:paraId="127CB0FB" w14:textId="35F6BACF"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 xml:space="preserve">1.　</w:t>
      </w:r>
      <w:r w:rsidR="008A7291">
        <w:rPr>
          <w:rFonts w:ascii="標楷體" w:eastAsia="標楷體" w:hAnsi="標楷體" w:hint="eastAsia"/>
          <w:b/>
          <w:color w:val="000000" w:themeColor="text1"/>
          <w:szCs w:val="24"/>
        </w:rPr>
        <w:t>國防產業發展</w:t>
      </w:r>
      <w:r w:rsidRPr="008A7291">
        <w:rPr>
          <w:rFonts w:ascii="標楷體" w:eastAsia="標楷體" w:hAnsi="標楷體" w:hint="eastAsia"/>
          <w:b/>
          <w:color w:val="000000" w:themeColor="text1"/>
          <w:szCs w:val="24"/>
        </w:rPr>
        <w:t>條例與</w:t>
      </w:r>
      <w:r w:rsidRPr="002764DD">
        <w:rPr>
          <w:rFonts w:ascii="標楷體" w:eastAsia="標楷體" w:hAnsi="標楷體" w:hint="eastAsia"/>
          <w:b/>
          <w:color w:val="000000" w:themeColor="text1"/>
          <w:szCs w:val="24"/>
        </w:rPr>
        <w:t>國防資源釋商規劃扣合度不足，未能前瞻未來武器研製與釋商產製需求：</w:t>
      </w:r>
      <w:r w:rsidRPr="002764DD">
        <w:rPr>
          <w:rFonts w:ascii="標楷體" w:eastAsia="標楷體" w:hAnsi="標楷體" w:hint="eastAsia"/>
          <w:color w:val="000000" w:themeColor="text1"/>
          <w:szCs w:val="24"/>
        </w:rPr>
        <w:t>國防部自</w:t>
      </w:r>
      <w:r w:rsidR="008A7291">
        <w:rPr>
          <w:rFonts w:ascii="標楷體" w:eastAsia="標楷體" w:hAnsi="標楷體" w:hint="eastAsia"/>
          <w:color w:val="000000" w:themeColor="text1"/>
          <w:szCs w:val="24"/>
        </w:rPr>
        <w:t>國防產業發展</w:t>
      </w:r>
      <w:r w:rsidRPr="002764DD">
        <w:rPr>
          <w:rFonts w:ascii="標楷體" w:eastAsia="標楷體" w:hAnsi="標楷體" w:hint="eastAsia"/>
          <w:color w:val="000000" w:themeColor="text1"/>
          <w:szCs w:val="24"/>
        </w:rPr>
        <w:t>條例制定公布後，即逐年增加國內採購獲得新武器裝備研發產製、現役武器裝備維持及一般性軍需品之預算規模，自109年度之1,287億餘元成長至111年度之1,730億餘元，增加443億餘元，成長率達34％。惟上述國防釋商採購品項均未含括依</w:t>
      </w:r>
      <w:r w:rsidR="008A7291">
        <w:rPr>
          <w:rFonts w:ascii="標楷體" w:eastAsia="標楷體" w:hAnsi="標楷體" w:hint="eastAsia"/>
          <w:color w:val="000000" w:themeColor="text1"/>
          <w:szCs w:val="24"/>
        </w:rPr>
        <w:t>國防產業發展</w:t>
      </w:r>
      <w:r w:rsidRPr="002764DD">
        <w:rPr>
          <w:rFonts w:ascii="標楷體" w:eastAsia="標楷體" w:hAnsi="標楷體" w:hint="eastAsia"/>
          <w:color w:val="000000" w:themeColor="text1"/>
          <w:szCs w:val="24"/>
        </w:rPr>
        <w:t>條例規定取得認證之列管軍品（計有13項），致</w:t>
      </w:r>
      <w:r w:rsidR="008A7291">
        <w:rPr>
          <w:rFonts w:ascii="標楷體" w:eastAsia="標楷體" w:hAnsi="標楷體" w:hint="eastAsia"/>
          <w:color w:val="000000" w:themeColor="text1"/>
          <w:szCs w:val="24"/>
        </w:rPr>
        <w:t>該</w:t>
      </w:r>
      <w:r w:rsidRPr="002764DD">
        <w:rPr>
          <w:rFonts w:ascii="標楷體" w:eastAsia="標楷體" w:hAnsi="標楷體" w:hint="eastAsia"/>
          <w:color w:val="000000" w:themeColor="text1"/>
          <w:szCs w:val="24"/>
        </w:rPr>
        <w:t>條例第12條及列管軍品合格廠商獎勵辦法第11條雖訂有採購列管軍品得優先決標予經認證合格廠商之規定，惟因取得認證之列管軍品短期並無採購需求，而使獲證廠商無法獲得實質營業利益。又國防部現行為提升國內無人機研製能量，帶動相關產業發展，規劃於113至117年度以56億8,795萬餘元籌獲軍用商規無人機3,186架，於112年7月6日始將無人機納入第5次公告之列管軍品清單。惟國防部受理國內廠商申請列管軍品廠商級別認證，須歷經至少10個月評鑑與查核作業期程，符合評鑑基準廠商，方核予</w:t>
      </w:r>
      <w:r w:rsidRPr="002764DD">
        <w:rPr>
          <w:rFonts w:ascii="標楷體" w:eastAsia="標楷體" w:hAnsi="標楷體" w:hint="eastAsia"/>
          <w:color w:val="000000" w:themeColor="text1"/>
          <w:spacing w:val="-4"/>
          <w:szCs w:val="24"/>
        </w:rPr>
        <w:t>合格證明，致欲申請軍用商規無人機列管軍品級別認證廠商，如過程順利，最快仍須於113年5月方可獲證，屆時能否以認證合格廠商資格，優先取得列管軍品（無人機）採購標案，不無疑義。</w:t>
      </w:r>
    </w:p>
    <w:p w14:paraId="549E48C0" w14:textId="482E094C"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2.　列管軍品清單未依產業類別歸納分類及揭露未來規劃採購規模，致國內廠商無法推估可能擔負之成本風險與投資回報，影響其參與申請認證意願：</w:t>
      </w:r>
      <w:r w:rsidRPr="002764DD">
        <w:rPr>
          <w:rFonts w:ascii="標楷體" w:eastAsia="標楷體" w:hAnsi="標楷體" w:hint="eastAsia"/>
          <w:color w:val="000000" w:themeColor="text1"/>
          <w:szCs w:val="24"/>
        </w:rPr>
        <w:t>國防部全球資訊網</w:t>
      </w:r>
      <w:r w:rsidR="008A7291">
        <w:rPr>
          <w:rFonts w:ascii="標楷體" w:eastAsia="標楷體" w:hAnsi="標楷體" w:hint="eastAsia"/>
          <w:color w:val="000000" w:themeColor="text1"/>
          <w:szCs w:val="24"/>
        </w:rPr>
        <w:t>國防產業發展</w:t>
      </w:r>
      <w:r w:rsidRPr="002764DD">
        <w:rPr>
          <w:rFonts w:ascii="標楷體" w:eastAsia="標楷體" w:hAnsi="標楷體" w:hint="eastAsia"/>
          <w:color w:val="000000" w:themeColor="text1"/>
          <w:szCs w:val="24"/>
        </w:rPr>
        <w:t>條例專區列管軍品清單837項，係以個別軍品逐項公告，並未依其列管軍品屬性範圍歸納整理，且未結合工商登記之產業類別予以分類，並揭露未來規劃採購規模及國際市場需求等資訊，不利廠商查找擇選適合其投入研發之列管軍品，據以分析投入各列管軍品範圍研發、生產及維修之成本效益。另依</w:t>
      </w:r>
      <w:r w:rsidR="008A7291">
        <w:rPr>
          <w:rFonts w:ascii="標楷體" w:eastAsia="標楷體" w:hAnsi="標楷體" w:hint="eastAsia"/>
          <w:color w:val="000000" w:themeColor="text1"/>
          <w:szCs w:val="24"/>
        </w:rPr>
        <w:t>國防產業發展</w:t>
      </w:r>
      <w:r w:rsidR="008A7291" w:rsidRPr="002764DD">
        <w:rPr>
          <w:rFonts w:ascii="標楷體" w:eastAsia="標楷體" w:hAnsi="標楷體" w:hint="eastAsia"/>
          <w:color w:val="000000" w:themeColor="text1"/>
          <w:szCs w:val="24"/>
        </w:rPr>
        <w:t>條例</w:t>
      </w:r>
      <w:r w:rsidRPr="002764DD">
        <w:rPr>
          <w:rFonts w:ascii="標楷體" w:eastAsia="標楷體" w:hAnsi="標楷體" w:hint="eastAsia"/>
          <w:color w:val="000000" w:themeColor="text1"/>
          <w:szCs w:val="24"/>
        </w:rPr>
        <w:t>第20條規定，國防部應於該條例公布（108年6月19日）後2年內，完成國際合作、研發投資、國防產業支持及升級等相關計畫及配套措施，包括「列管軍品範圍及認定辦法」等8項子法及「列管軍品範圍及認定作業規定」等18項行政規則，惟截至112年11月底止，尚有「辦理列管軍品合格廠商資金、技術投資或授權作業要點」1項行政規則尚未完成訂定，致國內廠商無法評估投資國防產業獎勵回饋程度，據以推估可能擔負之成本風險與投資回報，進而影響廠商參與申請認證意願。</w:t>
      </w:r>
    </w:p>
    <w:p w14:paraId="5759D719" w14:textId="4CAB0901"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3.　具列管軍品研製修能力之國內廠商多未申請資格級別認證，且申請級別認證廠商數量逐年下降：</w:t>
      </w:r>
      <w:r w:rsidRPr="002764DD">
        <w:rPr>
          <w:rFonts w:ascii="標楷體" w:eastAsia="標楷體" w:hAnsi="標楷體" w:hint="eastAsia"/>
          <w:color w:val="000000" w:themeColor="text1"/>
          <w:szCs w:val="24"/>
        </w:rPr>
        <w:t>國防部自110年</w:t>
      </w:r>
      <w:r w:rsidR="008A7291">
        <w:rPr>
          <w:rFonts w:ascii="標楷體" w:eastAsia="標楷體" w:hAnsi="標楷體" w:hint="eastAsia"/>
          <w:color w:val="000000" w:themeColor="text1"/>
          <w:szCs w:val="24"/>
        </w:rPr>
        <w:t>度</w:t>
      </w:r>
      <w:r w:rsidRPr="002764DD">
        <w:rPr>
          <w:rFonts w:ascii="標楷體" w:eastAsia="標楷體" w:hAnsi="標楷體" w:hint="eastAsia"/>
          <w:color w:val="000000" w:themeColor="text1"/>
          <w:szCs w:val="24"/>
        </w:rPr>
        <w:t>起至112年4月底止，計辦理6場次廠商申請級別認證說明會，</w:t>
      </w:r>
      <w:r w:rsidRPr="002764DD">
        <w:rPr>
          <w:rFonts w:ascii="標楷體" w:eastAsia="標楷體" w:hAnsi="標楷體" w:hint="eastAsia"/>
          <w:color w:val="000000" w:themeColor="text1"/>
          <w:spacing w:val="-2"/>
          <w:szCs w:val="24"/>
        </w:rPr>
        <w:t>共計454家廠商參與。惟僅38家廠商提出申請廠商級別認證，占參與說明會之廠商家數8.37％。</w:t>
      </w:r>
      <w:r w:rsidRPr="002764DD">
        <w:rPr>
          <w:rFonts w:ascii="標楷體" w:eastAsia="標楷體" w:hAnsi="標楷體" w:hint="eastAsia"/>
          <w:color w:val="000000" w:themeColor="text1"/>
          <w:szCs w:val="24"/>
        </w:rPr>
        <w:t>且申請廠商家數中，僅9家廠商取得13項列管軍品級別合格證明；2家刻正辦理評鑑中；2家未通過安全查核；4家評鑑結果未達級別標準；餘21家廠商退件後未再重新提出申請，占比達55.26％。又上述38家廠商提出申請認證時間，分別為110年20家、111年15家、112年3家，申請家數呈逐年下滑趨勢。另國防部公告之列管軍品清單，計有718項屬國內廠商已具備研製修能力（已完工及合格之真實系統能通過測試與展示之水準）者，惟其中僅92項經廠商擇</w:t>
      </w:r>
      <w:r w:rsidRPr="002764DD">
        <w:rPr>
          <w:rFonts w:ascii="標楷體" w:eastAsia="標楷體" w:hAnsi="標楷體" w:hint="eastAsia"/>
          <w:color w:val="000000" w:themeColor="text1"/>
          <w:szCs w:val="24"/>
        </w:rPr>
        <w:lastRenderedPageBreak/>
        <w:t>選申請資格級別認證，占12.81％，顯示具備上述列管軍品品項研製修能力之國內廠商多未提出申請資格級別認證。</w:t>
      </w:r>
    </w:p>
    <w:p w14:paraId="2C9DC2C2" w14:textId="33D4BC5E"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4.　海空戰力提升計畫採購與</w:t>
      </w:r>
      <w:r w:rsidR="008A7291">
        <w:rPr>
          <w:rFonts w:ascii="標楷體" w:eastAsia="標楷體" w:hAnsi="標楷體" w:hint="eastAsia"/>
          <w:b/>
          <w:color w:val="000000" w:themeColor="text1"/>
          <w:szCs w:val="24"/>
        </w:rPr>
        <w:t>國防產業發展</w:t>
      </w:r>
      <w:r w:rsidRPr="002764DD">
        <w:rPr>
          <w:rFonts w:ascii="標楷體" w:eastAsia="標楷體" w:hAnsi="標楷體" w:hint="eastAsia"/>
          <w:b/>
          <w:color w:val="000000" w:themeColor="text1"/>
          <w:szCs w:val="24"/>
        </w:rPr>
        <w:t>條例之結合程度亟待檢討提升，期藉由特別預算執行，達成強化發展國防產業目標：</w:t>
      </w:r>
      <w:r w:rsidRPr="002764DD">
        <w:rPr>
          <w:rFonts w:ascii="標楷體" w:eastAsia="標楷體" w:hAnsi="標楷體" w:hint="eastAsia"/>
          <w:color w:val="000000" w:themeColor="text1"/>
          <w:szCs w:val="24"/>
        </w:rPr>
        <w:t>國防部為快速提升我國防衛作戰能力，結合國防自主政策，編列海空戰力提升計畫採購特別預算2,372億元，自111至115年度委由國家中山科學研究院（下稱中科院）結合國內產業承製各式精準彈藥及量產高效能艦艇，期達成強化國防安全與發展國防產業之目標。另國防部為使海空戰力提升計畫與</w:t>
      </w:r>
      <w:r w:rsidR="008A7291">
        <w:rPr>
          <w:rFonts w:ascii="標楷體" w:eastAsia="標楷體" w:hAnsi="標楷體" w:hint="eastAsia"/>
          <w:color w:val="000000" w:themeColor="text1"/>
          <w:szCs w:val="24"/>
        </w:rPr>
        <w:t>國防產業發展</w:t>
      </w:r>
      <w:r w:rsidRPr="002764DD">
        <w:rPr>
          <w:rFonts w:ascii="標楷體" w:eastAsia="標楷體" w:hAnsi="標楷體" w:hint="eastAsia"/>
          <w:color w:val="000000" w:themeColor="text1"/>
          <w:szCs w:val="24"/>
        </w:rPr>
        <w:t>條例相互結合，爰訂定執行海空戰力提升計畫一定金額以上採購辦法，</w:t>
      </w:r>
      <w:r w:rsidRPr="007337AD">
        <w:rPr>
          <w:rFonts w:ascii="標楷體" w:eastAsia="標楷體" w:hAnsi="標楷體" w:hint="eastAsia"/>
          <w:color w:val="000000" w:themeColor="text1"/>
          <w:spacing w:val="-4"/>
          <w:szCs w:val="24"/>
        </w:rPr>
        <w:t>明定中科院應主動檢討國內廠商具有研發、產製及維修能力之品項，並建議國防部納入列管軍品清單，及將級別認證合格廠商納入選擇性招標合格廠商名單。中科院自111年</w:t>
      </w:r>
      <w:r w:rsidR="008A7291">
        <w:rPr>
          <w:rFonts w:ascii="標楷體" w:eastAsia="標楷體" w:hAnsi="標楷體" w:hint="eastAsia"/>
          <w:color w:val="000000" w:themeColor="text1"/>
          <w:spacing w:val="-4"/>
          <w:szCs w:val="24"/>
        </w:rPr>
        <w:t>度</w:t>
      </w:r>
      <w:r w:rsidRPr="007337AD">
        <w:rPr>
          <w:rFonts w:ascii="標楷體" w:eastAsia="標楷體" w:hAnsi="標楷體" w:hint="eastAsia"/>
          <w:color w:val="000000" w:themeColor="text1"/>
          <w:spacing w:val="-4"/>
          <w:szCs w:val="24"/>
        </w:rPr>
        <w:t>起至112年4月底止，雖已將海空戰力提升計畫採購標的329項納入</w:t>
      </w:r>
      <w:r w:rsidR="008A7291">
        <w:rPr>
          <w:rFonts w:ascii="標楷體" w:eastAsia="標楷體" w:hAnsi="標楷體" w:hint="eastAsia"/>
          <w:color w:val="000000" w:themeColor="text1"/>
          <w:spacing w:val="-4"/>
          <w:szCs w:val="24"/>
        </w:rPr>
        <w:t>該</w:t>
      </w:r>
      <w:r w:rsidRPr="007337AD">
        <w:rPr>
          <w:rFonts w:ascii="標楷體" w:eastAsia="標楷體" w:hAnsi="標楷體" w:hint="eastAsia"/>
          <w:color w:val="000000" w:themeColor="text1"/>
          <w:spacing w:val="-4"/>
          <w:szCs w:val="24"/>
        </w:rPr>
        <w:t>條例列管軍品公告徵求廠商，惟僅有43項列管軍品經由廠商提出申請認證，其中5項列管軍品已有廠商取得資格級別認證，中科院卻未依上述採購辦法規定，</w:t>
      </w:r>
      <w:r w:rsidRPr="002764DD">
        <w:rPr>
          <w:rFonts w:ascii="標楷體" w:eastAsia="標楷體" w:hAnsi="標楷體" w:hint="eastAsia"/>
          <w:color w:val="000000" w:themeColor="text1"/>
          <w:szCs w:val="24"/>
        </w:rPr>
        <w:t>將相關廠商納列合格供應商，致獲證廠商未能參與中科院列管軍品選擇性招標購案，且上述列管軍品中尚有286項無廠商申請取得列管軍品廠商資格級別認證，顯示海空戰力提升計畫採購與</w:t>
      </w:r>
      <w:r w:rsidR="008A7291">
        <w:rPr>
          <w:rFonts w:ascii="標楷體" w:eastAsia="標楷體" w:hAnsi="標楷體" w:hint="eastAsia"/>
          <w:color w:val="000000" w:themeColor="text1"/>
          <w:szCs w:val="24"/>
        </w:rPr>
        <w:t>國防產業發展</w:t>
      </w:r>
      <w:r w:rsidRPr="002764DD">
        <w:rPr>
          <w:rFonts w:ascii="標楷體" w:eastAsia="標楷體" w:hAnsi="標楷體" w:hint="eastAsia"/>
          <w:color w:val="000000" w:themeColor="text1"/>
          <w:szCs w:val="24"/>
        </w:rPr>
        <w:t>條例之結合程度亟待檢討提升。</w:t>
      </w:r>
    </w:p>
    <w:p w14:paraId="3B455CCD" w14:textId="74D0F28A" w:rsidR="00E8604E" w:rsidRPr="002764DD" w:rsidRDefault="00E8604E" w:rsidP="00265FC8">
      <w:pPr>
        <w:pStyle w:val="a7"/>
        <w:overflowPunct w:val="0"/>
        <w:spacing w:line="410" w:lineRule="exact"/>
        <w:ind w:firstLineChars="200" w:firstLine="480"/>
        <w:jc w:val="both"/>
        <w:rPr>
          <w:rFonts w:ascii="標楷體" w:eastAsia="標楷體" w:hAnsi="標楷體"/>
          <w:color w:val="000000" w:themeColor="text1"/>
          <w:szCs w:val="24"/>
        </w:rPr>
      </w:pPr>
      <w:r w:rsidRPr="002764DD">
        <w:rPr>
          <w:rFonts w:ascii="標楷體" w:eastAsia="標楷體" w:hAnsi="標楷體" w:hint="eastAsia"/>
          <w:color w:val="000000" w:themeColor="text1"/>
          <w:szCs w:val="24"/>
        </w:rPr>
        <w:t>鑑於政府為發展國防產業，落實國防自主政策，藉由制定專法，以軍用需求帶動國內廠商參與發展國防產業，惟國防部依</w:t>
      </w:r>
      <w:r w:rsidR="008A7291">
        <w:rPr>
          <w:rFonts w:ascii="標楷體" w:eastAsia="標楷體" w:hAnsi="標楷體" w:hint="eastAsia"/>
          <w:color w:val="000000" w:themeColor="text1"/>
          <w:szCs w:val="24"/>
        </w:rPr>
        <w:t>國防產業發展</w:t>
      </w:r>
      <w:r w:rsidR="008A7291" w:rsidRPr="002764DD">
        <w:rPr>
          <w:rFonts w:ascii="標楷體" w:eastAsia="標楷體" w:hAnsi="標楷體" w:hint="eastAsia"/>
          <w:color w:val="000000" w:themeColor="text1"/>
          <w:szCs w:val="24"/>
        </w:rPr>
        <w:t>條例</w:t>
      </w:r>
      <w:r w:rsidRPr="002764DD">
        <w:rPr>
          <w:rFonts w:ascii="標楷體" w:eastAsia="標楷體" w:hAnsi="標楷體" w:hint="eastAsia"/>
          <w:color w:val="000000" w:themeColor="text1"/>
          <w:szCs w:val="24"/>
        </w:rPr>
        <w:t>公告之列管軍品未能與國內軍品採購扣合，相關廠商技術投資獎勵行政規則亦未完成訂定，具列管軍品研製修能力之國內廠商多未申請資格級別認證，且中科院執行海空戰力提升計畫採購特別預算未能與</w:t>
      </w:r>
      <w:r w:rsidR="008A7291">
        <w:rPr>
          <w:rFonts w:ascii="標楷體" w:eastAsia="標楷體" w:hAnsi="標楷體" w:hint="eastAsia"/>
          <w:color w:val="000000" w:themeColor="text1"/>
          <w:szCs w:val="24"/>
        </w:rPr>
        <w:t>該</w:t>
      </w:r>
      <w:r w:rsidRPr="002764DD">
        <w:rPr>
          <w:rFonts w:ascii="標楷體" w:eastAsia="標楷體" w:hAnsi="標楷體" w:hint="eastAsia"/>
          <w:color w:val="000000" w:themeColor="text1"/>
          <w:szCs w:val="24"/>
        </w:rPr>
        <w:t>條例緊密結合，均影響國防產業之推展，允宜督促國防部積極研謀加強列管軍品與國防資源釋商規劃之扣合，加速訂定技術投資獎勵等相關規定，並深入研析國內相關廠商申請資格級別認證意願不高之原因，研謀具體改善對策，以增進相關國防預算執行效能，達成國防自主之目標。</w:t>
      </w:r>
    </w:p>
    <w:p w14:paraId="6F05F385" w14:textId="77777777" w:rsidR="00E8604E" w:rsidRPr="002764DD" w:rsidRDefault="00E8604E" w:rsidP="00AF3FED">
      <w:pPr>
        <w:pStyle w:val="2"/>
        <w:kinsoku/>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（八）　交通國營事業經管位處各市縣精華地段不動產面積與價值龐鉅，為提升資產使用效益，增裕庫收，已持續採取多元活化措施，惟辦理過程未臻周妥，或資產開發運用作業停滯，均影響事業權益，允宜督促研謀改善，強化資產管理及運用規劃作業，增進財務效能。</w:t>
      </w:r>
    </w:p>
    <w:p w14:paraId="525C275B" w14:textId="32737657" w:rsidR="00E8604E" w:rsidRPr="002764DD" w:rsidRDefault="00E8604E" w:rsidP="00265FC8">
      <w:pPr>
        <w:pStyle w:val="2"/>
        <w:overflowPunct w:val="0"/>
        <w:spacing w:beforeLines="20" w:before="72" w:afterLines="20" w:after="72" w:line="410" w:lineRule="exact"/>
        <w:ind w:left="0" w:firstLineChars="200" w:firstLine="480"/>
        <w:rPr>
          <w:rFonts w:hAnsi="標楷體"/>
          <w:color w:val="000000" w:themeColor="text1"/>
          <w:sz w:val="24"/>
          <w:szCs w:val="24"/>
        </w:rPr>
      </w:pPr>
      <w:r w:rsidRPr="002764DD">
        <w:rPr>
          <w:rFonts w:hAnsi="標楷體" w:hint="eastAsia"/>
          <w:color w:val="000000" w:themeColor="text1"/>
          <w:sz w:val="24"/>
          <w:szCs w:val="24"/>
        </w:rPr>
        <w:t>國營事業管理法第2條規定：「國營事業之設立，係以發展國家資本、促進經濟建設、便利人民生活為目的。」第4條規定：「國營事業應依照企業方式經營，以事業養事業，以事業發展事業，並力求有盈無虧，增加國庫收入……。」交通部所屬國營事業</w:t>
      </w:r>
      <w:r w:rsidR="009759A7">
        <w:rPr>
          <w:rFonts w:hAnsi="標楷體" w:hint="eastAsia"/>
          <w:color w:val="000000" w:themeColor="text1"/>
          <w:sz w:val="24"/>
          <w:szCs w:val="24"/>
        </w:rPr>
        <w:t>中，</w:t>
      </w:r>
      <w:r w:rsidRPr="002764DD">
        <w:rPr>
          <w:rFonts w:hAnsi="標楷體" w:hint="eastAsia"/>
          <w:color w:val="000000" w:themeColor="text1"/>
          <w:sz w:val="24"/>
          <w:szCs w:val="24"/>
        </w:rPr>
        <w:t>中華郵政股份有限公司（下稱中華郵政公司）、前臺灣鐵路管理局（113年1月1日改制為國營臺灣鐵路股份有限公司，下稱臺</w:t>
      </w:r>
      <w:r w:rsidRPr="009759A7">
        <w:rPr>
          <w:rFonts w:hAnsi="標楷體" w:hint="eastAsia"/>
          <w:color w:val="000000" w:themeColor="text1"/>
          <w:sz w:val="24"/>
          <w:szCs w:val="24"/>
        </w:rPr>
        <w:t>鐵）</w:t>
      </w:r>
      <w:r w:rsidRPr="002764DD">
        <w:rPr>
          <w:rFonts w:hAnsi="標楷體" w:hint="eastAsia"/>
          <w:color w:val="000000" w:themeColor="text1"/>
          <w:sz w:val="24"/>
          <w:szCs w:val="24"/>
        </w:rPr>
        <w:t>經管位處各市縣精華地段之不動產帳面價值龐鉅</w:t>
      </w:r>
      <w:r w:rsidR="009759A7">
        <w:rPr>
          <w:rFonts w:hAnsi="標楷體" w:hint="eastAsia"/>
          <w:color w:val="000000" w:themeColor="text1"/>
          <w:sz w:val="24"/>
          <w:szCs w:val="24"/>
        </w:rPr>
        <w:t>，其</w:t>
      </w:r>
      <w:r w:rsidRPr="002764DD">
        <w:rPr>
          <w:rFonts w:hAnsi="標楷體" w:hint="eastAsia"/>
          <w:color w:val="000000" w:themeColor="text1"/>
          <w:sz w:val="24"/>
          <w:szCs w:val="24"/>
        </w:rPr>
        <w:t>經管情形，核有下列事項：</w:t>
      </w:r>
    </w:p>
    <w:p w14:paraId="345EB995" w14:textId="128FBA68"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pacing w:val="4"/>
          <w:szCs w:val="24"/>
        </w:rPr>
      </w:pPr>
      <w:r w:rsidRPr="002764DD">
        <w:rPr>
          <w:rFonts w:ascii="標楷體" w:eastAsia="標楷體" w:hAnsi="標楷體" w:hint="eastAsia"/>
          <w:b/>
          <w:color w:val="000000" w:themeColor="text1"/>
          <w:szCs w:val="24"/>
        </w:rPr>
        <w:t>1.　部分交通國營事業資產活化措施未臻周妥，或開發運用作業停滯，影響事業權</w:t>
      </w:r>
      <w:r w:rsidRPr="002764DD">
        <w:rPr>
          <w:rFonts w:ascii="標楷體" w:eastAsia="標楷體" w:hAnsi="標楷體" w:hint="eastAsia"/>
          <w:b/>
          <w:color w:val="000000" w:themeColor="text1"/>
          <w:szCs w:val="24"/>
        </w:rPr>
        <w:lastRenderedPageBreak/>
        <w:t>益：</w:t>
      </w:r>
      <w:r w:rsidRPr="002764DD">
        <w:rPr>
          <w:rFonts w:ascii="標楷體" w:eastAsia="標楷體" w:hAnsi="標楷體" w:hint="eastAsia"/>
          <w:color w:val="000000" w:themeColor="text1"/>
          <w:szCs w:val="24"/>
        </w:rPr>
        <w:t>中華郵政公司及臺鐵經管位處各市縣精華地段之不動產帳面價值，112年10月底分別高達1,098億5,311萬餘元及145億6,270萬餘元，該2家國營事業配合政府政策，採房地標（出）租等多元活化措施，惟辦理過程間有未臻周妥之處，影響事業權益。如中華郵政公司近年因資通訊產業發展迅速，郵件及儲匯臨櫃案件量減少，實體空間需求亦隨之減少，經盤點並檢討整併各地區郵局，截至112年10月底止計有節餘空間281處（83,068.99平方公尺），其中237處已辦理出租，作為倉儲使用或建置郵政會館等，仍有44處（11,486.07平方公尺）尚未活化利用；部分空間活化出租供儲存防疫物品如口罩等，俾增裕營收，惟租金按口罩儲存數量計價，契約未訂定相關調整機制，亦未隨口罩儲存數量調整節餘空間另予活化運用，影響事業權益；尚未開發運用之土地標的計有三重郵局－淡水郵局投遞單位遷建基地等10處、面積約53,121平方公尺，早於108年即因尚在辦理可行性建檔評估作業、須與鄰地研議整合開發等待協調問題未獲解決，致該等土地未開發運用，截至112年10月底止歷時3年餘，僅少部分地號土地出租供作停車場使用，收取租金收入，其餘基地迄今仍未開發運用，待協調問題多年未獲解決或突破瓶頸，致仍閒置，土地開發運用作業停滯。又如臺鐵於108年3月、110年2月及111年度辦理停車場及集合式住宅公開標租案之租金底價訂定作業，或係按土地當期申報地價總額5％、房屋當期課稅現值10％訂定，或依行政院核頒出租率訂定，或依前次標租案底價、決標價折數金額訂定，租金底價擬定標準不一，且未考量其使用方式及區位條件等定價因素詳為分析，妥適訂定符合市場行情之標租底價，影響事業權益及房產出租收益；部分都市更新案件之執行進度停滯，開發時程費時，其中員林火車站都市更新案之招商文件訂定及公開閱覽作業，歷經2年餘仍未完成、臺鐵臺中車站周邊地區（國光客運臨時站）都市更新開發暨招商案，因站體、路線與107年核定之可</w:t>
      </w:r>
      <w:r w:rsidRPr="002764DD">
        <w:rPr>
          <w:rFonts w:ascii="標楷體" w:eastAsia="標楷體" w:hAnsi="標楷體" w:hint="eastAsia"/>
          <w:color w:val="000000" w:themeColor="text1"/>
          <w:spacing w:val="4"/>
          <w:szCs w:val="24"/>
        </w:rPr>
        <w:t>行性研究不同等諸多爭議，影響原訂於109年1月取得都市更新同意函時程，且未針對前置作業階段遭遇困難或問題研謀精進措施，致開發時程冗長，可分回房地等權利變換價值遲未能實現。</w:t>
      </w:r>
    </w:p>
    <w:p w14:paraId="310255B5"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pacing w:val="4"/>
          <w:szCs w:val="24"/>
        </w:rPr>
      </w:pPr>
      <w:r w:rsidRPr="002764DD">
        <w:rPr>
          <w:rFonts w:ascii="標楷體" w:eastAsia="標楷體" w:hAnsi="標楷體" w:hint="eastAsia"/>
          <w:b/>
          <w:color w:val="000000" w:themeColor="text1"/>
          <w:szCs w:val="24"/>
        </w:rPr>
        <w:t>2.　臺鐵營業長期虧損，平均短期債務餘額遽增，惟未針對位於都市精華區土地擬訂開發運用計畫等可行之資產活化措施，未獲具體開發效益：</w:t>
      </w:r>
      <w:r w:rsidRPr="002764DD">
        <w:rPr>
          <w:rFonts w:ascii="標楷體" w:eastAsia="標楷體" w:hAnsi="標楷體" w:hint="eastAsia"/>
          <w:color w:val="000000" w:themeColor="text1"/>
          <w:szCs w:val="24"/>
        </w:rPr>
        <w:t>政府為加速推動臺鐵轉型公司化，提高經營效能與競爭力，已於國營臺灣鐵路股份有限公司設置條例第10條規定，將由交通部設立償債基金，處理原機構（臺灣鐵路管理局）既存之短期債務，以協助臺鐵財務健全、營運順利、競爭能力、員工權益及永續發展。惟臺鐵因營業長期虧損，平均短期債務餘額由107年度之1,230億4,233萬餘元，逐年上升至112年度截至10月底止之1,662億8,326萬餘元，5年內增加432</w:t>
      </w:r>
      <w:r w:rsidRPr="002764DD">
        <w:rPr>
          <w:rFonts w:ascii="標楷體" w:eastAsia="標楷體" w:hAnsi="標楷體" w:hint="eastAsia"/>
          <w:color w:val="000000" w:themeColor="text1"/>
          <w:spacing w:val="-4"/>
          <w:szCs w:val="24"/>
        </w:rPr>
        <w:t>億4,092萬餘元，增幅約35.14％，又107至112年度截至10月底止之平均借款利率介於0.57％</w:t>
      </w:r>
      <w:r w:rsidRPr="002764DD">
        <w:rPr>
          <w:rFonts w:ascii="標楷體" w:eastAsia="標楷體" w:hAnsi="標楷體" w:hint="eastAsia"/>
          <w:color w:val="000000" w:themeColor="text1"/>
          <w:szCs w:val="24"/>
        </w:rPr>
        <w:t>至1.43％間，財務成本負擔加重，導致財務狀況惡化。經查列管作價投資公司化後臺鐵之公司資產，其中仍待規劃開發活化之土地計332筆、面積91萬3,395.47平方公尺，公告現值總價23億305萬餘元，筆數、面積及資產價值龐鉅，且不乏位於都市精華區土地，惟迄未擬訂開發運用計畫或研採可行之資產活化措施據以執行，未獲具體開發效益</w:t>
      </w:r>
      <w:r w:rsidRPr="002764DD">
        <w:rPr>
          <w:rFonts w:ascii="標楷體" w:eastAsia="標楷體" w:hAnsi="標楷體" w:hint="eastAsia"/>
          <w:color w:val="000000" w:themeColor="text1"/>
          <w:spacing w:val="4"/>
          <w:szCs w:val="24"/>
        </w:rPr>
        <w:t>。</w:t>
      </w:r>
    </w:p>
    <w:p w14:paraId="419ECCA8" w14:textId="08CB0E58" w:rsidR="00E8604E" w:rsidRPr="002764DD" w:rsidRDefault="00E8604E" w:rsidP="00265FC8">
      <w:pPr>
        <w:pStyle w:val="2"/>
        <w:overflowPunct w:val="0"/>
        <w:spacing w:beforeLines="20" w:before="72" w:afterLines="20" w:after="72" w:line="410" w:lineRule="exact"/>
        <w:ind w:left="0" w:firstLineChars="200" w:firstLine="480"/>
        <w:rPr>
          <w:rFonts w:hAnsi="標楷體"/>
          <w:bCs w:val="0"/>
          <w:color w:val="000000" w:themeColor="text1"/>
          <w:kern w:val="2"/>
          <w:sz w:val="24"/>
          <w:szCs w:val="24"/>
        </w:rPr>
      </w:pPr>
      <w:r w:rsidRPr="002764DD">
        <w:rPr>
          <w:rFonts w:hAnsi="標楷體" w:hint="eastAsia"/>
          <w:bCs w:val="0"/>
          <w:color w:val="000000" w:themeColor="text1"/>
          <w:kern w:val="2"/>
          <w:sz w:val="24"/>
          <w:szCs w:val="24"/>
        </w:rPr>
        <w:lastRenderedPageBreak/>
        <w:t>鑑於</w:t>
      </w:r>
      <w:r w:rsidR="00EA7F1C">
        <w:rPr>
          <w:rFonts w:hAnsi="標楷體" w:hint="eastAsia"/>
          <w:bCs w:val="0"/>
          <w:color w:val="000000" w:themeColor="text1"/>
          <w:kern w:val="2"/>
          <w:sz w:val="24"/>
          <w:szCs w:val="24"/>
        </w:rPr>
        <w:t>中華郵政公司、臺鐵等</w:t>
      </w:r>
      <w:r w:rsidRPr="002764DD">
        <w:rPr>
          <w:rFonts w:hAnsi="標楷體" w:hint="eastAsia"/>
          <w:bCs w:val="0"/>
          <w:color w:val="000000" w:themeColor="text1"/>
          <w:kern w:val="2"/>
          <w:sz w:val="24"/>
          <w:szCs w:val="24"/>
        </w:rPr>
        <w:t>交通國營事業為提升資產實質效益已持續採取多元活化措施，透過結合目的事業主</w:t>
      </w:r>
      <w:r w:rsidRPr="002764DD">
        <w:rPr>
          <w:rFonts w:hAnsi="標楷體" w:hint="eastAsia"/>
          <w:bCs w:val="0"/>
          <w:color w:val="000000" w:themeColor="text1"/>
          <w:spacing w:val="-4"/>
          <w:kern w:val="2"/>
          <w:sz w:val="24"/>
          <w:szCs w:val="24"/>
        </w:rPr>
        <w:t>管機關共同改良利用、標租、參與都市更新、設定地上權等，以提升資產使用效益，增裕庫收。</w:t>
      </w:r>
      <w:r w:rsidRPr="002764DD">
        <w:rPr>
          <w:rFonts w:hAnsi="標楷體" w:hint="eastAsia"/>
          <w:bCs w:val="0"/>
          <w:color w:val="000000" w:themeColor="text1"/>
          <w:spacing w:val="2"/>
          <w:kern w:val="2"/>
          <w:sz w:val="24"/>
          <w:szCs w:val="24"/>
        </w:rPr>
        <w:t>惟房地標（出）租等活化措施仍未臻周妥，允宜督促權責機關通盤審慎檢討，研議訂定彈性調整機制，</w:t>
      </w:r>
      <w:r w:rsidRPr="007337AD">
        <w:rPr>
          <w:rFonts w:hAnsi="標楷體" w:hint="eastAsia"/>
          <w:bCs w:val="0"/>
          <w:color w:val="000000" w:themeColor="text1"/>
          <w:spacing w:val="-4"/>
          <w:kern w:val="2"/>
          <w:sz w:val="24"/>
          <w:szCs w:val="24"/>
        </w:rPr>
        <w:t>或建立定期檢討作業，以因應房地市場環境及土地經濟收益變動趨勢，適時予以調整，並積極擬訂待開發土地利用模式，</w:t>
      </w:r>
      <w:r w:rsidRPr="002764DD">
        <w:rPr>
          <w:rFonts w:hAnsi="標楷體" w:hint="eastAsia"/>
          <w:bCs w:val="0"/>
          <w:color w:val="000000" w:themeColor="text1"/>
          <w:kern w:val="2"/>
          <w:sz w:val="24"/>
          <w:szCs w:val="24"/>
        </w:rPr>
        <w:t>俾強化資產管理與運用規劃作業，確保事業權益，增進財務效能。</w:t>
      </w:r>
    </w:p>
    <w:p w14:paraId="041E22F3" w14:textId="77777777" w:rsidR="00E8604E" w:rsidRPr="002764DD" w:rsidRDefault="00E8604E" w:rsidP="00265FC8">
      <w:pPr>
        <w:pStyle w:val="2"/>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（九）　政府建立重大建設計畫編擬及審議機制，有助公共資源有效配置與利用，惟間有部分計畫未先取得民意共識仍予核定推動，或前置作業階段未覈實評估外在條件限制，肇致公帑損失或未達成原規劃之經濟效益，允宜強化並落實計畫審編作業，確保計畫如期如質完成，促進政府資源有效配置及運用。</w:t>
      </w:r>
    </w:p>
    <w:p w14:paraId="132F768F" w14:textId="77777777" w:rsidR="00E8604E" w:rsidRPr="002764DD" w:rsidRDefault="00E8604E" w:rsidP="00265FC8">
      <w:pPr>
        <w:pStyle w:val="2"/>
        <w:overflowPunct w:val="0"/>
        <w:spacing w:beforeLines="20" w:before="72" w:afterLines="20" w:after="72" w:line="410" w:lineRule="exact"/>
        <w:ind w:left="0" w:firstLineChars="200" w:firstLine="480"/>
        <w:rPr>
          <w:rFonts w:hAnsi="標楷體"/>
          <w:color w:val="000000" w:themeColor="text1"/>
          <w:sz w:val="24"/>
          <w:szCs w:val="24"/>
        </w:rPr>
      </w:pPr>
      <w:r w:rsidRPr="002764DD">
        <w:rPr>
          <w:rFonts w:hAnsi="標楷體" w:hint="eastAsia"/>
          <w:color w:val="000000" w:themeColor="text1"/>
          <w:sz w:val="24"/>
          <w:szCs w:val="24"/>
        </w:rPr>
        <w:t>行政院所屬各機關擬編重大建設計畫係聚焦其施政核心業務，配合行政院施政方針及衡酌未來發展需要而據以訂定。依國家發展委員會統計，行政院所屬各機關112年度列管中長程個案計畫總數為1,196項，計畫經費合計1兆2,188億餘元，其中，計畫項數以社會發展類計畫419項最多，計畫經費則以公共建設類計畫6,848億餘元為最高。惟近年行政院所屬各機關重大建設計畫執行情形，部分計畫或未取得民意共識，或未覈實檢討法令限制條件，或效益評估過於樂觀等因素，致計畫核定後因執行過程遭遇困難而暫停計畫，衍生公帑損失或設施閒置等不經濟支出情形。有關政府重大建設計畫編擬、審議及執行情形，核有下列事項：</w:t>
      </w:r>
    </w:p>
    <w:p w14:paraId="1EE3FADB"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　部分重大建設計畫未先取得民意共識仍予核定推動，肇致計畫核定實施後卻暫緩推動，或完成之設施棄置未用，衍生公帑損失，或未達原規劃之經濟效益：</w:t>
      </w:r>
      <w:r w:rsidRPr="002764DD">
        <w:rPr>
          <w:rFonts w:ascii="標楷體" w:eastAsia="標楷體" w:hAnsi="標楷體" w:hint="eastAsia"/>
          <w:color w:val="000000" w:themeColor="text1"/>
          <w:szCs w:val="24"/>
        </w:rPr>
        <w:t>內政部辦理「數位身分識別證（New eID）－新一代國民身分證換發計畫」，計畫擬編過程未制定數位身分證換發相關專法或完成配套法案修正，以及須向民眾溝通等關鍵事項，於計畫中未明定具體執行策略及步驟，計畫審議過程亦未審慎評估計畫可行性，即同意推動並經核定執行，又計畫修正階段，未就計畫推動關鍵事項，載明具體因應作為，僅以改採先行小規模試辦方式因應，後續因外界對於新式身分證存有隱私及資安疑慮而暫緩推動，致已投入5億173萬餘元鉅額經費未能發揮效益；台灣電力股份有限公司辦理「萬里（西寶）水力發電計畫」，以馬鞍溪溪水經越域引水隧道與西寶計畫頭水隧道匯流後聯合發電，惟對於越域引水影響馬鞍溪下游用水及電廠設施位於溫泉區等爭議問題未有效協處解決，引發民眾陳抗事件頻傳，迨至立法院決議刪除計畫年度預算後，始層報行政院同意緩辦計畫，檢討取消越域引水施作及變更電廠位置，肇致耗費</w:t>
      </w:r>
      <w:r w:rsidRPr="002764DD">
        <w:rPr>
          <w:rFonts w:ascii="標楷體" w:eastAsia="標楷體" w:hAnsi="標楷體"/>
          <w:color w:val="000000" w:themeColor="text1"/>
          <w:szCs w:val="24"/>
        </w:rPr>
        <w:t>5</w:t>
      </w:r>
      <w:r w:rsidRPr="002764DD">
        <w:rPr>
          <w:rFonts w:ascii="標楷體" w:eastAsia="標楷體" w:hAnsi="標楷體" w:hint="eastAsia"/>
          <w:color w:val="000000" w:themeColor="text1"/>
          <w:szCs w:val="24"/>
        </w:rPr>
        <w:t>億</w:t>
      </w:r>
      <w:r w:rsidRPr="002764DD">
        <w:rPr>
          <w:rFonts w:ascii="標楷體" w:eastAsia="標楷體" w:hAnsi="標楷體"/>
          <w:color w:val="000000" w:themeColor="text1"/>
          <w:szCs w:val="24"/>
        </w:rPr>
        <w:t>3,790</w:t>
      </w:r>
      <w:r w:rsidRPr="002764DD">
        <w:rPr>
          <w:rFonts w:ascii="標楷體" w:eastAsia="標楷體" w:hAnsi="標楷體" w:hint="eastAsia"/>
          <w:color w:val="000000" w:themeColor="text1"/>
          <w:szCs w:val="24"/>
        </w:rPr>
        <w:t>萬餘元鉅額經費完成設施及技術服務成果棄置未用，未獲應有效益；台灣糖業股份有限公司辦理「牡蠣殼製成碳酸鈣生技材料廠投資計畫（第一期）」，投資金額</w:t>
      </w:r>
      <w:r w:rsidRPr="002764DD">
        <w:rPr>
          <w:rFonts w:ascii="標楷體" w:eastAsia="標楷體" w:hAnsi="標楷體"/>
          <w:color w:val="000000" w:themeColor="text1"/>
          <w:szCs w:val="24"/>
        </w:rPr>
        <w:t>1</w:t>
      </w:r>
      <w:r w:rsidRPr="002764DD">
        <w:rPr>
          <w:rFonts w:ascii="標楷體" w:eastAsia="標楷體" w:hAnsi="標楷體" w:hint="eastAsia"/>
          <w:color w:val="000000" w:themeColor="text1"/>
          <w:szCs w:val="24"/>
        </w:rPr>
        <w:t>億</w:t>
      </w:r>
      <w:r w:rsidRPr="002764DD">
        <w:rPr>
          <w:rFonts w:ascii="標楷體" w:eastAsia="標楷體" w:hAnsi="標楷體"/>
          <w:color w:val="000000" w:themeColor="text1"/>
          <w:szCs w:val="24"/>
        </w:rPr>
        <w:t>6,762</w:t>
      </w:r>
      <w:r w:rsidRPr="002764DD">
        <w:rPr>
          <w:rFonts w:ascii="標楷體" w:eastAsia="標楷體" w:hAnsi="標楷體" w:hint="eastAsia"/>
          <w:color w:val="000000" w:themeColor="text1"/>
          <w:szCs w:val="24"/>
        </w:rPr>
        <w:t>萬餘元，規劃透過循環再生技術，將原本被棄置之牡蠣殼回收煅燒轉製成有價值之生質材料，惟建廠地點及原料供應來源可行性評估過於樂觀，屢遭地方居民反對，多次變更設廠地點，致延宕建廠期程，且因建廠選址遠離牡蠣殼生產地，大幅增加原料運輸成本，甚至面臨料源供應不繼窘境，整體</w:t>
      </w:r>
      <w:r w:rsidRPr="002764DD">
        <w:rPr>
          <w:rFonts w:ascii="標楷體" w:eastAsia="標楷體" w:hAnsi="標楷體" w:hint="eastAsia"/>
          <w:color w:val="000000" w:themeColor="text1"/>
          <w:szCs w:val="24"/>
        </w:rPr>
        <w:lastRenderedPageBreak/>
        <w:t>產能及設備利用率遠低於目標值，未達原規劃生產之經濟效益</w:t>
      </w:r>
      <w:r w:rsidRPr="002764DD">
        <w:rPr>
          <w:rFonts w:ascii="標楷體" w:eastAsia="標楷體" w:hAnsi="標楷體" w:hint="eastAsia"/>
          <w:color w:val="000000" w:themeColor="text1"/>
          <w:spacing w:val="-2"/>
          <w:szCs w:val="24"/>
        </w:rPr>
        <w:t>。</w:t>
      </w:r>
    </w:p>
    <w:p w14:paraId="2B1B7229"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2.　部分重大建設計畫之前置作業階段未覈實評估外在條件限制，以致執行結果無法達成預期目標：</w:t>
      </w:r>
      <w:r w:rsidRPr="002764DD">
        <w:rPr>
          <w:rFonts w:ascii="標楷體" w:eastAsia="標楷體" w:hAnsi="標楷體" w:hint="eastAsia"/>
          <w:color w:val="000000" w:themeColor="text1"/>
          <w:szCs w:val="24"/>
        </w:rPr>
        <w:t>臺灣菸酒股份有限公司辦理「花蓮酒廠土地開發再利用投資計畫」，以酒主題文化園區結合觀光旅館等設施進行開發，事前未能審慎評估計畫可行性，落實環境影響評估審議程序及澈底解決部分用地建築限制等，徒增開發計畫不確定性，又耽延招商前置作業，致壓縮後續開發興建期程，影響市場潛在投資人參與投標意願，耗費預算7,637萬餘元辦理規劃案及繳納用地變更回饋金，卻無法完成招商；海洋委員會海巡署辦理「旋翼型無人飛行載具籌建計畫」，編列預算9,000萬元，採購20架旋翼型無人飛行載具（UAV）、相關酬載、導控及通訊傳輸等設施，事前未詳實評估海上風力環境對UAV操作影響，後續協請廠商加裝之輔助裝置未能通過交通部民用航空局型式檢驗而停用，肇致配置於海巡署艦隊分署台南艦及高雄艦之4架UAV飛行天數及執行專案勤務次數寥少，相關設備長期閒置，未能達成執行碧海專案及南方海域巡護之計畫目標。</w:t>
      </w:r>
    </w:p>
    <w:p w14:paraId="56F75720" w14:textId="77777777" w:rsidR="00E8604E" w:rsidRPr="002764DD" w:rsidRDefault="00E8604E" w:rsidP="00265FC8">
      <w:pPr>
        <w:pStyle w:val="2"/>
        <w:overflowPunct w:val="0"/>
        <w:spacing w:beforeLines="20" w:before="72" w:afterLines="20" w:after="72" w:line="410" w:lineRule="exact"/>
        <w:ind w:left="0" w:firstLineChars="200" w:firstLine="480"/>
        <w:rPr>
          <w:rFonts w:hAnsi="標楷體"/>
          <w:bCs w:val="0"/>
          <w:color w:val="000000" w:themeColor="text1"/>
          <w:kern w:val="2"/>
          <w:sz w:val="24"/>
          <w:szCs w:val="24"/>
        </w:rPr>
      </w:pPr>
      <w:r w:rsidRPr="002764DD">
        <w:rPr>
          <w:rFonts w:hAnsi="標楷體" w:hint="eastAsia"/>
          <w:bCs w:val="0"/>
          <w:color w:val="000000" w:themeColor="text1"/>
          <w:kern w:val="2"/>
          <w:sz w:val="24"/>
          <w:szCs w:val="24"/>
        </w:rPr>
        <w:t>鑑於政府建立重大建設計畫編擬及審議機制，以有效配置與利用公共資源，惟部分重大建設計畫未先取得民意共識，在外界存有疑慮情況下仍予核定推動，或前置作業階段未覈實評估外在條件限制等，肇致公帑損失或執行結果無法達成預期目標，允宜督促計畫主辦機關強化計畫擬編作業，事先完備各項可行性評估作業，強化對外溝通，落實與相關部會或市縣政府協調事項，以化解民眾疑慮，降低計畫不確定性，並督促強化審議機關功能，對於先期評估結果效益偏低、與法規衝突或民意輿論尚未形成共識之重大建設計畫，嚴格執行審議把關工作，防杜各種潛藏風險，以確保各項計畫能如期如質完成，促進政府資源有效配置及運用。</w:t>
      </w:r>
    </w:p>
    <w:p w14:paraId="69D6445C" w14:textId="77777777" w:rsidR="00E8604E" w:rsidRPr="002764DD" w:rsidRDefault="00E8604E" w:rsidP="00265FC8">
      <w:pPr>
        <w:pStyle w:val="2"/>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（十）　政府為因應氣候變遷，建立遠離水患的環境，編列預算補助各市縣建設雨水下水道系統，有助改善地方區域排水問題，惟部分市縣抽水站建置年代久遠或設備老舊，且位處淹水潛勢區域；又部分雨水下水道系統逾10年尚未完成規劃檢討，難以因應短延時強降雨之威脅，允宜督促評估辦理抽水站延壽健檢及更新改善，並加速辦理雨水下水道系統規劃檢討，以有效發揮雨水下水道系統防洪效益，增進計畫財務效能。</w:t>
      </w:r>
    </w:p>
    <w:p w14:paraId="5C09602D" w14:textId="2EEED03E" w:rsidR="00E8604E" w:rsidRPr="002764DD" w:rsidRDefault="00E8604E" w:rsidP="00265FC8">
      <w:pPr>
        <w:pStyle w:val="2"/>
        <w:overflowPunct w:val="0"/>
        <w:spacing w:beforeLines="20" w:before="72" w:afterLines="20" w:after="72" w:line="410" w:lineRule="exact"/>
        <w:ind w:left="0" w:firstLineChars="200" w:firstLine="480"/>
        <w:rPr>
          <w:rFonts w:hAnsi="標楷體"/>
          <w:color w:val="000000" w:themeColor="text1"/>
          <w:sz w:val="24"/>
          <w:szCs w:val="24"/>
        </w:rPr>
      </w:pPr>
      <w:r w:rsidRPr="002764DD">
        <w:rPr>
          <w:rFonts w:hAnsi="標楷體" w:hint="eastAsia"/>
          <w:color w:val="000000" w:themeColor="text1"/>
          <w:sz w:val="24"/>
          <w:szCs w:val="24"/>
        </w:rPr>
        <w:t>近</w:t>
      </w:r>
      <w:r w:rsidRPr="002764DD">
        <w:rPr>
          <w:rFonts w:hAnsi="標楷體" w:hint="eastAsia"/>
          <w:color w:val="000000" w:themeColor="text1"/>
          <w:spacing w:val="4"/>
          <w:sz w:val="24"/>
          <w:szCs w:val="24"/>
        </w:rPr>
        <w:t>年來因極端氣候發生強降雨事件頻仍，當降雨強度超越公共排水設施設計之保護標準</w:t>
      </w:r>
      <w:r w:rsidRPr="002764DD">
        <w:rPr>
          <w:rFonts w:hAnsi="標楷體" w:hint="eastAsia"/>
          <w:color w:val="000000" w:themeColor="text1"/>
          <w:sz w:val="24"/>
          <w:szCs w:val="24"/>
        </w:rPr>
        <w:t>時，極易造成淹水災害，如105及106年襲臺之6次大豪雨或颱風，共計造成全臺5,527.39公頃淹水面積，其中地層下陷地區占9成以上；又108年0520豪雨事件為劇烈短時降雨，其間在</w:t>
      </w:r>
      <w:r w:rsidRPr="002764DD">
        <w:rPr>
          <w:rFonts w:hAnsi="標楷體" w:hint="eastAsia"/>
          <w:color w:val="000000" w:themeColor="text1"/>
          <w:spacing w:val="2"/>
          <w:sz w:val="24"/>
          <w:szCs w:val="24"/>
        </w:rPr>
        <w:t>臺北、新北、桃園、新竹、臺中、南投、嘉義、臺南及高雄等地區共發生305處積（淹）水災情，</w:t>
      </w:r>
      <w:r w:rsidRPr="002764DD">
        <w:rPr>
          <w:rFonts w:hAnsi="標楷體" w:hint="eastAsia"/>
          <w:color w:val="000000" w:themeColor="text1"/>
          <w:sz w:val="24"/>
          <w:szCs w:val="24"/>
        </w:rPr>
        <w:t>當地居民生命財產安全受到相當威脅或影響。為因應近年氣候變遷及水文地貌之變動，內政部營建署（112年9月20日改制為內政部國土管理署，下稱國土署）已辦理多期縣市管河川及區域排水整體改善計畫（下稱縣市管排水改善計畫），按該計畫第3期（110至111年度）編列預算數56億餘元，截至112年8月底止，累計執行數47億餘元，主要係補助各市縣政府辦</w:t>
      </w:r>
      <w:r w:rsidRPr="002764DD">
        <w:rPr>
          <w:rFonts w:hAnsi="標楷體" w:hint="eastAsia"/>
          <w:color w:val="000000" w:themeColor="text1"/>
          <w:sz w:val="24"/>
          <w:szCs w:val="24"/>
        </w:rPr>
        <w:lastRenderedPageBreak/>
        <w:t>理都市排水整體改善工程、抽水站及滯洪池整建工程、下水道系統規劃及檢討、非工程措施等相關項目，協助地方政府加速推動治水工作。統計截至112年8月底止，全國雨水下水道建設總長度累計4,942公里，雨水抽水站計210座。有關國土署督導各市縣政府抽水站管理及雨水下水道系統規劃檢討情形，核有下列事項：</w:t>
      </w:r>
    </w:p>
    <w:p w14:paraId="6EBB879F" w14:textId="76713256"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　部分市縣抽水站建置年代久遠或設備老舊，且位處淹水潛勢區域，影響區域防洪能力：</w:t>
      </w:r>
      <w:r w:rsidRPr="002764DD">
        <w:rPr>
          <w:rFonts w:ascii="標楷體" w:eastAsia="標楷體" w:hAnsi="標楷體" w:hint="eastAsia"/>
          <w:color w:val="000000" w:themeColor="text1"/>
          <w:szCs w:val="24"/>
        </w:rPr>
        <w:t>依下水道法第4條規定，內政部（國土署）負責下水道發展政策、方案之訂定、市縣下水道建設、管理與研究發展之監督及輔導等事項。國土署於104至109年度辦理都市計畫區雨水抽水站延壽健檢計畫，提出防洪抽水站主要設備之使用年限達20年以上者即可考慮汰換更新之建議；經統計各市縣都市計畫區內計210座抽水站，其中使用年限已逾20年，且於市縣管排水改善計畫未予補助辦理相關設備更新者，計有72座（34.29％）。復以QGIS地理資訊系統與政府資料開放平臺之106至110年度淹水災點資料、淹水潛勢圖分析比對結果，發現其中50座抽水站與近5年淹水災點相鄰間距小於500公尺，分屬臺北市、新北市、臺南市、高雄市、花蓮縣等5市縣，建置年度為52至90年間，年代久遠，其中甚有3座抽水站位處災害發生可能之淹水潛勢區域。又前揭50座抽水站中，經國土署納入延壽健檢計畫進行檢討評估者僅有12座，尚有其他使用年限已逾20年之老舊抽水站，其中雲林縣北港三號門（69年度建置）、北港四號門（88年度建置）及山寮抽水站（89年度建置）等3座抽水站，不僅位處地層嚴重下陷地區，且其中北港三、四號門抽水站抽水揚程已小於外水位高程（潮位或河川水位）與容許內水位高程之差，大幅增加抽水站排水難度；至山寮抽水站之抽水揚程早已不符國土署雨水下水道設計指南建議加計</w:t>
      </w:r>
      <w:r w:rsidRPr="002764DD">
        <w:rPr>
          <w:rFonts w:ascii="標楷體" w:eastAsia="標楷體" w:hAnsi="標楷體"/>
          <w:color w:val="000000" w:themeColor="text1"/>
          <w:szCs w:val="24"/>
        </w:rPr>
        <w:t>3</w:t>
      </w:r>
      <w:r w:rsidRPr="002764DD">
        <w:rPr>
          <w:rFonts w:ascii="標楷體" w:eastAsia="標楷體" w:hAnsi="標楷體" w:hint="eastAsia"/>
          <w:color w:val="000000" w:themeColor="text1"/>
          <w:szCs w:val="24"/>
        </w:rPr>
        <w:t>至</w:t>
      </w:r>
      <w:r w:rsidRPr="002764DD">
        <w:rPr>
          <w:rFonts w:ascii="標楷體" w:eastAsia="標楷體" w:hAnsi="標楷體"/>
          <w:color w:val="000000" w:themeColor="text1"/>
          <w:szCs w:val="24"/>
        </w:rPr>
        <w:t>5</w:t>
      </w:r>
      <w:r w:rsidRPr="002764DD">
        <w:rPr>
          <w:rFonts w:ascii="標楷體" w:eastAsia="標楷體" w:hAnsi="標楷體" w:hint="eastAsia"/>
          <w:color w:val="000000" w:themeColor="text1"/>
          <w:szCs w:val="24"/>
        </w:rPr>
        <w:t>年平均下陷量之設計標準，亟待辦理延壽健檢評估或設備汰舊換新等改善措施。</w:t>
      </w:r>
    </w:p>
    <w:p w14:paraId="2B4EC078" w14:textId="3B5C0194"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2.　部分雨水下水道系統逾10年尚未完成規劃檢討，難以因應氣候變遷及暴雨威脅：</w:t>
      </w:r>
      <w:r w:rsidRPr="002764DD">
        <w:rPr>
          <w:rFonts w:ascii="標楷體" w:eastAsia="標楷體" w:hAnsi="標楷體" w:hint="eastAsia"/>
          <w:color w:val="000000" w:themeColor="text1"/>
          <w:szCs w:val="24"/>
        </w:rPr>
        <w:t>依經濟部訂頒之縣市管排水改善計畫肆、四、（十二）防洪改善設計標準規定，市縣管區域排水以10年重現期距洪水設計為目標；陸、預期效果及影響載述，防洪、排水設施保護標準提升至10年重現期距。國土署訂頒之排水改善計畫補助注意事項參、下水道系統規劃及規劃檢討第20點規定，市縣政府得以轄管都市計畫區為單元辦理綜合都市排水規劃；如已核定之規劃報告，其原規劃方案因制訂年度久遠或環境變遷有檢討之必要者，得視需求辦理規劃檢討。經統計截至112年8月底止，22個市縣已規劃完成之雨水下水道系統共計423個，其中已完成重新檢討者168個（39.72％），尚未完成檢討者計255個（60.28％，17個市縣），顯示6成之雨水下水道系統仍待逐步進行後續檢討。如以地層下陷較嚴重之鄉鎮市區進行分析，屬</w:t>
      </w:r>
      <w:r w:rsidR="00DF1F97">
        <w:rPr>
          <w:rFonts w:ascii="標楷體" w:eastAsia="標楷體" w:hAnsi="標楷體" w:hint="eastAsia"/>
          <w:color w:val="000000" w:themeColor="text1"/>
          <w:szCs w:val="24"/>
        </w:rPr>
        <w:t>經濟部</w:t>
      </w:r>
      <w:r w:rsidRPr="002764DD">
        <w:rPr>
          <w:rFonts w:ascii="標楷體" w:eastAsia="標楷體" w:hAnsi="標楷體" w:hint="eastAsia"/>
          <w:color w:val="000000" w:themeColor="text1"/>
          <w:szCs w:val="24"/>
        </w:rPr>
        <w:t>水利署111年度公告為第一級「地下水管制區」共計34個鄉鎮市區；其中，22個鄉鎮市區雨水下水道系統</w:t>
      </w:r>
      <w:r w:rsidR="000E72B1" w:rsidRPr="000E72B1">
        <w:rPr>
          <w:rFonts w:ascii="標楷體" w:eastAsia="標楷體" w:hAnsi="標楷體" w:hint="eastAsia"/>
          <w:color w:val="000000" w:themeColor="text1"/>
          <w:szCs w:val="24"/>
        </w:rPr>
        <w:t>106至110年</w:t>
      </w:r>
      <w:r w:rsidRPr="002764DD">
        <w:rPr>
          <w:rFonts w:ascii="標楷體" w:eastAsia="標楷體" w:hAnsi="標楷體" w:hint="eastAsia"/>
          <w:color w:val="000000" w:themeColor="text1"/>
          <w:szCs w:val="24"/>
        </w:rPr>
        <w:t>均曾發生淹水情事，且逾10年尚未完成辦理規劃檢討（占地層下陷較嚴重鄉鎮市區之64.71％），包含</w:t>
      </w:r>
      <w:r w:rsidR="000E72B1" w:rsidRPr="000E72B1">
        <w:rPr>
          <w:rFonts w:ascii="標楷體" w:eastAsia="標楷體" w:hAnsi="標楷體" w:hint="eastAsia"/>
          <w:color w:val="000000" w:themeColor="text1"/>
          <w:szCs w:val="24"/>
        </w:rPr>
        <w:t>106至110年</w:t>
      </w:r>
      <w:r w:rsidRPr="002764DD">
        <w:rPr>
          <w:rFonts w:ascii="標楷體" w:eastAsia="標楷體" w:hAnsi="標楷體" w:hint="eastAsia"/>
          <w:color w:val="000000" w:themeColor="text1"/>
          <w:szCs w:val="24"/>
        </w:rPr>
        <w:t>淹水次數排名全國前五分之一，平均每年淹水7次以上之雲林縣口湖鄉（40次）、嘉義縣布袋鎮（45次）、屏東縣林邊鄉（38次）、屏東縣佳冬鄉（43次）</w:t>
      </w:r>
      <w:r w:rsidRPr="002764DD">
        <w:rPr>
          <w:rFonts w:ascii="標楷體" w:eastAsia="標楷體" w:hAnsi="標楷體" w:hint="eastAsia"/>
          <w:color w:val="000000" w:themeColor="text1"/>
          <w:szCs w:val="24"/>
        </w:rPr>
        <w:lastRenderedPageBreak/>
        <w:t>等淹水頻繁地區，顯示部分規劃年代較為久遠之雨水下水道系統水患發生頻仍，市縣管排水改善計畫訂定之防洪、排水設施保護標準雖已提升至10年重現期距，惟部分市縣雨水下水道系統卻逾10年尚未完成規劃檢討，該等系統恐難以因應氣候變遷之暴雨威脅。</w:t>
      </w:r>
    </w:p>
    <w:p w14:paraId="073A900B" w14:textId="77777777" w:rsidR="00E8604E" w:rsidRPr="002764DD" w:rsidRDefault="00E8604E" w:rsidP="00265FC8">
      <w:pPr>
        <w:pStyle w:val="2"/>
        <w:overflowPunct w:val="0"/>
        <w:spacing w:beforeLines="20" w:before="72" w:afterLines="20" w:after="72" w:line="410" w:lineRule="exact"/>
        <w:ind w:left="0" w:firstLineChars="200" w:firstLine="480"/>
        <w:rPr>
          <w:rFonts w:hAnsi="標楷體"/>
          <w:color w:val="000000" w:themeColor="text1"/>
          <w:sz w:val="24"/>
          <w:szCs w:val="24"/>
        </w:rPr>
      </w:pPr>
      <w:r w:rsidRPr="002764DD">
        <w:rPr>
          <w:rFonts w:hAnsi="標楷體" w:hint="eastAsia"/>
          <w:color w:val="000000" w:themeColor="text1"/>
          <w:sz w:val="24"/>
          <w:szCs w:val="24"/>
        </w:rPr>
        <w:t>鑑於政府近年為因應氣候變遷，投入經費補助各市縣政府辦理都市抽水站及滯洪池整建工程、雨水下水道系統規劃及檢討，惟部分市縣抽水站設備過於老舊，易有造成社會及經濟損失之致災風險；部分市縣雨水下水道系統逾10年尚未完成規劃檢討，亦難以因應氣候變遷之暴雨威脅，允宜督促權責機關審酌評估經費需求及致災風險，加強辦理老舊設備延壽健檢及更新改善，以確保地層下陷區都市防洪能力，並加速辦理雨水下水道系統規劃檢討，有效發揮雨水下水道系統防洪效益，增進計畫財務效能。</w:t>
      </w:r>
    </w:p>
    <w:p w14:paraId="6CB49E4E" w14:textId="77777777" w:rsidR="00E8604E" w:rsidRPr="002764DD" w:rsidRDefault="00E8604E" w:rsidP="00265FC8">
      <w:pPr>
        <w:pStyle w:val="2"/>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（十一）　政府推動營建剩餘土石方管理與再利用，有助維護環境衛生與減少天然砂石開採，惟欠缺法律位階專法，致市縣政府管控標準不一，衍生管理亂象；另中央主管機關尚未建置全國性GPS流向管控系統供市縣政府運用，部分直轄市政府自行建置類同系統，恐徒增公帑支出，允宜督促權責機關加速推動制定專法，劃一全國管控標準，並建置全國性GPS流向管控系統，以增進財務效能及發揮流向管控效益。</w:t>
      </w:r>
    </w:p>
    <w:p w14:paraId="682A0BE5" w14:textId="05534A73" w:rsidR="00E8604E" w:rsidRPr="002764DD" w:rsidRDefault="00E8604E" w:rsidP="00265FC8">
      <w:pPr>
        <w:pStyle w:val="2"/>
        <w:overflowPunct w:val="0"/>
        <w:spacing w:beforeLines="20" w:before="72" w:afterLines="20" w:after="72" w:line="410" w:lineRule="exact"/>
        <w:ind w:left="0" w:firstLineChars="200" w:firstLine="480"/>
        <w:rPr>
          <w:rFonts w:hAnsi="標楷體"/>
          <w:color w:val="000000" w:themeColor="text1"/>
          <w:sz w:val="24"/>
          <w:szCs w:val="24"/>
        </w:rPr>
      </w:pPr>
      <w:r w:rsidRPr="002764DD">
        <w:rPr>
          <w:rFonts w:hAnsi="標楷體" w:hint="eastAsia"/>
          <w:color w:val="000000" w:themeColor="text1"/>
          <w:sz w:val="24"/>
          <w:szCs w:val="24"/>
        </w:rPr>
        <w:t>近年來社會經濟活動快速發展及政府推動前瞻基礎建設，國內建築工程、公共工程及其他</w:t>
      </w:r>
      <w:r w:rsidRPr="002764DD">
        <w:rPr>
          <w:rFonts w:hAnsi="標楷體" w:hint="eastAsia"/>
          <w:color w:val="000000" w:themeColor="text1"/>
          <w:spacing w:val="-4"/>
          <w:sz w:val="24"/>
          <w:szCs w:val="24"/>
        </w:rPr>
        <w:t>民間工程數量日益增加，施工過程伴隨產生大量營建剩餘土石方，包含泥、土、砂、石、磚、瓦、</w:t>
      </w:r>
      <w:r w:rsidRPr="002764DD">
        <w:rPr>
          <w:rFonts w:hAnsi="標楷體" w:hint="eastAsia"/>
          <w:color w:val="000000" w:themeColor="text1"/>
          <w:sz w:val="24"/>
          <w:szCs w:val="24"/>
        </w:rPr>
        <w:t>混凝土塊等。依</w:t>
      </w:r>
      <w:r w:rsidR="00222C89">
        <w:rPr>
          <w:rFonts w:hAnsi="標楷體" w:hint="eastAsia"/>
          <w:color w:val="000000" w:themeColor="text1"/>
          <w:sz w:val="24"/>
          <w:szCs w:val="24"/>
        </w:rPr>
        <w:t>內政部</w:t>
      </w:r>
      <w:r w:rsidRPr="002764DD">
        <w:rPr>
          <w:rFonts w:hAnsi="標楷體" w:hint="eastAsia"/>
          <w:color w:val="000000" w:themeColor="text1"/>
          <w:sz w:val="24"/>
          <w:szCs w:val="24"/>
        </w:rPr>
        <w:t>國土</w:t>
      </w:r>
      <w:r w:rsidR="00222C89">
        <w:rPr>
          <w:rFonts w:hAnsi="標楷體" w:hint="eastAsia"/>
          <w:color w:val="000000" w:themeColor="text1"/>
          <w:sz w:val="24"/>
          <w:szCs w:val="24"/>
        </w:rPr>
        <w:t>管理</w:t>
      </w:r>
      <w:r w:rsidRPr="002764DD">
        <w:rPr>
          <w:rFonts w:hAnsi="標楷體" w:hint="eastAsia"/>
          <w:color w:val="000000" w:themeColor="text1"/>
          <w:sz w:val="24"/>
          <w:szCs w:val="24"/>
        </w:rPr>
        <w:t>署</w:t>
      </w:r>
      <w:r w:rsidR="00222C89" w:rsidRPr="00E31547">
        <w:rPr>
          <w:rFonts w:hAnsi="標楷體" w:hint="eastAsia"/>
          <w:color w:val="000000" w:themeColor="text1"/>
          <w:sz w:val="24"/>
          <w:szCs w:val="24"/>
        </w:rPr>
        <w:t>（</w:t>
      </w:r>
      <w:r w:rsidR="00222C89">
        <w:rPr>
          <w:rFonts w:hAnsi="標楷體" w:hint="eastAsia"/>
          <w:color w:val="000000" w:themeColor="text1"/>
          <w:sz w:val="24"/>
          <w:szCs w:val="24"/>
        </w:rPr>
        <w:t>下稱國土署</w:t>
      </w:r>
      <w:r w:rsidR="00222C89" w:rsidRPr="00E31547">
        <w:rPr>
          <w:rFonts w:hAnsi="標楷體" w:hint="eastAsia"/>
          <w:color w:val="000000" w:themeColor="text1"/>
          <w:sz w:val="24"/>
          <w:szCs w:val="24"/>
        </w:rPr>
        <w:t>）</w:t>
      </w:r>
      <w:r w:rsidRPr="002764DD">
        <w:rPr>
          <w:rFonts w:hAnsi="標楷體" w:hint="eastAsia"/>
          <w:color w:val="000000" w:themeColor="text1"/>
          <w:sz w:val="24"/>
          <w:szCs w:val="24"/>
        </w:rPr>
        <w:t>營建剩餘土石方資訊服務中心統計資料，111年度全國營建事業共計產出營建剩餘土石方4,287萬餘立方公尺，數量規模龐巨。政府為維護環境衛生與減少天然砂石開採，推動營建剩餘土石方管理與再利用。有關政府推動營建剩餘土石方管理與再利用執行情形，核有下列事項：</w:t>
      </w:r>
    </w:p>
    <w:p w14:paraId="3017503F"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1.　營建剩餘土石方處理方案訂定實施已逾30年，因長期欠缺法律位階專法可供遵循，致市縣政府管理強度不一，違法事件頻傳：</w:t>
      </w:r>
      <w:r w:rsidRPr="002764DD">
        <w:rPr>
          <w:rFonts w:ascii="標楷體" w:eastAsia="標楷體" w:hAnsi="標楷體" w:hint="eastAsia"/>
          <w:color w:val="000000" w:themeColor="text1"/>
          <w:szCs w:val="24"/>
        </w:rPr>
        <w:t>內政部為配合國家建設六年（80至85年）計畫之推動，妥善處理大量營建廢棄土，以維護環境衛生與公共安全，前於80年5月2日訂定「營建廢棄土處理方案」，嗣於89年5月17日第4次修正並更名為「營建剩餘土石方處理方案」，其後曾5次修正，最近一次（第9次）修正日期為108年9月11日。依地方制度法第18條及第19條規定，營建剩餘土石方之處理係直轄市及各縣（市）政府之自治事項，中央政府係提供上開處理方案作為政策指導原則，協助市縣政府規範營建剩餘土石方之處理與再利用。上開處理方案自80年訂定起算已逾30年，原預定推動至營建剩餘土石方處理法完成立法止，其間國土署曾於95年初研擬營建剩餘土石方處理法草案，經內政部函報行政院審議，行政院於95年8至11月間召開3次審議會議，惟草案審議期間適逢政府組織改造，因立法方向與內容涉及主管機關之政策與需求，爰暫緩法制化作業。又國土署委外辦理111年度營建剩餘土石方資源回收處理與資訊交流及總量管制計畫案，雖將「營建剩餘土石方處理法」草案納為工作項目之一，</w:t>
      </w:r>
      <w:r w:rsidRPr="002764DD">
        <w:rPr>
          <w:rFonts w:ascii="標楷體" w:eastAsia="標楷體" w:hAnsi="標楷體" w:hint="eastAsia"/>
          <w:color w:val="000000" w:themeColor="text1"/>
          <w:szCs w:val="24"/>
        </w:rPr>
        <w:lastRenderedPageBreak/>
        <w:t>惟尚無規劃推動法制作業之預定期程。因迄未完成專法制定作業，各市縣政府所制定營建剩餘土石方管理之自治條例內容不一，如部分市縣或有明定徵收土方特別稅；或欠缺違規罰則；或未規範後端去化流向之追蹤與管控；或對於收容處理場所處理量能合理性及申請展期未有規範或規定未臻周延等情事。由於市縣政府管理強度不一，易使違法業者存有取巧空間，或將營建剩餘土石方運送至管理較寬鬆之市縣，或假借產品之名行廢棄之實，肇致違法事件頻傳。</w:t>
      </w:r>
    </w:p>
    <w:p w14:paraId="096E44A0" w14:textId="77777777" w:rsidR="00E8604E" w:rsidRPr="002764DD" w:rsidRDefault="00E8604E" w:rsidP="00265FC8">
      <w:pPr>
        <w:overflowPunct w:val="0"/>
        <w:spacing w:line="410" w:lineRule="exact"/>
        <w:ind w:firstLineChars="450" w:firstLine="1081"/>
        <w:jc w:val="both"/>
        <w:rPr>
          <w:rFonts w:ascii="標楷體" w:eastAsia="標楷體" w:hAnsi="標楷體"/>
          <w:color w:val="000000" w:themeColor="text1"/>
          <w:szCs w:val="24"/>
        </w:rPr>
      </w:pPr>
      <w:r w:rsidRPr="002764DD">
        <w:rPr>
          <w:rFonts w:ascii="標楷體" w:eastAsia="標楷體" w:hAnsi="標楷體" w:hint="eastAsia"/>
          <w:b/>
          <w:color w:val="000000" w:themeColor="text1"/>
          <w:szCs w:val="24"/>
        </w:rPr>
        <w:t>2.　中央主管機關迄未建置全國性GPS流向管控系統供市縣政府運用，部分直轄市政府自行建置類同系統，恐徒增公帑支出：</w:t>
      </w:r>
      <w:r w:rsidRPr="002764DD">
        <w:rPr>
          <w:rFonts w:ascii="標楷體" w:eastAsia="標楷體" w:hAnsi="標楷體" w:hint="eastAsia"/>
          <w:color w:val="000000" w:themeColor="text1"/>
          <w:szCs w:val="24"/>
        </w:rPr>
        <w:t>依111年10月26日臺灣彰化地方檢察署新聞稿「彰檢查獲一條龍棄土集團，面積相當6.5座大安森林公園，偵查終結起訴164人，追償不法犯罪所得2億餘元」略載，土石方資源處理場及清運業者提出不實之棄土證明文件，由清運車隊持不實文件躲避稽查，將棄土從工地直送傾倒至農地、魚塭等，實際上並未送至土資場；110年度4家土資場不實申報之棄土數量計有140萬餘立方公尺。另按國土署統計資料，111年剩餘土石方總出土量為4,287萬餘立方公尺，惟111年間媒體報導之違法棄置廢土新聞頻仍，其中新北市、臺南市及彰化縣等3市縣，合計遭棄置103萬餘立方公尺，約占前揭111年營建剩餘土石方申報數量（4,287萬餘立方公尺）之2.41％。又依上開統計資料，107至111年營建剩餘土石方收容處理場所暫屯量分別為469萬立方公尺、527萬立方公尺、570萬立方公尺、505萬立方公尺及614萬立方公尺，累積暫屯量達2,685萬立方公尺，依本部調查發現，截至112年1月底止，營運期限內或辦理展延中之收容處理場所共118家，其中56家多因後端去化不足致暫屯量過多，已超出原核准之使用範圍，致生占用公有地及違反土地使用分區等情事。國土署為因應不法業者對營建剩餘土石方申報不實、違法棄置，或收容場所因暫屯量過多而超出原核准之使</w:t>
      </w:r>
      <w:r w:rsidRPr="002764DD">
        <w:rPr>
          <w:rFonts w:ascii="標楷體" w:eastAsia="標楷體" w:hAnsi="標楷體" w:hint="eastAsia"/>
          <w:color w:val="000000" w:themeColor="text1"/>
          <w:spacing w:val="-4"/>
          <w:szCs w:val="24"/>
        </w:rPr>
        <w:t>用範圍，不僅影響年度統計資料之正確性與完整性，且因欠缺全程流向管理，亦無法有效掌握營建剩餘土石方流向與後端最終使用情形，雖已研擬「強化營建剩餘土石方全流程管理計畫（112－</w:t>
      </w:r>
      <w:r w:rsidRPr="002764DD">
        <w:rPr>
          <w:rFonts w:ascii="標楷體" w:eastAsia="標楷體" w:hAnsi="標楷體" w:hint="eastAsia"/>
          <w:color w:val="000000" w:themeColor="text1"/>
          <w:szCs w:val="24"/>
        </w:rPr>
        <w:t>115年）」，計畫內容包含建置全國營建剩餘土石方即時流向管控系統（GPS監控平臺）等，經內政部於111年3月8日召開國土永續發展基金管理會第13次會議，同意由該基金核給經費5,400萬元。惟查，自105年度起桃園市、新北市及臺中市政府已陸續自行招標委外建置營建剩餘土石方GPS流向管控系統，截至112年6月底止，累計決標金額分別為2,411萬餘元、401萬餘元及1,014萬餘元，倘未來中央及地方政府重複投入資源或建置類同系統，恐徒增公帑支出，且未能達成資源共享及擴大系統效益。</w:t>
      </w:r>
    </w:p>
    <w:p w14:paraId="664B6964" w14:textId="77777777" w:rsidR="00E8604E" w:rsidRPr="002764DD" w:rsidRDefault="00E8604E" w:rsidP="00265FC8">
      <w:pPr>
        <w:pStyle w:val="2"/>
        <w:overflowPunct w:val="0"/>
        <w:spacing w:beforeLines="20" w:before="72" w:afterLines="20" w:after="72" w:line="410" w:lineRule="exact"/>
        <w:ind w:left="0" w:firstLineChars="200" w:firstLine="480"/>
        <w:rPr>
          <w:rFonts w:hAnsi="標楷體"/>
          <w:color w:val="000000" w:themeColor="text1"/>
          <w:sz w:val="24"/>
          <w:szCs w:val="24"/>
        </w:rPr>
      </w:pPr>
      <w:r w:rsidRPr="002764DD">
        <w:rPr>
          <w:rFonts w:hAnsi="標楷體" w:hint="eastAsia"/>
          <w:color w:val="000000" w:themeColor="text1"/>
          <w:sz w:val="24"/>
          <w:szCs w:val="24"/>
        </w:rPr>
        <w:t>鑑於政府推動營建剩餘土石方管理與再利用，以維護環境衛生與減少天然砂石開採，惟欠缺法律位階專法，致市縣政府管控標準不一，衍生管理亂象；另因中央主管機關尚未建置全國性GPS流向管控系統供市縣政府運用，致部分直轄市政府自行建置類同系統，恐徒增公帑支出。允宜督促權責機關儘速制定專法，提供各市縣政府作為一致遵循之管理標準，並研議納入徵收管理費或特別稅，以符合使用者付費原則及永續管理，俾全面提升管理強度及資源運用；另宜加速建置全國營建剩餘土石方GPS流向管控系統，有效掌握營建剩餘土石方流向與後端最終</w:t>
      </w:r>
      <w:r w:rsidRPr="002764DD">
        <w:rPr>
          <w:rFonts w:hAnsi="標楷體" w:hint="eastAsia"/>
          <w:color w:val="000000" w:themeColor="text1"/>
          <w:sz w:val="24"/>
          <w:szCs w:val="24"/>
        </w:rPr>
        <w:lastRenderedPageBreak/>
        <w:t>使用情形，俾避免市縣政府重複建置系統，以增進財務效能及發揮流向管控效益。</w:t>
      </w:r>
    </w:p>
    <w:p w14:paraId="7617152A" w14:textId="77777777" w:rsidR="00E8604E" w:rsidRPr="002764DD" w:rsidRDefault="00E8604E" w:rsidP="002B18B3">
      <w:pPr>
        <w:pStyle w:val="2"/>
        <w:kinsoku/>
        <w:overflowPunct w:val="0"/>
        <w:spacing w:beforeLines="20" w:before="72" w:afterLines="20" w:after="72" w:line="410" w:lineRule="exact"/>
        <w:ind w:left="0" w:firstLineChars="200" w:firstLine="561"/>
        <w:rPr>
          <w:rFonts w:hAnsi="標楷體"/>
          <w:b/>
          <w:color w:val="000000" w:themeColor="text1"/>
          <w:sz w:val="28"/>
          <w:szCs w:val="28"/>
        </w:rPr>
      </w:pPr>
      <w:r w:rsidRPr="002764DD">
        <w:rPr>
          <w:rFonts w:hAnsi="標楷體" w:hint="eastAsia"/>
          <w:b/>
          <w:color w:val="000000" w:themeColor="text1"/>
          <w:sz w:val="28"/>
          <w:szCs w:val="28"/>
        </w:rPr>
        <w:t>（十二）　政府早期為穩定國內砂糖外銷價格，設立臺灣地區砂糖平準基金，鑑於國內砂糖市場自94年間全面自由化，該基金已長期喪失設置平準功能，且基金鉅額賸餘滯留，允宜審慎評估存續必要性，並研議將基金賸餘辦理繳庫，以增進政府財務運用之效能。</w:t>
      </w:r>
    </w:p>
    <w:p w14:paraId="6E93E56A" w14:textId="77777777" w:rsidR="00E8604E" w:rsidRPr="002764DD" w:rsidRDefault="00E8604E" w:rsidP="00265FC8">
      <w:pPr>
        <w:pStyle w:val="2"/>
        <w:overflowPunct w:val="0"/>
        <w:spacing w:beforeLines="20" w:before="72" w:afterLines="20" w:after="72" w:line="410" w:lineRule="exact"/>
        <w:ind w:left="0" w:firstLineChars="200" w:firstLine="480"/>
        <w:rPr>
          <w:rFonts w:hAnsi="標楷體"/>
          <w:color w:val="000000" w:themeColor="text1"/>
          <w:sz w:val="24"/>
          <w:szCs w:val="24"/>
        </w:rPr>
      </w:pPr>
      <w:r w:rsidRPr="002764DD">
        <w:rPr>
          <w:rFonts w:hAnsi="標楷體" w:hint="eastAsia"/>
          <w:color w:val="000000" w:themeColor="text1"/>
          <w:sz w:val="24"/>
          <w:szCs w:val="24"/>
        </w:rPr>
        <w:t>政府早期為穩定國內砂糖外銷，儲備保證糖價差額資金，增進蔗農利益，於55年間制定臺灣地區砂糖平準基金條例，並設立臺灣地區砂糖平準基金（下稱砂糖平準基金），依該條例第2條規定，砂糖平準基金於臺灣地區砂糖外銷價高於規定基準價格時，就其超過部分，按第4條規定，從價提存之；實得平均售價低於保證糖價及包裝費暨直接推銷費用時，收購農民糖應支付</w:t>
      </w:r>
      <w:r w:rsidRPr="002764DD">
        <w:rPr>
          <w:rFonts w:hAnsi="標楷體" w:hint="eastAsia"/>
          <w:color w:val="000000" w:themeColor="text1"/>
          <w:spacing w:val="2"/>
          <w:sz w:val="24"/>
          <w:szCs w:val="24"/>
        </w:rPr>
        <w:t>之差額，由該基金撥付之：前項保證糖價，於台灣糖業股份有限公司（下稱台糖公司）收購農民糖每年期契約推廣前，由行政院核定公布實施。又依該條例第3條規定，該基金之保管、收付與運用，</w:t>
      </w:r>
      <w:r w:rsidRPr="002764DD">
        <w:rPr>
          <w:rFonts w:hAnsi="標楷體" w:hint="eastAsia"/>
          <w:color w:val="000000" w:themeColor="text1"/>
          <w:sz w:val="24"/>
          <w:szCs w:val="24"/>
        </w:rPr>
        <w:t>由台糖公司負責辦理，並由經濟部監督之。另配合砂糖產製期，台糖公司應於每年10月底結算砂糖平準基金上年度11月1日至當年度10月31日止之收支。該基金之預算自81年度起，以附錄方式列入台糖公司附屬單位預算書內。</w:t>
      </w:r>
    </w:p>
    <w:p w14:paraId="3AD508C5" w14:textId="52004E7F" w:rsidR="00E8604E" w:rsidRPr="002764DD" w:rsidRDefault="00E8604E" w:rsidP="00E31547">
      <w:pPr>
        <w:pStyle w:val="2"/>
        <w:overflowPunct w:val="0"/>
        <w:spacing w:beforeLines="20" w:before="72" w:afterLines="20" w:after="72" w:line="420" w:lineRule="exact"/>
        <w:ind w:left="0" w:firstLineChars="200" w:firstLine="480"/>
        <w:rPr>
          <w:rFonts w:hAnsi="標楷體"/>
          <w:color w:val="000000" w:themeColor="text1"/>
          <w:sz w:val="24"/>
          <w:szCs w:val="24"/>
        </w:rPr>
      </w:pPr>
      <w:r w:rsidRPr="002764DD">
        <w:rPr>
          <w:rFonts w:hAnsi="標楷體" w:hint="eastAsia"/>
          <w:color w:val="000000" w:themeColor="text1"/>
          <w:sz w:val="24"/>
          <w:szCs w:val="24"/>
        </w:rPr>
        <w:t>砂糖平準基金設立目的係為穩定砂糖外銷之保證價格，兼以保護蔗農收益。然因國際經濟環境變遷，國內種蔗製糖早已不符經濟效益，砂糖供應之來源，已由自產轉向進口成品糖或進口原料糖經精煉成白糖後，再供應市場消費。嗣91年間我國加入世界貿易組織（</w:t>
      </w:r>
      <w:r w:rsidRPr="002764DD">
        <w:rPr>
          <w:rFonts w:hAnsi="標楷體" w:cs="Arial"/>
          <w:color w:val="000000" w:themeColor="text1"/>
          <w:sz w:val="24"/>
          <w:szCs w:val="24"/>
          <w:shd w:val="clear" w:color="auto" w:fill="FFFFFF"/>
        </w:rPr>
        <w:t>World Trade Organization</w:t>
      </w:r>
      <w:r w:rsidRPr="002764DD">
        <w:rPr>
          <w:rFonts w:hAnsi="標楷體" w:hint="eastAsia"/>
          <w:color w:val="000000" w:themeColor="text1"/>
          <w:sz w:val="24"/>
          <w:szCs w:val="24"/>
        </w:rPr>
        <w:t>）後，</w:t>
      </w:r>
      <w:r w:rsidRPr="007337AD">
        <w:rPr>
          <w:rFonts w:hAnsi="標楷體" w:hint="eastAsia"/>
          <w:color w:val="000000" w:themeColor="text1"/>
          <w:spacing w:val="-4"/>
          <w:sz w:val="24"/>
          <w:szCs w:val="24"/>
        </w:rPr>
        <w:t>國內砂糖市場即採關稅配額制度方式逐步自由化，94年2月起砂糖市場全面自由化。依</w:t>
      </w:r>
      <w:r w:rsidR="00222C89">
        <w:rPr>
          <w:rFonts w:hAnsi="標楷體" w:hint="eastAsia"/>
          <w:color w:val="000000" w:themeColor="text1"/>
          <w:spacing w:val="-4"/>
          <w:sz w:val="24"/>
          <w:szCs w:val="24"/>
        </w:rPr>
        <w:t>前</w:t>
      </w:r>
      <w:r w:rsidRPr="007337AD">
        <w:rPr>
          <w:rFonts w:hAnsi="標楷體" w:hint="eastAsia"/>
          <w:color w:val="000000" w:themeColor="text1"/>
          <w:spacing w:val="-4"/>
          <w:sz w:val="24"/>
          <w:szCs w:val="24"/>
        </w:rPr>
        <w:t>經濟部國營事業委員會</w:t>
      </w:r>
      <w:r w:rsidR="00222C89" w:rsidRPr="007337AD">
        <w:rPr>
          <w:rFonts w:hAnsi="標楷體" w:hint="eastAsia"/>
          <w:color w:val="000000" w:themeColor="text1"/>
          <w:spacing w:val="-4"/>
          <w:sz w:val="24"/>
          <w:szCs w:val="24"/>
        </w:rPr>
        <w:t>（</w:t>
      </w:r>
      <w:r w:rsidR="00222C89">
        <w:rPr>
          <w:rFonts w:hAnsi="標楷體" w:hint="eastAsia"/>
          <w:color w:val="000000" w:themeColor="text1"/>
          <w:spacing w:val="-4"/>
          <w:sz w:val="24"/>
          <w:szCs w:val="24"/>
        </w:rPr>
        <w:t>112年9月26日降編為經濟部業務單位</w:t>
      </w:r>
      <w:r w:rsidRPr="007337AD">
        <w:rPr>
          <w:rFonts w:hAnsi="標楷體" w:hint="eastAsia"/>
          <w:color w:val="000000" w:themeColor="text1"/>
          <w:spacing w:val="-4"/>
          <w:sz w:val="24"/>
          <w:szCs w:val="24"/>
        </w:rPr>
        <w:t>）於85年間召開研商該基金存續會議之紀錄列載，該基金已無法發揮原有運作功能，原則同意基金結束，台糖公司亦表示該基金確已無法符合基金設置目的。</w:t>
      </w:r>
      <w:r w:rsidRPr="002764DD">
        <w:rPr>
          <w:rFonts w:hAnsi="標楷體" w:hint="eastAsia"/>
          <w:color w:val="000000" w:themeColor="text1"/>
          <w:sz w:val="24"/>
          <w:szCs w:val="24"/>
        </w:rPr>
        <w:t>又立法院預算中心93至106年度營業預算評估報告計13度提出：「該基金階段</w:t>
      </w:r>
      <w:r w:rsidRPr="002764DD">
        <w:rPr>
          <w:rFonts w:hAnsi="標楷體" w:hint="eastAsia"/>
          <w:color w:val="000000" w:themeColor="text1"/>
          <w:spacing w:val="-4"/>
          <w:sz w:val="24"/>
          <w:szCs w:val="24"/>
        </w:rPr>
        <w:t>性任務已完成，應予裁撤，或保證價格制度雖為照顧蔗農，惟其用意與原立法意旨不同」等意見。</w:t>
      </w:r>
      <w:r w:rsidRPr="002764DD">
        <w:rPr>
          <w:rFonts w:hAnsi="標楷體" w:hint="eastAsia"/>
          <w:color w:val="000000" w:themeColor="text1"/>
          <w:sz w:val="24"/>
          <w:szCs w:val="24"/>
        </w:rPr>
        <w:t>另本部歷年亦迭次促請台糖公司及經濟部檢討，111年度抽查台糖公司期中</w:t>
      </w:r>
      <w:r w:rsidRPr="002764DD">
        <w:rPr>
          <w:rFonts w:hAnsi="標楷體" w:hint="eastAsia"/>
          <w:color w:val="000000" w:themeColor="text1"/>
          <w:spacing w:val="2"/>
          <w:sz w:val="24"/>
          <w:szCs w:val="24"/>
        </w:rPr>
        <w:t>財務收支時仍未見改善。茲據該基金112年9月底財務資料分析，該基金自93年度起至112年9月間基金收入來源僅有利息收入，尚無其他收入，主要係國內蔗糖之生產成本已高於國際糖價，</w:t>
      </w:r>
      <w:r w:rsidRPr="002764DD">
        <w:rPr>
          <w:rFonts w:hAnsi="標楷體" w:hint="eastAsia"/>
          <w:color w:val="000000" w:themeColor="text1"/>
          <w:sz w:val="24"/>
          <w:szCs w:val="24"/>
        </w:rPr>
        <w:t>且台糖公司每年大量進口原料糖進行精煉後，皆供應國內市場所需，長年已無砂糖外銷實績；支出則僅有1筆</w:t>
      </w:r>
      <w:r w:rsidRPr="002764DD">
        <w:rPr>
          <w:rFonts w:hAnsi="標楷體" w:hint="eastAsia"/>
          <w:color w:val="000000" w:themeColor="text1"/>
          <w:spacing w:val="-2"/>
          <w:sz w:val="24"/>
          <w:szCs w:val="24"/>
        </w:rPr>
        <w:t>14萬餘元，係102年度辦理蔗農訓練及宣導補助費用。顯示砂糖平準基金已完成階段性任務，</w:t>
      </w:r>
      <w:r w:rsidRPr="002764DD">
        <w:rPr>
          <w:rFonts w:hAnsi="標楷體" w:hint="eastAsia"/>
          <w:color w:val="000000" w:themeColor="text1"/>
          <w:sz w:val="24"/>
          <w:szCs w:val="24"/>
        </w:rPr>
        <w:t>儲備保證糖價差額資金之原有設置功能及目的已不復存在；又截至112年9月底止，該基金賸餘金額高達1億444萬餘元，均為銀行存款（含孳息），長期滾存滯留，基金存續必要性亟待檢討。</w:t>
      </w:r>
    </w:p>
    <w:p w14:paraId="45F97BF0" w14:textId="78F3BB18" w:rsidR="005A0F5F" w:rsidRDefault="00E8604E">
      <w:pPr>
        <w:pStyle w:val="2"/>
        <w:overflowPunct w:val="0"/>
        <w:spacing w:beforeLines="20" w:before="72" w:afterLines="20" w:after="72" w:line="410" w:lineRule="exact"/>
        <w:ind w:left="0" w:firstLineChars="200" w:firstLine="480"/>
        <w:rPr>
          <w:rFonts w:hAnsi="標楷體"/>
          <w:bCs w:val="0"/>
          <w:szCs w:val="24"/>
        </w:rPr>
      </w:pPr>
      <w:r w:rsidRPr="002764DD">
        <w:rPr>
          <w:rFonts w:hAnsi="標楷體" w:hint="eastAsia"/>
          <w:color w:val="000000" w:themeColor="text1"/>
          <w:sz w:val="24"/>
          <w:szCs w:val="24"/>
        </w:rPr>
        <w:t>鑑於國際經貿環</w:t>
      </w:r>
      <w:r w:rsidRPr="002764DD">
        <w:rPr>
          <w:rFonts w:hAnsi="標楷體" w:hint="eastAsia"/>
          <w:color w:val="000000" w:themeColor="text1"/>
          <w:spacing w:val="-2"/>
          <w:sz w:val="24"/>
          <w:szCs w:val="24"/>
        </w:rPr>
        <w:t>境已有重大變遷，國內砂糖市場亦早自94年間全面自由化，</w:t>
      </w:r>
      <w:r w:rsidRPr="002764DD">
        <w:rPr>
          <w:rFonts w:hAnsi="標楷體" w:hint="eastAsia"/>
          <w:color w:val="000000" w:themeColor="text1"/>
          <w:sz w:val="24"/>
          <w:szCs w:val="24"/>
        </w:rPr>
        <w:t>砂糖平準基金</w:t>
      </w:r>
      <w:r w:rsidRPr="002764DD">
        <w:rPr>
          <w:rFonts w:hAnsi="標楷體" w:hint="eastAsia"/>
          <w:color w:val="000000" w:themeColor="text1"/>
          <w:spacing w:val="-4"/>
          <w:sz w:val="24"/>
          <w:szCs w:val="24"/>
        </w:rPr>
        <w:t>之設置已失平準功能及目的，且基金仍長期滯留鉅額銀行存款，允宜審慎評估基金存續之必要性，</w:t>
      </w:r>
      <w:r w:rsidRPr="00A90F65">
        <w:rPr>
          <w:rFonts w:hAnsi="標楷體" w:hint="eastAsia"/>
          <w:sz w:val="24"/>
          <w:szCs w:val="24"/>
        </w:rPr>
        <w:t>並研議將基金賸餘辦理繳庫，以增進政府財務運用之效能。</w:t>
      </w:r>
      <w:r w:rsidR="005A0F5F">
        <w:rPr>
          <w:rFonts w:hAnsi="標楷體"/>
          <w:sz w:val="24"/>
          <w:szCs w:val="24"/>
        </w:rPr>
        <w:br w:type="page"/>
      </w:r>
    </w:p>
    <w:p w14:paraId="7D065A8B" w14:textId="77777777" w:rsidR="00841FDA" w:rsidRPr="00893770" w:rsidRDefault="00FE73F8" w:rsidP="001E782A">
      <w:pPr>
        <w:pStyle w:val="10"/>
        <w:overflowPunct w:val="0"/>
        <w:spacing w:beforeLines="20" w:before="72" w:afterLines="20" w:after="72" w:line="420" w:lineRule="exact"/>
        <w:ind w:firstLineChars="100" w:firstLine="320"/>
        <w:rPr>
          <w:rFonts w:ascii="標楷體" w:eastAsia="標楷體" w:hAnsi="標楷體"/>
          <w:color w:val="000000" w:themeColor="text1"/>
          <w:sz w:val="32"/>
          <w:szCs w:val="32"/>
        </w:rPr>
      </w:pPr>
      <w:r w:rsidRPr="00893770">
        <w:rPr>
          <w:rFonts w:ascii="標楷體" w:eastAsia="標楷體" w:hAnsi="標楷體" w:hint="eastAsia"/>
          <w:color w:val="000000" w:themeColor="text1"/>
          <w:sz w:val="32"/>
          <w:szCs w:val="32"/>
        </w:rPr>
        <w:lastRenderedPageBreak/>
        <w:t>四</w:t>
      </w:r>
      <w:r w:rsidR="00650851" w:rsidRPr="00893770">
        <w:rPr>
          <w:rFonts w:ascii="標楷體" w:eastAsia="標楷體" w:hAnsi="標楷體" w:hint="eastAsia"/>
          <w:color w:val="000000" w:themeColor="text1"/>
          <w:sz w:val="32"/>
          <w:szCs w:val="32"/>
        </w:rPr>
        <w:t>、重要審核意見</w:t>
      </w:r>
    </w:p>
    <w:p w14:paraId="77CC8AE4" w14:textId="262DE4D4" w:rsidR="009C43A4" w:rsidRPr="00BD687A" w:rsidRDefault="009C43A4" w:rsidP="00BD687A">
      <w:pPr>
        <w:pStyle w:val="2"/>
        <w:overflowPunct w:val="0"/>
        <w:spacing w:beforeLines="20" w:before="72" w:afterLines="20" w:after="72" w:line="430" w:lineRule="exact"/>
        <w:ind w:left="0" w:firstLineChars="200" w:firstLine="561"/>
        <w:rPr>
          <w:rFonts w:hAnsi="標楷體"/>
          <w:b/>
          <w:color w:val="000000" w:themeColor="text1"/>
          <w:sz w:val="28"/>
          <w:szCs w:val="28"/>
          <w:highlight w:val="yellow"/>
        </w:rPr>
      </w:pPr>
      <w:r w:rsidRPr="00BD687A">
        <w:rPr>
          <w:rFonts w:hAnsi="標楷體" w:hint="eastAsia"/>
          <w:b/>
          <w:color w:val="000000" w:themeColor="text1"/>
          <w:sz w:val="28"/>
          <w:szCs w:val="28"/>
        </w:rPr>
        <w:t xml:space="preserve">（一）　</w:t>
      </w:r>
      <w:r w:rsidR="00BD687A" w:rsidRPr="00BD687A">
        <w:rPr>
          <w:rFonts w:hAnsi="標楷體" w:hint="eastAsia"/>
          <w:b/>
          <w:color w:val="000000" w:themeColor="text1"/>
          <w:sz w:val="28"/>
          <w:szCs w:val="28"/>
        </w:rPr>
        <w:t>我國受全球終端商品消費需求不振等影響，112年度輸出動能疲軟，抑低民間投資意願，整體經濟成長趨緩。鑑於我國出口表現易受全球需求市場變化，連動國內民間投資及生產動能，影響經濟發展，允宜注意國際經貿發展趨勢對出口及國內產業之影響，持續推動產業升級創新，擴大出口動能，促進民間企業投資及生產，維繫經濟穩健成長。</w:t>
      </w:r>
    </w:p>
    <w:p w14:paraId="61A3597E" w14:textId="2C6586F1" w:rsidR="00BD687A" w:rsidRDefault="00BD687A" w:rsidP="00FC773B">
      <w:pPr>
        <w:overflowPunct w:val="0"/>
        <w:spacing w:line="440" w:lineRule="exact"/>
        <w:ind w:firstLineChars="150" w:firstLine="480"/>
        <w:jc w:val="both"/>
        <w:rPr>
          <w:rFonts w:ascii="標楷體" w:eastAsia="標楷體" w:hAnsi="標楷體"/>
          <w:szCs w:val="24"/>
        </w:rPr>
      </w:pPr>
      <w:r w:rsidRPr="00664968">
        <w:rPr>
          <w:rFonts w:ascii="標楷體" w:eastAsia="標楷體" w:hAnsi="標楷體"/>
          <w:noProof/>
          <w:sz w:val="32"/>
          <w:szCs w:val="32"/>
        </w:rPr>
        <mc:AlternateContent>
          <mc:Choice Requires="wps">
            <w:drawing>
              <wp:anchor distT="45720" distB="45720" distL="114300" distR="114300" simplePos="0" relativeHeight="251624448" behindDoc="0" locked="0" layoutInCell="1" allowOverlap="1" wp14:anchorId="6B567718" wp14:editId="668412BC">
                <wp:simplePos x="0" y="0"/>
                <wp:positionH relativeFrom="column">
                  <wp:posOffset>3438640</wp:posOffset>
                </wp:positionH>
                <wp:positionV relativeFrom="paragraph">
                  <wp:posOffset>4103428</wp:posOffset>
                </wp:positionV>
                <wp:extent cx="2849880" cy="2667000"/>
                <wp:effectExtent l="0" t="0" r="0" b="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9880" cy="2667000"/>
                        </a:xfrm>
                        <a:prstGeom prst="rect">
                          <a:avLst/>
                        </a:prstGeom>
                        <a:noFill/>
                        <a:ln w="9525">
                          <a:noFill/>
                          <a:miter lim="800000"/>
                          <a:headEnd/>
                          <a:tailEnd/>
                        </a:ln>
                      </wps:spPr>
                      <wps:txbx>
                        <w:txbxContent>
                          <w:p w14:paraId="3A0DF594" w14:textId="77777777" w:rsidR="00A0212B" w:rsidRDefault="00A0212B" w:rsidP="00BD687A">
                            <w:pPr>
                              <w:spacing w:line="20" w:lineRule="exact"/>
                            </w:pPr>
                          </w:p>
                          <w:tbl>
                            <w:tblPr>
                              <w:tblW w:w="4111" w:type="dxa"/>
                              <w:tblCellMar>
                                <w:left w:w="28" w:type="dxa"/>
                                <w:right w:w="28" w:type="dxa"/>
                              </w:tblCellMar>
                              <w:tblLook w:val="04A0" w:firstRow="1" w:lastRow="0" w:firstColumn="1" w:lastColumn="0" w:noHBand="0" w:noVBand="1"/>
                            </w:tblPr>
                            <w:tblGrid>
                              <w:gridCol w:w="709"/>
                              <w:gridCol w:w="708"/>
                              <w:gridCol w:w="1134"/>
                              <w:gridCol w:w="1560"/>
                            </w:tblGrid>
                            <w:tr w:rsidR="00A0212B" w:rsidRPr="004202A3" w14:paraId="548D98B5" w14:textId="77777777" w:rsidTr="00693D1C">
                              <w:tc>
                                <w:tcPr>
                                  <w:tcW w:w="4111" w:type="dxa"/>
                                  <w:gridSpan w:val="4"/>
                                  <w:tcBorders>
                                    <w:top w:val="nil"/>
                                    <w:left w:val="nil"/>
                                    <w:bottom w:val="nil"/>
                                    <w:right w:val="nil"/>
                                  </w:tcBorders>
                                  <w:shd w:val="clear" w:color="auto" w:fill="auto"/>
                                  <w:vAlign w:val="bottom"/>
                                  <w:hideMark/>
                                </w:tcPr>
                                <w:p w14:paraId="4492F353" w14:textId="5E48E97F" w:rsidR="00A0212B" w:rsidRPr="004202A3" w:rsidRDefault="00A0212B" w:rsidP="00E1270B">
                                  <w:pPr>
                                    <w:widowControl/>
                                    <w:spacing w:line="260" w:lineRule="exact"/>
                                    <w:ind w:left="625" w:hangingChars="260" w:hanging="625"/>
                                    <w:jc w:val="both"/>
                                    <w:rPr>
                                      <w:rFonts w:ascii="標楷體" w:eastAsia="標楷體" w:hAnsi="標楷體" w:cs="Tahoma"/>
                                      <w:b/>
                                      <w:kern w:val="0"/>
                                      <w:sz w:val="20"/>
                                    </w:rPr>
                                  </w:pPr>
                                  <w:r w:rsidRPr="004202A3">
                                    <w:rPr>
                                      <w:rFonts w:ascii="標楷體" w:eastAsia="標楷體" w:hAnsi="標楷體" w:cs="Tahoma" w:hint="eastAsia"/>
                                      <w:b/>
                                      <w:kern w:val="0"/>
                                    </w:rPr>
                                    <w:t>表</w:t>
                                  </w:r>
                                  <w:r>
                                    <w:rPr>
                                      <w:rFonts w:ascii="標楷體" w:eastAsia="標楷體" w:hAnsi="標楷體" w:cs="Tahoma"/>
                                      <w:b/>
                                      <w:kern w:val="0"/>
                                    </w:rPr>
                                    <w:t>1</w:t>
                                  </w:r>
                                  <w:r w:rsidRPr="004306AD">
                                    <w:rPr>
                                      <w:rFonts w:ascii="標楷體" w:eastAsia="標楷體" w:hAnsi="標楷體" w:cs="新細明體" w:hint="eastAsia"/>
                                      <w:b/>
                                      <w:bCs/>
                                      <w:color w:val="000000"/>
                                      <w:kern w:val="0"/>
                                      <w:szCs w:val="24"/>
                                    </w:rPr>
                                    <w:t xml:space="preserve">　</w:t>
                                  </w:r>
                                  <w:r w:rsidRPr="004202A3">
                                    <w:rPr>
                                      <w:rFonts w:ascii="標楷體" w:eastAsia="標楷體" w:hAnsi="標楷體" w:cs="Tahoma" w:hint="eastAsia"/>
                                      <w:b/>
                                      <w:kern w:val="0"/>
                                    </w:rPr>
                                    <w:t>近10年度電子零組件及資通與視聽</w:t>
                                  </w:r>
                                  <w:r>
                                    <w:rPr>
                                      <w:rFonts w:ascii="標楷體" w:eastAsia="標楷體" w:hAnsi="標楷體" w:cs="Tahoma" w:hint="eastAsia"/>
                                      <w:b/>
                                      <w:kern w:val="0"/>
                                    </w:rPr>
                                    <w:t>出口</w:t>
                                  </w:r>
                                  <w:r w:rsidRPr="004202A3">
                                    <w:rPr>
                                      <w:rFonts w:ascii="標楷體" w:eastAsia="標楷體" w:hAnsi="標楷體" w:cs="Tahoma" w:hint="eastAsia"/>
                                      <w:b/>
                                      <w:kern w:val="0"/>
                                    </w:rPr>
                                    <w:t>產品占我國出口</w:t>
                                  </w:r>
                                  <w:r>
                                    <w:rPr>
                                      <w:rFonts w:ascii="標楷體" w:eastAsia="標楷體" w:hAnsi="標楷體" w:cs="Tahoma" w:hint="eastAsia"/>
                                      <w:b/>
                                      <w:kern w:val="0"/>
                                    </w:rPr>
                                    <w:t>金額</w:t>
                                  </w:r>
                                  <w:r w:rsidRPr="004202A3">
                                    <w:rPr>
                                      <w:rFonts w:ascii="標楷體" w:eastAsia="標楷體" w:hAnsi="標楷體" w:cs="Tahoma" w:hint="eastAsia"/>
                                      <w:b/>
                                      <w:kern w:val="0"/>
                                    </w:rPr>
                                    <w:t>比率</w:t>
                                  </w:r>
                                </w:p>
                              </w:tc>
                            </w:tr>
                            <w:tr w:rsidR="00A0212B" w:rsidRPr="004202A3" w14:paraId="3EDD850B" w14:textId="77777777" w:rsidTr="00693D1C">
                              <w:tc>
                                <w:tcPr>
                                  <w:tcW w:w="4111" w:type="dxa"/>
                                  <w:gridSpan w:val="4"/>
                                  <w:tcBorders>
                                    <w:top w:val="nil"/>
                                    <w:left w:val="nil"/>
                                    <w:bottom w:val="single" w:sz="4" w:space="0" w:color="auto"/>
                                    <w:right w:val="nil"/>
                                  </w:tcBorders>
                                  <w:shd w:val="clear" w:color="auto" w:fill="auto"/>
                                  <w:vAlign w:val="bottom"/>
                                  <w:hideMark/>
                                </w:tcPr>
                                <w:p w14:paraId="572844A0"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單位：％</w:t>
                                  </w:r>
                                </w:p>
                              </w:tc>
                            </w:tr>
                            <w:tr w:rsidR="00A0212B" w:rsidRPr="004202A3" w14:paraId="599A0752"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5C572"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年度</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6B48713" w14:textId="77777777" w:rsidR="00A0212B" w:rsidRPr="00E31547" w:rsidRDefault="00A0212B" w:rsidP="00693D1C">
                                  <w:pPr>
                                    <w:widowControl/>
                                    <w:jc w:val="center"/>
                                    <w:rPr>
                                      <w:rFonts w:ascii="標楷體" w:eastAsia="標楷體" w:hAnsi="標楷體" w:cs="Tahoma"/>
                                      <w:bCs/>
                                      <w:kern w:val="0"/>
                                      <w:sz w:val="20"/>
                                    </w:rPr>
                                  </w:pPr>
                                  <w:r w:rsidRPr="00E31547">
                                    <w:rPr>
                                      <w:rFonts w:ascii="標楷體" w:eastAsia="標楷體" w:hAnsi="標楷體" w:cs="Tahoma" w:hint="eastAsia"/>
                                      <w:bCs/>
                                      <w:kern w:val="0"/>
                                      <w:sz w:val="20"/>
                                    </w:rPr>
                                    <w:t>合計</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AEA384"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電子零組件</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34C3E0F6"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資通與視聽產品</w:t>
                                  </w:r>
                                </w:p>
                              </w:tc>
                            </w:tr>
                            <w:tr w:rsidR="00A0212B" w:rsidRPr="004202A3" w14:paraId="4064F4E8"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7B959"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103</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A2E35AA"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37.93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9CDACA6"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28.23</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26539BE"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9.71</w:t>
                                  </w:r>
                                </w:p>
                              </w:tc>
                            </w:tr>
                            <w:tr w:rsidR="00A0212B" w:rsidRPr="004202A3" w14:paraId="14D06947"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43BAC"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104</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2F423C0F"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40.92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B06C79F"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30.20</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6E24CCC4"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10.72</w:t>
                                  </w:r>
                                </w:p>
                              </w:tc>
                            </w:tr>
                            <w:tr w:rsidR="00A0212B" w:rsidRPr="004202A3" w14:paraId="1BA70C2B"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375D4"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105</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4ABFFDB"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44.05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5837D75"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33.24</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0709F96"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10.81</w:t>
                                  </w:r>
                                </w:p>
                              </w:tc>
                            </w:tr>
                            <w:tr w:rsidR="00A0212B" w:rsidRPr="004202A3" w14:paraId="797009A2"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A9CD1"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106</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4AAEFDE7"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44.79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64F6A0D"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33.98</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1FA4341D"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10.81</w:t>
                                  </w:r>
                                </w:p>
                              </w:tc>
                            </w:tr>
                            <w:tr w:rsidR="00A0212B" w:rsidRPr="004202A3" w14:paraId="1BE6BDCA"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E8888"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107</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4638ACD6"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43.74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74B6902"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33.16</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3082E57"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10.58</w:t>
                                  </w:r>
                                </w:p>
                              </w:tc>
                            </w:tr>
                            <w:tr w:rsidR="00A0212B" w:rsidRPr="004202A3" w14:paraId="4E4D50F3"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B9D5C"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108</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EA0CE5B"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47.13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A193D52"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34.18</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5523879"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12.95</w:t>
                                  </w:r>
                                </w:p>
                              </w:tc>
                            </w:tr>
                            <w:tr w:rsidR="00A0212B" w:rsidRPr="004202A3" w14:paraId="25F66A7F"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74FB3"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109</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A293C34"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53.50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AF756E1"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39.26</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DCCD439"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14.24</w:t>
                                  </w:r>
                                </w:p>
                              </w:tc>
                            </w:tr>
                            <w:tr w:rsidR="00A0212B" w:rsidRPr="004202A3" w14:paraId="5B15A3F1"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0512A"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110</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F16BFF3"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52.27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6CECBAF"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38.53</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6668BC88"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13.74</w:t>
                                  </w:r>
                                </w:p>
                              </w:tc>
                            </w:tr>
                            <w:tr w:rsidR="00A0212B" w:rsidRPr="004202A3" w14:paraId="3C6C877F"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F3C06" w14:textId="77777777" w:rsidR="00A0212B" w:rsidRPr="004202A3" w:rsidRDefault="00A0212B" w:rsidP="00693D1C">
                                  <w:pPr>
                                    <w:widowControl/>
                                    <w:jc w:val="center"/>
                                    <w:rPr>
                                      <w:rFonts w:ascii="標楷體" w:eastAsia="標楷體" w:hAnsi="標楷體" w:cs="Tahoma"/>
                                      <w:kern w:val="0"/>
                                      <w:sz w:val="20"/>
                                    </w:rPr>
                                  </w:pPr>
                                  <w:r>
                                    <w:rPr>
                                      <w:rFonts w:ascii="標楷體" w:eastAsia="標楷體" w:hAnsi="標楷體" w:cs="Tahoma" w:hint="eastAsia"/>
                                      <w:sz w:val="20"/>
                                    </w:rPr>
                                    <w:t>111</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CEEAC76" w14:textId="77777777" w:rsidR="00A0212B" w:rsidRPr="004202A3" w:rsidRDefault="00A0212B" w:rsidP="00693D1C">
                                  <w:pPr>
                                    <w:widowControl/>
                                    <w:overflowPunct w:val="0"/>
                                    <w:jc w:val="right"/>
                                    <w:rPr>
                                      <w:rFonts w:ascii="標楷體" w:eastAsia="標楷體" w:hAnsi="標楷體" w:cs="Tahoma"/>
                                      <w:b/>
                                      <w:bCs/>
                                      <w:kern w:val="0"/>
                                      <w:sz w:val="20"/>
                                    </w:rPr>
                                  </w:pPr>
                                  <w:r>
                                    <w:rPr>
                                      <w:rFonts w:ascii="標楷體" w:eastAsia="標楷體" w:hAnsi="標楷體" w:cs="Tahoma" w:hint="eastAsia"/>
                                      <w:b/>
                                      <w:bCs/>
                                      <w:sz w:val="20"/>
                                    </w:rPr>
                                    <w:t xml:space="preserve">55.24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B5B157D" w14:textId="77777777" w:rsidR="00A0212B" w:rsidRPr="004202A3" w:rsidRDefault="00A0212B" w:rsidP="00693D1C">
                                  <w:pPr>
                                    <w:widowControl/>
                                    <w:jc w:val="right"/>
                                    <w:rPr>
                                      <w:rFonts w:ascii="標楷體" w:eastAsia="標楷體" w:hAnsi="標楷體" w:cs="Tahoma"/>
                                      <w:kern w:val="0"/>
                                      <w:sz w:val="20"/>
                                    </w:rPr>
                                  </w:pPr>
                                  <w:r>
                                    <w:rPr>
                                      <w:rFonts w:ascii="標楷體" w:eastAsia="標楷體" w:hAnsi="標楷體" w:cs="Tahoma" w:hint="eastAsia"/>
                                      <w:sz w:val="20"/>
                                    </w:rPr>
                                    <w:t>41.75</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0544876" w14:textId="77777777" w:rsidR="00A0212B" w:rsidRPr="004202A3" w:rsidRDefault="00A0212B" w:rsidP="00693D1C">
                                  <w:pPr>
                                    <w:widowControl/>
                                    <w:jc w:val="right"/>
                                    <w:rPr>
                                      <w:rFonts w:ascii="標楷體" w:eastAsia="標楷體" w:hAnsi="標楷體" w:cs="Tahoma"/>
                                      <w:kern w:val="0"/>
                                      <w:sz w:val="20"/>
                                    </w:rPr>
                                  </w:pPr>
                                  <w:r>
                                    <w:rPr>
                                      <w:rFonts w:ascii="標楷體" w:eastAsia="標楷體" w:hAnsi="標楷體" w:cs="Tahoma" w:hint="eastAsia"/>
                                      <w:sz w:val="20"/>
                                    </w:rPr>
                                    <w:t>13.49</w:t>
                                  </w:r>
                                </w:p>
                              </w:tc>
                            </w:tr>
                            <w:tr w:rsidR="00A0212B" w:rsidRPr="004202A3" w14:paraId="1D54A0C7"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6E88F"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112</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A647A81"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60.60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BBCAEC8"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41.33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108A1BAE"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19.28</w:t>
                                  </w:r>
                                </w:p>
                              </w:tc>
                            </w:tr>
                            <w:tr w:rsidR="00A0212B" w:rsidRPr="004202A3" w14:paraId="2EC63BE1" w14:textId="77777777" w:rsidTr="00693D1C">
                              <w:tc>
                                <w:tcPr>
                                  <w:tcW w:w="4111" w:type="dxa"/>
                                  <w:gridSpan w:val="4"/>
                                  <w:tcBorders>
                                    <w:top w:val="single" w:sz="4" w:space="0" w:color="auto"/>
                                  </w:tcBorders>
                                  <w:shd w:val="clear" w:color="auto" w:fill="auto"/>
                                  <w:vAlign w:val="bottom"/>
                                  <w:hideMark/>
                                </w:tcPr>
                                <w:p w14:paraId="52A8BF78" w14:textId="77777777" w:rsidR="00A0212B" w:rsidRPr="004202A3" w:rsidRDefault="00A0212B" w:rsidP="00693D1C">
                                  <w:pPr>
                                    <w:widowControl/>
                                    <w:spacing w:line="200" w:lineRule="exact"/>
                                    <w:rPr>
                                      <w:rFonts w:ascii="標楷體" w:eastAsia="標楷體" w:hAnsi="標楷體" w:cs="Tahoma"/>
                                      <w:kern w:val="0"/>
                                      <w:sz w:val="18"/>
                                    </w:rPr>
                                  </w:pPr>
                                  <w:r w:rsidRPr="004202A3">
                                    <w:rPr>
                                      <w:rFonts w:ascii="標楷體" w:eastAsia="標楷體" w:hAnsi="標楷體" w:cs="Tahoma" w:hint="eastAsia"/>
                                      <w:kern w:val="0"/>
                                      <w:sz w:val="18"/>
                                    </w:rPr>
                                    <w:t>資料來源：整理自財政部進出口統計資料。</w:t>
                                  </w:r>
                                </w:p>
                              </w:tc>
                            </w:tr>
                          </w:tbl>
                          <w:p w14:paraId="05F4060D" w14:textId="77777777" w:rsidR="00A0212B" w:rsidRPr="00474EF9" w:rsidRDefault="00A0212B" w:rsidP="00BD687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567718" id="_x0000_t202" coordsize="21600,21600" o:spt="202" path="m,l,21600r21600,l21600,xe">
                <v:stroke joinstyle="miter"/>
                <v:path gradientshapeok="t" o:connecttype="rect"/>
              </v:shapetype>
              <v:shape id="文字方塊 2" o:spid="_x0000_s1026" type="#_x0000_t202" style="position:absolute;left:0;text-align:left;margin-left:270.75pt;margin-top:323.1pt;width:224.4pt;height:210pt;z-index:2516244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" filled="f" stroked="f">
                <v:textbox>
                  <w:txbxContent>
                    <w:p w14:paraId="3A0DF594" w14:textId="77777777" w:rsidR="00A0212B" w:rsidRDefault="00A0212B" w:rsidP="00BD687A">
                      <w:pPr>
                        <w:spacing w:line="20" w:lineRule="exact"/>
                      </w:pPr>
                    </w:p>
                    <w:tbl>
                      <w:tblPr>
                        <w:tblW w:w="4111" w:type="dxa"/>
                        <w:tblCellMar>
                          <w:left w:w="28" w:type="dxa"/>
                          <w:right w:w="28" w:type="dxa"/>
                        </w:tblCellMar>
                        <w:tblLook w:val="04A0" w:firstRow="1" w:lastRow="0" w:firstColumn="1" w:lastColumn="0" w:noHBand="0" w:noVBand="1"/>
                      </w:tblPr>
                      <w:tblGrid>
                        <w:gridCol w:w="709"/>
                        <w:gridCol w:w="708"/>
                        <w:gridCol w:w="1134"/>
                        <w:gridCol w:w="1560"/>
                      </w:tblGrid>
                      <w:tr w:rsidR="00A0212B" w:rsidRPr="004202A3" w14:paraId="548D98B5" w14:textId="77777777" w:rsidTr="00693D1C">
                        <w:tc>
                          <w:tcPr>
                            <w:tcW w:w="4111" w:type="dxa"/>
                            <w:gridSpan w:val="4"/>
                            <w:tcBorders>
                              <w:top w:val="nil"/>
                              <w:left w:val="nil"/>
                              <w:bottom w:val="nil"/>
                              <w:right w:val="nil"/>
                            </w:tcBorders>
                            <w:shd w:val="clear" w:color="auto" w:fill="auto"/>
                            <w:vAlign w:val="bottom"/>
                            <w:hideMark/>
                          </w:tcPr>
                          <w:p w14:paraId="4492F353" w14:textId="5E48E97F" w:rsidR="00A0212B" w:rsidRPr="004202A3" w:rsidRDefault="00A0212B" w:rsidP="00E1270B">
                            <w:pPr>
                              <w:widowControl/>
                              <w:spacing w:line="260" w:lineRule="exact"/>
                              <w:ind w:left="625" w:hangingChars="260" w:hanging="625"/>
                              <w:jc w:val="both"/>
                              <w:rPr>
                                <w:rFonts w:ascii="標楷體" w:eastAsia="標楷體" w:hAnsi="標楷體" w:cs="Tahoma"/>
                                <w:b/>
                                <w:kern w:val="0"/>
                                <w:sz w:val="20"/>
                              </w:rPr>
                            </w:pPr>
                            <w:r w:rsidRPr="004202A3">
                              <w:rPr>
                                <w:rFonts w:ascii="標楷體" w:eastAsia="標楷體" w:hAnsi="標楷體" w:cs="Tahoma" w:hint="eastAsia"/>
                                <w:b/>
                                <w:kern w:val="0"/>
                              </w:rPr>
                              <w:t>表</w:t>
                            </w:r>
                            <w:r>
                              <w:rPr>
                                <w:rFonts w:ascii="標楷體" w:eastAsia="標楷體" w:hAnsi="標楷體" w:cs="Tahoma"/>
                                <w:b/>
                                <w:kern w:val="0"/>
                              </w:rPr>
                              <w:t>1</w:t>
                            </w:r>
                            <w:r w:rsidRPr="004306AD">
                              <w:rPr>
                                <w:rFonts w:ascii="標楷體" w:eastAsia="標楷體" w:hAnsi="標楷體" w:cs="新細明體" w:hint="eastAsia"/>
                                <w:b/>
                                <w:bCs/>
                                <w:color w:val="000000"/>
                                <w:kern w:val="0"/>
                                <w:szCs w:val="24"/>
                              </w:rPr>
                              <w:t xml:space="preserve">　</w:t>
                            </w:r>
                            <w:r w:rsidRPr="004202A3">
                              <w:rPr>
                                <w:rFonts w:ascii="標楷體" w:eastAsia="標楷體" w:hAnsi="標楷體" w:cs="Tahoma" w:hint="eastAsia"/>
                                <w:b/>
                                <w:kern w:val="0"/>
                              </w:rPr>
                              <w:t>近10年度電子零組件及資通與視聽</w:t>
                            </w:r>
                            <w:r>
                              <w:rPr>
                                <w:rFonts w:ascii="標楷體" w:eastAsia="標楷體" w:hAnsi="標楷體" w:cs="Tahoma" w:hint="eastAsia"/>
                                <w:b/>
                                <w:kern w:val="0"/>
                              </w:rPr>
                              <w:t>出口</w:t>
                            </w:r>
                            <w:r w:rsidRPr="004202A3">
                              <w:rPr>
                                <w:rFonts w:ascii="標楷體" w:eastAsia="標楷體" w:hAnsi="標楷體" w:cs="Tahoma" w:hint="eastAsia"/>
                                <w:b/>
                                <w:kern w:val="0"/>
                              </w:rPr>
                              <w:t>產品占我國出口</w:t>
                            </w:r>
                            <w:r>
                              <w:rPr>
                                <w:rFonts w:ascii="標楷體" w:eastAsia="標楷體" w:hAnsi="標楷體" w:cs="Tahoma" w:hint="eastAsia"/>
                                <w:b/>
                                <w:kern w:val="0"/>
                              </w:rPr>
                              <w:t>金額</w:t>
                            </w:r>
                            <w:r w:rsidRPr="004202A3">
                              <w:rPr>
                                <w:rFonts w:ascii="標楷體" w:eastAsia="標楷體" w:hAnsi="標楷體" w:cs="Tahoma" w:hint="eastAsia"/>
                                <w:b/>
                                <w:kern w:val="0"/>
                              </w:rPr>
                              <w:t>比率</w:t>
                            </w:r>
                          </w:p>
                        </w:tc>
                      </w:tr>
                      <w:tr w:rsidR="00A0212B" w:rsidRPr="004202A3" w14:paraId="3EDD850B" w14:textId="77777777" w:rsidTr="00693D1C">
                        <w:tc>
                          <w:tcPr>
                            <w:tcW w:w="4111" w:type="dxa"/>
                            <w:gridSpan w:val="4"/>
                            <w:tcBorders>
                              <w:top w:val="nil"/>
                              <w:left w:val="nil"/>
                              <w:bottom w:val="single" w:sz="4" w:space="0" w:color="auto"/>
                              <w:right w:val="nil"/>
                            </w:tcBorders>
                            <w:shd w:val="clear" w:color="auto" w:fill="auto"/>
                            <w:vAlign w:val="bottom"/>
                            <w:hideMark/>
                          </w:tcPr>
                          <w:p w14:paraId="572844A0"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單位：％</w:t>
                            </w:r>
                          </w:p>
                        </w:tc>
                      </w:tr>
                      <w:tr w:rsidR="00A0212B" w:rsidRPr="004202A3" w14:paraId="599A0752"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5C572"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年度</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6B48713" w14:textId="77777777" w:rsidR="00A0212B" w:rsidRPr="00E31547" w:rsidRDefault="00A0212B" w:rsidP="00693D1C">
                            <w:pPr>
                              <w:widowControl/>
                              <w:jc w:val="center"/>
                              <w:rPr>
                                <w:rFonts w:ascii="標楷體" w:eastAsia="標楷體" w:hAnsi="標楷體" w:cs="Tahoma"/>
                                <w:bCs/>
                                <w:kern w:val="0"/>
                                <w:sz w:val="20"/>
                              </w:rPr>
                            </w:pPr>
                            <w:r w:rsidRPr="00E31547">
                              <w:rPr>
                                <w:rFonts w:ascii="標楷體" w:eastAsia="標楷體" w:hAnsi="標楷體" w:cs="Tahoma" w:hint="eastAsia"/>
                                <w:bCs/>
                                <w:kern w:val="0"/>
                                <w:sz w:val="20"/>
                              </w:rPr>
                              <w:t>合計</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6AEA384"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電子零組件</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34C3E0F6"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資通與視聽產品</w:t>
                            </w:r>
                          </w:p>
                        </w:tc>
                      </w:tr>
                      <w:tr w:rsidR="00A0212B" w:rsidRPr="004202A3" w14:paraId="4064F4E8"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17B959"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103</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A2E35AA"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37.93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9CDACA6"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28.23</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426539BE"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9.71</w:t>
                            </w:r>
                          </w:p>
                        </w:tc>
                      </w:tr>
                      <w:tr w:rsidR="00A0212B" w:rsidRPr="004202A3" w14:paraId="14D06947"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143BAC"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104</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2F423C0F"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40.92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B06C79F"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30.20</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6E24CCC4"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10.72</w:t>
                            </w:r>
                          </w:p>
                        </w:tc>
                      </w:tr>
                      <w:tr w:rsidR="00A0212B" w:rsidRPr="004202A3" w14:paraId="1BA70C2B"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375D4"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105</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4ABFFDB"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44.05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5837D75"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33.24</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0709F96"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10.81</w:t>
                            </w:r>
                          </w:p>
                        </w:tc>
                      </w:tr>
                      <w:tr w:rsidR="00A0212B" w:rsidRPr="004202A3" w14:paraId="797009A2"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8A9CD1"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106</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4AAEFDE7"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44.79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64F6A0D"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33.98</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1FA4341D"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10.81</w:t>
                            </w:r>
                          </w:p>
                        </w:tc>
                      </w:tr>
                      <w:tr w:rsidR="00A0212B" w:rsidRPr="004202A3" w14:paraId="1BE6BDCA"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2E8888"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107</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4638ACD6"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43.74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74B6902"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33.16</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3082E57"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10.58</w:t>
                            </w:r>
                          </w:p>
                        </w:tc>
                      </w:tr>
                      <w:tr w:rsidR="00A0212B" w:rsidRPr="004202A3" w14:paraId="4E4D50F3"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0B9D5C"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108</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1EA0CE5B"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47.13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A193D52"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34.18</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5523879"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12.95</w:t>
                            </w:r>
                          </w:p>
                        </w:tc>
                      </w:tr>
                      <w:tr w:rsidR="00A0212B" w:rsidRPr="004202A3" w14:paraId="25F66A7F"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74FB3"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109</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0A293C34"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53.50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AF756E1"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39.26</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DCCD439"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14.24</w:t>
                            </w:r>
                          </w:p>
                        </w:tc>
                      </w:tr>
                      <w:tr w:rsidR="00A0212B" w:rsidRPr="004202A3" w14:paraId="5B15A3F1"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0512A"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110</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7F16BFF3"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52.27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6CECBAF"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38.53</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6668BC88"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13.74</w:t>
                            </w:r>
                          </w:p>
                        </w:tc>
                      </w:tr>
                      <w:tr w:rsidR="00A0212B" w:rsidRPr="004202A3" w14:paraId="3C6C877F"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3F3C06" w14:textId="77777777" w:rsidR="00A0212B" w:rsidRPr="004202A3" w:rsidRDefault="00A0212B" w:rsidP="00693D1C">
                            <w:pPr>
                              <w:widowControl/>
                              <w:jc w:val="center"/>
                              <w:rPr>
                                <w:rFonts w:ascii="標楷體" w:eastAsia="標楷體" w:hAnsi="標楷體" w:cs="Tahoma"/>
                                <w:kern w:val="0"/>
                                <w:sz w:val="20"/>
                              </w:rPr>
                            </w:pPr>
                            <w:r>
                              <w:rPr>
                                <w:rFonts w:ascii="標楷體" w:eastAsia="標楷體" w:hAnsi="標楷體" w:cs="Tahoma" w:hint="eastAsia"/>
                                <w:sz w:val="20"/>
                              </w:rPr>
                              <w:t>111</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14:paraId="5CEEAC76" w14:textId="77777777" w:rsidR="00A0212B" w:rsidRPr="004202A3" w:rsidRDefault="00A0212B" w:rsidP="00693D1C">
                            <w:pPr>
                              <w:widowControl/>
                              <w:overflowPunct w:val="0"/>
                              <w:jc w:val="right"/>
                              <w:rPr>
                                <w:rFonts w:ascii="標楷體" w:eastAsia="標楷體" w:hAnsi="標楷體" w:cs="Tahoma"/>
                                <w:b/>
                                <w:bCs/>
                                <w:kern w:val="0"/>
                                <w:sz w:val="20"/>
                              </w:rPr>
                            </w:pPr>
                            <w:r>
                              <w:rPr>
                                <w:rFonts w:ascii="標楷體" w:eastAsia="標楷體" w:hAnsi="標楷體" w:cs="Tahoma" w:hint="eastAsia"/>
                                <w:b/>
                                <w:bCs/>
                                <w:sz w:val="20"/>
                              </w:rPr>
                              <w:t xml:space="preserve">55.24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B5B157D" w14:textId="77777777" w:rsidR="00A0212B" w:rsidRPr="004202A3" w:rsidRDefault="00A0212B" w:rsidP="00693D1C">
                            <w:pPr>
                              <w:widowControl/>
                              <w:jc w:val="right"/>
                              <w:rPr>
                                <w:rFonts w:ascii="標楷體" w:eastAsia="標楷體" w:hAnsi="標楷體" w:cs="Tahoma"/>
                                <w:kern w:val="0"/>
                                <w:sz w:val="20"/>
                              </w:rPr>
                            </w:pPr>
                            <w:r>
                              <w:rPr>
                                <w:rFonts w:ascii="標楷體" w:eastAsia="標楷體" w:hAnsi="標楷體" w:cs="Tahoma" w:hint="eastAsia"/>
                                <w:sz w:val="20"/>
                              </w:rPr>
                              <w:t>41.75</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0544876" w14:textId="77777777" w:rsidR="00A0212B" w:rsidRPr="004202A3" w:rsidRDefault="00A0212B" w:rsidP="00693D1C">
                            <w:pPr>
                              <w:widowControl/>
                              <w:jc w:val="right"/>
                              <w:rPr>
                                <w:rFonts w:ascii="標楷體" w:eastAsia="標楷體" w:hAnsi="標楷體" w:cs="Tahoma"/>
                                <w:kern w:val="0"/>
                                <w:sz w:val="20"/>
                              </w:rPr>
                            </w:pPr>
                            <w:r>
                              <w:rPr>
                                <w:rFonts w:ascii="標楷體" w:eastAsia="標楷體" w:hAnsi="標楷體" w:cs="Tahoma" w:hint="eastAsia"/>
                                <w:sz w:val="20"/>
                              </w:rPr>
                              <w:t>13.49</w:t>
                            </w:r>
                          </w:p>
                        </w:tc>
                      </w:tr>
                      <w:tr w:rsidR="00A0212B" w:rsidRPr="004202A3" w14:paraId="1D54A0C7" w14:textId="77777777" w:rsidTr="00693D1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6E88F" w14:textId="77777777" w:rsidR="00A0212B" w:rsidRPr="004202A3" w:rsidRDefault="00A0212B" w:rsidP="00693D1C">
                            <w:pPr>
                              <w:widowControl/>
                              <w:jc w:val="center"/>
                              <w:rPr>
                                <w:rFonts w:ascii="標楷體" w:eastAsia="標楷體" w:hAnsi="標楷體" w:cs="Tahoma"/>
                                <w:kern w:val="0"/>
                                <w:sz w:val="20"/>
                              </w:rPr>
                            </w:pPr>
                            <w:r w:rsidRPr="004202A3">
                              <w:rPr>
                                <w:rFonts w:ascii="標楷體" w:eastAsia="標楷體" w:hAnsi="標楷體" w:cs="Tahoma" w:hint="eastAsia"/>
                                <w:kern w:val="0"/>
                                <w:sz w:val="20"/>
                              </w:rPr>
                              <w:t>112</w:t>
                            </w:r>
                          </w:p>
                        </w:tc>
                        <w:tc>
                          <w:tcPr>
                            <w:tcW w:w="708"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A647A81" w14:textId="77777777" w:rsidR="00A0212B" w:rsidRPr="004202A3" w:rsidRDefault="00A0212B" w:rsidP="00693D1C">
                            <w:pPr>
                              <w:widowControl/>
                              <w:overflowPunct w:val="0"/>
                              <w:jc w:val="right"/>
                              <w:rPr>
                                <w:rFonts w:ascii="標楷體" w:eastAsia="標楷體" w:hAnsi="標楷體" w:cs="Tahoma"/>
                                <w:b/>
                                <w:bCs/>
                                <w:kern w:val="0"/>
                                <w:sz w:val="20"/>
                              </w:rPr>
                            </w:pPr>
                            <w:r w:rsidRPr="004202A3">
                              <w:rPr>
                                <w:rFonts w:ascii="標楷體" w:eastAsia="標楷體" w:hAnsi="標楷體" w:cs="Tahoma" w:hint="eastAsia"/>
                                <w:b/>
                                <w:bCs/>
                                <w:kern w:val="0"/>
                                <w:sz w:val="20"/>
                              </w:rPr>
                              <w:t xml:space="preserve">60.60 </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BBCAEC8"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41.33</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108A1BAE" w14:textId="77777777" w:rsidR="00A0212B" w:rsidRPr="004202A3" w:rsidRDefault="00A0212B" w:rsidP="00693D1C">
                            <w:pPr>
                              <w:widowControl/>
                              <w:jc w:val="right"/>
                              <w:rPr>
                                <w:rFonts w:ascii="標楷體" w:eastAsia="標楷體" w:hAnsi="標楷體" w:cs="Tahoma"/>
                                <w:kern w:val="0"/>
                                <w:sz w:val="20"/>
                              </w:rPr>
                            </w:pPr>
                            <w:r w:rsidRPr="004202A3">
                              <w:rPr>
                                <w:rFonts w:ascii="標楷體" w:eastAsia="標楷體" w:hAnsi="標楷體" w:cs="Tahoma" w:hint="eastAsia"/>
                                <w:kern w:val="0"/>
                                <w:sz w:val="20"/>
                              </w:rPr>
                              <w:t>19.28</w:t>
                            </w:r>
                          </w:p>
                        </w:tc>
                      </w:tr>
                      <w:tr w:rsidR="00A0212B" w:rsidRPr="004202A3" w14:paraId="2EC63BE1" w14:textId="77777777" w:rsidTr="00693D1C">
                        <w:tc>
                          <w:tcPr>
                            <w:tcW w:w="4111" w:type="dxa"/>
                            <w:gridSpan w:val="4"/>
                            <w:tcBorders>
                              <w:top w:val="single" w:sz="4" w:space="0" w:color="auto"/>
                            </w:tcBorders>
                            <w:shd w:val="clear" w:color="auto" w:fill="auto"/>
                            <w:vAlign w:val="bottom"/>
                            <w:hideMark/>
                          </w:tcPr>
                          <w:p w14:paraId="52A8BF78" w14:textId="77777777" w:rsidR="00A0212B" w:rsidRPr="004202A3" w:rsidRDefault="00A0212B" w:rsidP="00693D1C">
                            <w:pPr>
                              <w:widowControl/>
                              <w:spacing w:line="200" w:lineRule="exact"/>
                              <w:rPr>
                                <w:rFonts w:ascii="標楷體" w:eastAsia="標楷體" w:hAnsi="標楷體" w:cs="Tahoma"/>
                                <w:kern w:val="0"/>
                                <w:sz w:val="18"/>
                              </w:rPr>
                            </w:pPr>
                            <w:r w:rsidRPr="004202A3">
                              <w:rPr>
                                <w:rFonts w:ascii="標楷體" w:eastAsia="標楷體" w:hAnsi="標楷體" w:cs="Tahoma" w:hint="eastAsia"/>
                                <w:kern w:val="0"/>
                                <w:sz w:val="18"/>
                              </w:rPr>
                              <w:t>資料來源：整理自財政部進出口統計資料。</w:t>
                            </w:r>
                          </w:p>
                        </w:tc>
                      </w:tr>
                    </w:tbl>
                    <w:p w14:paraId="05F4060D" w14:textId="77777777" w:rsidR="00A0212B" w:rsidRPr="00474EF9" w:rsidRDefault="00A0212B" w:rsidP="00BD687A"/>
                  </w:txbxContent>
                </v:textbox>
                <w10:wrap type="square"/>
              </v:shape>
            </w:pict>
          </mc:Fallback>
        </mc:AlternateContent>
      </w:r>
      <w:r w:rsidRPr="00163F00">
        <w:rPr>
          <w:rFonts w:ascii="標楷體" w:eastAsia="標楷體" w:hAnsi="標楷體" w:hint="eastAsia"/>
          <w:szCs w:val="24"/>
        </w:rPr>
        <w:t>依據</w:t>
      </w:r>
      <w:r>
        <w:rPr>
          <w:rFonts w:ascii="標楷體" w:eastAsia="標楷體" w:hAnsi="標楷體" w:hint="eastAsia"/>
          <w:szCs w:val="24"/>
        </w:rPr>
        <w:t>行政院</w:t>
      </w:r>
      <w:r w:rsidRPr="00163F00">
        <w:rPr>
          <w:rFonts w:ascii="標楷體" w:eastAsia="標楷體" w:hAnsi="標楷體" w:hint="eastAsia"/>
          <w:szCs w:val="24"/>
        </w:rPr>
        <w:t>主計總處113年</w:t>
      </w:r>
      <w:r>
        <w:rPr>
          <w:rFonts w:ascii="標楷體" w:eastAsia="標楷體" w:hAnsi="標楷體" w:hint="eastAsia"/>
          <w:szCs w:val="24"/>
        </w:rPr>
        <w:t>5月發布之國民所得統計摘要，</w:t>
      </w:r>
      <w:r w:rsidRPr="00163F00">
        <w:rPr>
          <w:rFonts w:ascii="標楷體" w:eastAsia="標楷體" w:hAnsi="標楷體" w:hint="eastAsia"/>
          <w:szCs w:val="24"/>
        </w:rPr>
        <w:t>112年度國內生產毛額（</w:t>
      </w:r>
      <w:r w:rsidR="002B5274">
        <w:rPr>
          <w:rFonts w:ascii="標楷體" w:eastAsia="標楷體" w:hAnsi="標楷體" w:hint="eastAsia"/>
          <w:szCs w:val="24"/>
        </w:rPr>
        <w:t>Gr</w:t>
      </w:r>
      <w:r w:rsidR="002B5274">
        <w:rPr>
          <w:rFonts w:ascii="標楷體" w:eastAsia="標楷體" w:hAnsi="標楷體"/>
          <w:szCs w:val="24"/>
        </w:rPr>
        <w:t xml:space="preserve">oss Domestic Product, </w:t>
      </w:r>
      <w:r w:rsidRPr="00163F00">
        <w:rPr>
          <w:rFonts w:ascii="標楷體" w:eastAsia="標楷體" w:hAnsi="標楷體" w:hint="eastAsia"/>
          <w:szCs w:val="24"/>
        </w:rPr>
        <w:t>GDP）</w:t>
      </w:r>
      <w:r w:rsidRPr="002D1634">
        <w:rPr>
          <w:rFonts w:ascii="標楷體" w:eastAsia="標楷體" w:hAnsi="標楷體" w:hint="eastAsia"/>
          <w:szCs w:val="24"/>
        </w:rPr>
        <w:t>連鎖實質值</w:t>
      </w:r>
      <w:r w:rsidRPr="00163F00">
        <w:rPr>
          <w:rFonts w:ascii="標楷體" w:eastAsia="標楷體" w:hAnsi="標楷體" w:hint="eastAsia"/>
          <w:szCs w:val="24"/>
        </w:rPr>
        <w:t>22兆</w:t>
      </w:r>
      <w:r>
        <w:rPr>
          <w:rFonts w:ascii="標楷體" w:eastAsia="標楷體" w:hAnsi="標楷體" w:hint="eastAsia"/>
          <w:szCs w:val="24"/>
        </w:rPr>
        <w:t>51</w:t>
      </w:r>
      <w:r w:rsidRPr="00163F00">
        <w:rPr>
          <w:rFonts w:ascii="標楷體" w:eastAsia="標楷體" w:hAnsi="標楷體" w:hint="eastAsia"/>
          <w:szCs w:val="24"/>
        </w:rPr>
        <w:t>億餘元，經濟成長率1.</w:t>
      </w:r>
      <w:r>
        <w:rPr>
          <w:rFonts w:ascii="標楷體" w:eastAsia="標楷體" w:hAnsi="標楷體" w:hint="eastAsia"/>
          <w:szCs w:val="24"/>
        </w:rPr>
        <w:t>28</w:t>
      </w:r>
      <w:r w:rsidRPr="00163F00">
        <w:rPr>
          <w:rFonts w:ascii="標楷體" w:eastAsia="標楷體" w:hAnsi="標楷體" w:hint="eastAsia"/>
          <w:szCs w:val="24"/>
        </w:rPr>
        <w:t>％，較111年度之2.59％減少1.</w:t>
      </w:r>
      <w:r>
        <w:rPr>
          <w:rFonts w:ascii="標楷體" w:eastAsia="標楷體" w:hAnsi="標楷體" w:hint="eastAsia"/>
          <w:szCs w:val="24"/>
        </w:rPr>
        <w:t>31</w:t>
      </w:r>
      <w:r w:rsidRPr="00163F00">
        <w:rPr>
          <w:rFonts w:ascii="標楷體" w:eastAsia="標楷體" w:hAnsi="標楷體" w:hint="eastAsia"/>
          <w:szCs w:val="24"/>
        </w:rPr>
        <w:t>個百分點，成長幅度為99年度以來最低，未達成112年度中央政府總預算案全國總資源供需估測之經濟成長率3.05％，且低於2023年全球經濟成長率2.7％</w:t>
      </w:r>
      <w:r>
        <w:rPr>
          <w:rFonts w:ascii="標楷體" w:eastAsia="標楷體" w:hAnsi="標楷體" w:hint="eastAsia"/>
          <w:szCs w:val="24"/>
        </w:rPr>
        <w:t>（</w:t>
      </w:r>
      <w:r w:rsidRPr="00163F00">
        <w:rPr>
          <w:rFonts w:ascii="標楷體" w:eastAsia="標楷體" w:hAnsi="標楷體" w:hint="eastAsia"/>
          <w:szCs w:val="24"/>
        </w:rPr>
        <w:t>S&amp;P Global 2024年</w:t>
      </w:r>
      <w:r>
        <w:rPr>
          <w:rFonts w:ascii="標楷體" w:eastAsia="標楷體" w:hAnsi="標楷體" w:hint="eastAsia"/>
          <w:szCs w:val="24"/>
        </w:rPr>
        <w:t>5</w:t>
      </w:r>
      <w:r w:rsidRPr="00163F00">
        <w:rPr>
          <w:rFonts w:ascii="標楷體" w:eastAsia="標楷體" w:hAnsi="標楷體" w:hint="eastAsia"/>
          <w:szCs w:val="24"/>
        </w:rPr>
        <w:t>月發布資料</w:t>
      </w:r>
      <w:r>
        <w:rPr>
          <w:rFonts w:ascii="標楷體" w:eastAsia="標楷體" w:hAnsi="標楷體" w:hint="eastAsia"/>
          <w:szCs w:val="24"/>
        </w:rPr>
        <w:t>），主要係</w:t>
      </w:r>
      <w:r w:rsidRPr="00163F00">
        <w:rPr>
          <w:rFonts w:ascii="標楷體" w:eastAsia="標楷體" w:hAnsi="標楷體" w:hint="eastAsia"/>
          <w:szCs w:val="24"/>
        </w:rPr>
        <w:t>受全球因通膨及升息壓力致終端需求不振，產業鏈調整庫存等影響，我國商品及服務輸出</w:t>
      </w:r>
      <w:r w:rsidRPr="002D1634">
        <w:rPr>
          <w:rFonts w:ascii="標楷體" w:eastAsia="標楷體" w:hAnsi="標楷體" w:hint="eastAsia"/>
          <w:szCs w:val="24"/>
        </w:rPr>
        <w:t>連鎖實質值</w:t>
      </w:r>
      <w:r w:rsidRPr="00163F00">
        <w:rPr>
          <w:rFonts w:ascii="標楷體" w:eastAsia="標楷體" w:hAnsi="標楷體" w:hint="eastAsia"/>
          <w:szCs w:val="24"/>
        </w:rPr>
        <w:t>較111年度負成長4.</w:t>
      </w:r>
      <w:r>
        <w:rPr>
          <w:rFonts w:ascii="標楷體" w:eastAsia="標楷體" w:hAnsi="標楷體" w:hint="eastAsia"/>
          <w:szCs w:val="24"/>
        </w:rPr>
        <w:t>54</w:t>
      </w:r>
      <w:r w:rsidRPr="00163F00">
        <w:rPr>
          <w:rFonts w:ascii="標楷體" w:eastAsia="標楷體" w:hAnsi="標楷體" w:hint="eastAsia"/>
          <w:szCs w:val="24"/>
        </w:rPr>
        <w:t>％，輸出動能疲軟，連帶使國內企業投資轉趨保守，抑制民間投資成長，加以</w:t>
      </w:r>
      <w:r>
        <w:rPr>
          <w:rFonts w:ascii="標楷體" w:eastAsia="標楷體" w:hAnsi="標楷體" w:hint="eastAsia"/>
          <w:szCs w:val="24"/>
        </w:rPr>
        <w:t>111</w:t>
      </w:r>
      <w:r w:rsidRPr="00163F00">
        <w:rPr>
          <w:rFonts w:ascii="標楷體" w:eastAsia="標楷體" w:hAnsi="標楷體" w:hint="eastAsia"/>
          <w:szCs w:val="24"/>
        </w:rPr>
        <w:t>年度比較基期高，固定資本形成</w:t>
      </w:r>
      <w:r w:rsidRPr="002D1634">
        <w:rPr>
          <w:rFonts w:ascii="標楷體" w:eastAsia="標楷體" w:hAnsi="標楷體" w:hint="eastAsia"/>
          <w:szCs w:val="24"/>
        </w:rPr>
        <w:t>連鎖實質值</w:t>
      </w:r>
      <w:r w:rsidRPr="00163F00">
        <w:rPr>
          <w:rFonts w:ascii="標楷體" w:eastAsia="標楷體" w:hAnsi="標楷體" w:hint="eastAsia"/>
          <w:szCs w:val="24"/>
        </w:rPr>
        <w:t>較111年度負成長8.</w:t>
      </w:r>
      <w:r>
        <w:rPr>
          <w:rFonts w:ascii="標楷體" w:eastAsia="標楷體" w:hAnsi="標楷體" w:hint="eastAsia"/>
          <w:szCs w:val="24"/>
        </w:rPr>
        <w:t>24</w:t>
      </w:r>
      <w:r w:rsidRPr="00163F00">
        <w:rPr>
          <w:rFonts w:ascii="標楷體" w:eastAsia="標楷體" w:hAnsi="標楷體" w:hint="eastAsia"/>
          <w:szCs w:val="24"/>
        </w:rPr>
        <w:t>％；民間消費</w:t>
      </w:r>
      <w:r w:rsidRPr="002D1634">
        <w:rPr>
          <w:rFonts w:ascii="標楷體" w:eastAsia="標楷體" w:hAnsi="標楷體" w:hint="eastAsia"/>
          <w:szCs w:val="24"/>
        </w:rPr>
        <w:t>連鎖實質值</w:t>
      </w:r>
      <w:r w:rsidRPr="00163F00">
        <w:rPr>
          <w:rFonts w:ascii="標楷體" w:eastAsia="標楷體" w:hAnsi="標楷體" w:hint="eastAsia"/>
          <w:szCs w:val="24"/>
        </w:rPr>
        <w:t>則因疫後消費動能推升，股市交易活絡</w:t>
      </w:r>
      <w:r>
        <w:rPr>
          <w:rFonts w:ascii="標楷體" w:eastAsia="標楷體" w:hAnsi="標楷體" w:hint="eastAsia"/>
          <w:szCs w:val="24"/>
        </w:rPr>
        <w:t>等</w:t>
      </w:r>
      <w:r w:rsidRPr="00163F00">
        <w:rPr>
          <w:rFonts w:ascii="標楷體" w:eastAsia="標楷體" w:hAnsi="標楷體" w:hint="eastAsia"/>
          <w:szCs w:val="24"/>
        </w:rPr>
        <w:t>，較111年度成長8.</w:t>
      </w:r>
      <w:r>
        <w:rPr>
          <w:rFonts w:ascii="標楷體" w:eastAsia="標楷體" w:hAnsi="標楷體" w:hint="eastAsia"/>
          <w:szCs w:val="24"/>
        </w:rPr>
        <w:t>19</w:t>
      </w:r>
      <w:r w:rsidRPr="00163F00">
        <w:rPr>
          <w:rFonts w:ascii="標楷體" w:eastAsia="標楷體" w:hAnsi="標楷體" w:hint="eastAsia"/>
          <w:szCs w:val="24"/>
        </w:rPr>
        <w:t>％，為112年度經濟成長之主要貢獻，促使我國經濟維持正成長。經查，</w:t>
      </w:r>
      <w:r w:rsidRPr="004C3C6E">
        <w:rPr>
          <w:rFonts w:ascii="標楷體" w:eastAsia="標楷體" w:hAnsi="標楷體" w:hint="eastAsia"/>
          <w:szCs w:val="24"/>
        </w:rPr>
        <w:t>近10年度</w:t>
      </w:r>
      <w:r w:rsidR="00C2362F" w:rsidRPr="00C2362F">
        <w:rPr>
          <w:rFonts w:ascii="標楷體" w:eastAsia="標楷體" w:hAnsi="標楷體" w:hint="eastAsia"/>
          <w:szCs w:val="24"/>
        </w:rPr>
        <w:t>（</w:t>
      </w:r>
      <w:r w:rsidRPr="004C3C6E">
        <w:rPr>
          <w:rFonts w:ascii="標楷體" w:eastAsia="標楷體" w:hAnsi="標楷體" w:hint="eastAsia"/>
          <w:szCs w:val="24"/>
        </w:rPr>
        <w:t>103至112年度</w:t>
      </w:r>
      <w:r w:rsidR="00A0212B" w:rsidRPr="00A0212B">
        <w:rPr>
          <w:rFonts w:ascii="標楷體" w:eastAsia="標楷體" w:hAnsi="標楷體" w:hint="eastAsia"/>
          <w:szCs w:val="24"/>
        </w:rPr>
        <w:t>）</w:t>
      </w:r>
      <w:r w:rsidRPr="004C3C6E">
        <w:rPr>
          <w:rFonts w:ascii="標楷體" w:eastAsia="標楷體" w:hAnsi="標楷體" w:hint="eastAsia"/>
          <w:szCs w:val="24"/>
        </w:rPr>
        <w:t>我國GDP支出項目分配比</w:t>
      </w:r>
      <w:r w:rsidR="00C2362F" w:rsidRPr="00C2362F">
        <w:rPr>
          <w:rFonts w:ascii="標楷體" w:eastAsia="標楷體" w:hAnsi="標楷體" w:hint="eastAsia"/>
          <w:szCs w:val="24"/>
        </w:rPr>
        <w:t>（</w:t>
      </w:r>
      <w:r w:rsidRPr="004C3C6E">
        <w:rPr>
          <w:rFonts w:ascii="標楷體" w:eastAsia="標楷體" w:hAnsi="標楷體" w:hint="eastAsia"/>
          <w:szCs w:val="24"/>
        </w:rPr>
        <w:t>支出項目當期價格占GDP當期價格比率</w:t>
      </w:r>
      <w:r w:rsidR="00A0212B" w:rsidRPr="00A0212B">
        <w:rPr>
          <w:rFonts w:ascii="標楷體" w:eastAsia="標楷體" w:hAnsi="標楷體" w:hint="eastAsia"/>
          <w:szCs w:val="24"/>
        </w:rPr>
        <w:t>）</w:t>
      </w:r>
      <w:r w:rsidRPr="004C3C6E">
        <w:rPr>
          <w:rFonts w:ascii="標楷體" w:eastAsia="標楷體" w:hAnsi="標楷體" w:hint="eastAsia"/>
          <w:szCs w:val="24"/>
        </w:rPr>
        <w:t>最大者為商品及服務輸出</w:t>
      </w:r>
      <w:r w:rsidR="00C2362F" w:rsidRPr="00C2362F">
        <w:rPr>
          <w:rFonts w:ascii="標楷體" w:eastAsia="標楷體" w:hAnsi="標楷體" w:hint="eastAsia"/>
          <w:szCs w:val="24"/>
        </w:rPr>
        <w:t>（</w:t>
      </w:r>
      <w:r w:rsidRPr="004C3C6E">
        <w:rPr>
          <w:rFonts w:ascii="標楷體" w:eastAsia="標楷體" w:hAnsi="標楷體" w:hint="eastAsia"/>
          <w:szCs w:val="24"/>
        </w:rPr>
        <w:t>約占整體GDP之58.09％至77.25％</w:t>
      </w:r>
      <w:r w:rsidR="00A0212B" w:rsidRPr="00A0212B">
        <w:rPr>
          <w:rFonts w:ascii="標楷體" w:eastAsia="標楷體" w:hAnsi="標楷體" w:hint="eastAsia"/>
          <w:szCs w:val="24"/>
        </w:rPr>
        <w:t>）</w:t>
      </w:r>
      <w:r>
        <w:rPr>
          <w:rFonts w:ascii="標楷體" w:eastAsia="標楷體" w:hAnsi="標楷體" w:hint="eastAsia"/>
          <w:szCs w:val="24"/>
        </w:rPr>
        <w:t>，</w:t>
      </w:r>
      <w:r w:rsidRPr="004C3C6E">
        <w:rPr>
          <w:rFonts w:ascii="標楷體" w:eastAsia="標楷體" w:hAnsi="標楷體" w:hint="eastAsia"/>
          <w:szCs w:val="24"/>
        </w:rPr>
        <w:t>又我國輸出以商品輸出為主，占整體輸出近9成</w:t>
      </w:r>
      <w:r w:rsidRPr="00283642">
        <w:rPr>
          <w:rFonts w:ascii="標楷體" w:eastAsia="標楷體" w:hAnsi="標楷體" w:hint="eastAsia"/>
          <w:szCs w:val="24"/>
        </w:rPr>
        <w:t>，對我國經濟影響重大，並與國內民間投資及就業高連動相關；</w:t>
      </w:r>
      <w:r>
        <w:rPr>
          <w:rFonts w:ascii="標楷體" w:eastAsia="標楷體" w:hAnsi="標楷體" w:hint="eastAsia"/>
          <w:szCs w:val="24"/>
        </w:rPr>
        <w:t>復</w:t>
      </w:r>
      <w:r w:rsidRPr="00163F00">
        <w:rPr>
          <w:rFonts w:ascii="標楷體" w:eastAsia="標楷體" w:hAnsi="標楷體" w:hint="eastAsia"/>
          <w:szCs w:val="24"/>
        </w:rPr>
        <w:t>據財政部統計，我國112年度貨品出口金額較111年度減少9.80％，主要出口貨品中，僅資通與視聽產品因人工智慧商機挹注，維持正成長；出口占比最高之電子零組件受疫後景氣復甦所累計之高基期效應影響，又遇全球電子產業景氣下滑，終端消費疲弱，產業鏈囤積超額庫存去化困難等，出口金額較111年度負成長10.70</w:t>
      </w:r>
      <w:r>
        <w:rPr>
          <w:rFonts w:ascii="標楷體" w:eastAsia="標楷體" w:hAnsi="標楷體" w:hint="eastAsia"/>
          <w:szCs w:val="24"/>
        </w:rPr>
        <w:t>％。另</w:t>
      </w:r>
      <w:r w:rsidRPr="00163F00">
        <w:rPr>
          <w:rFonts w:ascii="標楷體" w:eastAsia="標楷體" w:hAnsi="標楷體" w:hint="eastAsia"/>
          <w:szCs w:val="24"/>
        </w:rPr>
        <w:t>我國主要出口貨品金額占比最高</w:t>
      </w:r>
      <w:r>
        <w:rPr>
          <w:rFonts w:ascii="標楷體" w:eastAsia="標楷體" w:hAnsi="標楷體" w:hint="eastAsia"/>
          <w:szCs w:val="24"/>
        </w:rPr>
        <w:t>者</w:t>
      </w:r>
      <w:r w:rsidRPr="00163F00">
        <w:rPr>
          <w:rFonts w:ascii="標楷體" w:eastAsia="標楷體" w:hAnsi="標楷體" w:hint="eastAsia"/>
          <w:szCs w:val="24"/>
        </w:rPr>
        <w:t>均</w:t>
      </w:r>
      <w:r>
        <w:rPr>
          <w:rFonts w:ascii="標楷體" w:eastAsia="標楷體" w:hAnsi="標楷體" w:hint="eastAsia"/>
          <w:szCs w:val="24"/>
        </w:rPr>
        <w:t>為</w:t>
      </w:r>
      <w:r w:rsidRPr="00163F00">
        <w:rPr>
          <w:rFonts w:ascii="標楷體" w:eastAsia="標楷體" w:hAnsi="標楷體" w:hint="eastAsia"/>
          <w:szCs w:val="24"/>
        </w:rPr>
        <w:t>電子零組件，其占比自103年度之28.23</w:t>
      </w:r>
      <w:r>
        <w:rPr>
          <w:rFonts w:ascii="標楷體" w:eastAsia="標楷體" w:hAnsi="標楷體" w:hint="eastAsia"/>
          <w:szCs w:val="24"/>
        </w:rPr>
        <w:t>％</w:t>
      </w:r>
      <w:r w:rsidRPr="00163F00">
        <w:rPr>
          <w:rFonts w:ascii="標楷體" w:eastAsia="標楷體" w:hAnsi="標楷體" w:hint="eastAsia"/>
          <w:szCs w:val="24"/>
        </w:rPr>
        <w:t>增加至112年度之41.33％，占比次高之資通與視聽產品亦自103年度之9.71％增加至112年度之19.28％，該2類出口貨品112年度占我國出口金額之60.60％</w:t>
      </w:r>
      <w:r>
        <w:rPr>
          <w:rFonts w:ascii="標楷體" w:eastAsia="標楷體" w:hAnsi="標楷體" w:hint="eastAsia"/>
          <w:szCs w:val="24"/>
        </w:rPr>
        <w:t>（</w:t>
      </w:r>
      <w:r w:rsidRPr="006678C5">
        <w:rPr>
          <w:rFonts w:ascii="標楷體" w:eastAsia="標楷體" w:hAnsi="標楷體" w:hint="eastAsia"/>
          <w:szCs w:val="24"/>
        </w:rPr>
        <w:t>表1</w:t>
      </w:r>
      <w:r>
        <w:rPr>
          <w:rFonts w:ascii="標楷體" w:eastAsia="標楷體" w:hAnsi="標楷體" w:hint="eastAsia"/>
          <w:szCs w:val="24"/>
        </w:rPr>
        <w:t>）</w:t>
      </w:r>
      <w:r w:rsidRPr="00163F00">
        <w:rPr>
          <w:rFonts w:ascii="標楷體" w:eastAsia="標楷體" w:hAnsi="標楷體" w:hint="eastAsia"/>
          <w:szCs w:val="24"/>
        </w:rPr>
        <w:t>，集中度為10年來最高；另據財政部113年1月18日發布之財政統計通報</w:t>
      </w:r>
      <w:r>
        <w:rPr>
          <w:rFonts w:ascii="標楷體" w:eastAsia="標楷體" w:hAnsi="標楷體" w:hint="eastAsia"/>
          <w:szCs w:val="24"/>
        </w:rPr>
        <w:t>（</w:t>
      </w:r>
      <w:r w:rsidRPr="00163F00">
        <w:rPr>
          <w:rFonts w:ascii="標楷體" w:eastAsia="標楷體" w:hAnsi="標楷體" w:hint="eastAsia"/>
          <w:szCs w:val="24"/>
        </w:rPr>
        <w:t>第1號</w:t>
      </w:r>
      <w:r>
        <w:rPr>
          <w:rFonts w:ascii="標楷體" w:eastAsia="標楷體" w:hAnsi="標楷體" w:hint="eastAsia"/>
          <w:szCs w:val="24"/>
        </w:rPr>
        <w:t>）</w:t>
      </w:r>
      <w:r w:rsidRPr="00163F00">
        <w:rPr>
          <w:rFonts w:ascii="標楷體" w:eastAsia="標楷體" w:hAnsi="標楷體" w:hint="eastAsia"/>
          <w:szCs w:val="24"/>
        </w:rPr>
        <w:t>，我國出口金額前50名之廠商，包含晶圓代工、IC 設計、封測等電子業者，及石</w:t>
      </w:r>
      <w:r w:rsidRPr="00163F00">
        <w:rPr>
          <w:rFonts w:ascii="標楷體" w:eastAsia="標楷體" w:hAnsi="標楷體" w:hint="eastAsia"/>
          <w:szCs w:val="24"/>
        </w:rPr>
        <w:lastRenderedPageBreak/>
        <w:t>化、鋼鐵、筆電、面板等產業大廠等，其占整體出口金額之比率由107年度之38.9％上升至112年度之51.5</w:t>
      </w:r>
      <w:r>
        <w:rPr>
          <w:rFonts w:ascii="標楷體" w:eastAsia="標楷體" w:hAnsi="標楷體" w:hint="eastAsia"/>
          <w:szCs w:val="24"/>
        </w:rPr>
        <w:t>％，出口廠商之集中度亦普遍提高。</w:t>
      </w:r>
      <w:r w:rsidRPr="00163F00">
        <w:rPr>
          <w:rFonts w:ascii="標楷體" w:eastAsia="標楷體" w:hAnsi="標楷體" w:hint="eastAsia"/>
          <w:szCs w:val="24"/>
        </w:rPr>
        <w:t>我國出口長期以來更趨集中電子零組件等貨品及有關產業鏈廠商，致出口表現更易受全球電子產品及科技應用產業景氣枯榮影響。復查，因應全球終端市場需求疲軟抑低我國電子零組件出口，國內供應鏈廠商減產以去化庫存，企業投資擴產亦趨審慎</w:t>
      </w:r>
      <w:r>
        <w:rPr>
          <w:rFonts w:ascii="標楷體" w:eastAsia="標楷體" w:hAnsi="標楷體" w:hint="eastAsia"/>
          <w:szCs w:val="24"/>
        </w:rPr>
        <w:t>，</w:t>
      </w:r>
      <w:r w:rsidRPr="00163F00">
        <w:rPr>
          <w:rFonts w:ascii="標楷體" w:eastAsia="標楷體" w:hAnsi="標楷體" w:hint="eastAsia"/>
          <w:szCs w:val="24"/>
        </w:rPr>
        <w:t>據經濟部統計，112年度</w:t>
      </w:r>
      <w:r w:rsidRPr="00FE4540">
        <w:rPr>
          <w:rFonts w:ascii="標楷體" w:eastAsia="標楷體" w:hAnsi="標楷體" w:hint="eastAsia"/>
          <w:szCs w:val="24"/>
        </w:rPr>
        <w:t>工業生產指數86.10，較111年度減少12.30％</w:t>
      </w:r>
      <w:r w:rsidRPr="00163F00">
        <w:rPr>
          <w:rFonts w:ascii="標楷體" w:eastAsia="標楷體" w:hAnsi="標楷體" w:hint="eastAsia"/>
          <w:szCs w:val="24"/>
        </w:rPr>
        <w:t>，製造業產值及固定資產增購金額亦分別較111年度減少11.27％及2</w:t>
      </w:r>
      <w:r w:rsidR="00676CF4">
        <w:rPr>
          <w:rFonts w:ascii="標楷體" w:eastAsia="標楷體" w:hAnsi="標楷體" w:hint="eastAsia"/>
          <w:szCs w:val="24"/>
        </w:rPr>
        <w:t>4.60</w:t>
      </w:r>
      <w:r w:rsidRPr="00163F00">
        <w:rPr>
          <w:rFonts w:ascii="標楷體" w:eastAsia="標楷體" w:hAnsi="標楷體" w:hint="eastAsia"/>
          <w:szCs w:val="24"/>
        </w:rPr>
        <w:t>％。國內製造業廠商減產，亦降低其人力需求及薪資調升意願，依據</w:t>
      </w:r>
      <w:r>
        <w:rPr>
          <w:rFonts w:ascii="標楷體" w:eastAsia="標楷體" w:hAnsi="標楷體" w:hint="eastAsia"/>
          <w:szCs w:val="24"/>
        </w:rPr>
        <w:t>行政院</w:t>
      </w:r>
      <w:r w:rsidRPr="00163F00">
        <w:rPr>
          <w:rFonts w:ascii="標楷體" w:eastAsia="標楷體" w:hAnsi="標楷體" w:hint="eastAsia"/>
          <w:szCs w:val="24"/>
        </w:rPr>
        <w:t>主計總處及勞動部之統計，112年度工業及服務業整體受僱員工人數較111年度增加之情形下，製造業受僱員工人</w:t>
      </w:r>
      <w:r>
        <w:rPr>
          <w:rFonts w:ascii="標楷體" w:eastAsia="標楷體" w:hAnsi="標楷體" w:hint="eastAsia"/>
          <w:szCs w:val="24"/>
        </w:rPr>
        <w:t>數</w:t>
      </w:r>
      <w:r w:rsidRPr="00163F00">
        <w:rPr>
          <w:rFonts w:ascii="標楷體" w:eastAsia="標楷體" w:hAnsi="標楷體" w:hint="eastAsia"/>
          <w:szCs w:val="24"/>
        </w:rPr>
        <w:t>減少近3萬人，每人每月實質總薪資平均59,229元，較111年度減少3.71％，為106年度以來首次負成長；製造業勞雇雙方協商減少工時</w:t>
      </w:r>
      <w:r>
        <w:rPr>
          <w:rFonts w:ascii="標楷體" w:eastAsia="標楷體" w:hAnsi="標楷體" w:hint="eastAsia"/>
          <w:szCs w:val="24"/>
        </w:rPr>
        <w:t>（</w:t>
      </w:r>
      <w:r w:rsidRPr="00163F00">
        <w:rPr>
          <w:rFonts w:ascii="標楷體" w:eastAsia="標楷體" w:hAnsi="標楷體" w:hint="eastAsia"/>
          <w:szCs w:val="24"/>
        </w:rPr>
        <w:t>無薪假</w:t>
      </w:r>
      <w:r>
        <w:rPr>
          <w:rFonts w:ascii="標楷體" w:eastAsia="標楷體" w:hAnsi="標楷體" w:hint="eastAsia"/>
          <w:szCs w:val="24"/>
        </w:rPr>
        <w:t>）</w:t>
      </w:r>
      <w:r w:rsidRPr="00163F00">
        <w:rPr>
          <w:rFonts w:ascii="標楷體" w:eastAsia="標楷體" w:hAnsi="標楷體" w:hint="eastAsia"/>
          <w:szCs w:val="24"/>
        </w:rPr>
        <w:t>實施人數自109年間疫情高峰之1萬餘人，逐漸下降至110、111年第3季止之數百人至</w:t>
      </w:r>
      <w:r>
        <w:rPr>
          <w:rFonts w:ascii="標楷體" w:eastAsia="標楷體" w:hAnsi="標楷體" w:hint="eastAsia"/>
          <w:szCs w:val="24"/>
        </w:rPr>
        <w:t>3</w:t>
      </w:r>
      <w:r w:rsidRPr="00163F00">
        <w:rPr>
          <w:rFonts w:ascii="標楷體" w:eastAsia="標楷體" w:hAnsi="標楷體" w:hint="eastAsia"/>
          <w:szCs w:val="24"/>
        </w:rPr>
        <w:t>千餘人後，自111年第4季拉升，112年全年各月均維持在5千餘人至1</w:t>
      </w:r>
      <w:r>
        <w:rPr>
          <w:rFonts w:ascii="標楷體" w:eastAsia="標楷體" w:hAnsi="標楷體" w:hint="eastAsia"/>
          <w:szCs w:val="24"/>
        </w:rPr>
        <w:t>萬餘人之高檔等，</w:t>
      </w:r>
      <w:r w:rsidRPr="00163F00">
        <w:rPr>
          <w:rFonts w:ascii="標楷體" w:eastAsia="標楷體" w:hAnsi="標楷體" w:hint="eastAsia"/>
          <w:szCs w:val="24"/>
        </w:rPr>
        <w:t>顯</w:t>
      </w:r>
      <w:r>
        <w:rPr>
          <w:rFonts w:ascii="標楷體" w:eastAsia="標楷體" w:hAnsi="標楷體" w:hint="eastAsia"/>
          <w:szCs w:val="24"/>
        </w:rPr>
        <w:t>示</w:t>
      </w:r>
      <w:r w:rsidRPr="00163F00">
        <w:rPr>
          <w:rFonts w:ascii="標楷體" w:eastAsia="標楷體" w:hAnsi="標楷體" w:hint="eastAsia"/>
          <w:szCs w:val="24"/>
        </w:rPr>
        <w:t>出口不振已連帶抑制國內經濟生產動能，並衝擊製造業勞動市場。按據</w:t>
      </w:r>
      <w:r>
        <w:rPr>
          <w:rFonts w:ascii="標楷體" w:eastAsia="標楷體" w:hAnsi="標楷體" w:hint="eastAsia"/>
          <w:szCs w:val="24"/>
        </w:rPr>
        <w:t>行政院</w:t>
      </w:r>
      <w:r w:rsidRPr="00163F00">
        <w:rPr>
          <w:rFonts w:ascii="標楷體" w:eastAsia="標楷體" w:hAnsi="標楷體" w:hint="eastAsia"/>
          <w:szCs w:val="24"/>
        </w:rPr>
        <w:t>主計總處113年</w:t>
      </w:r>
      <w:r>
        <w:rPr>
          <w:rFonts w:ascii="標楷體" w:eastAsia="標楷體" w:hAnsi="標楷體" w:hint="eastAsia"/>
          <w:szCs w:val="24"/>
        </w:rPr>
        <w:t>5</w:t>
      </w:r>
      <w:r w:rsidRPr="00163F00">
        <w:rPr>
          <w:rFonts w:ascii="標楷體" w:eastAsia="標楷體" w:hAnsi="標楷體" w:hint="eastAsia"/>
          <w:szCs w:val="24"/>
        </w:rPr>
        <w:t>月公布113年國內經濟預測，隨全球終端商品消費需求逐漸回溫，人工智慧、高效能運算等新興科技應用商機持續擴展，我國出口動能可望回升，預測113年度輸出實質成長</w:t>
      </w:r>
      <w:r>
        <w:rPr>
          <w:rFonts w:ascii="標楷體" w:eastAsia="標楷體" w:hAnsi="標楷體" w:hint="eastAsia"/>
          <w:szCs w:val="24"/>
        </w:rPr>
        <w:t>8.44</w:t>
      </w:r>
      <w:r w:rsidRPr="00163F00">
        <w:rPr>
          <w:rFonts w:ascii="標楷體" w:eastAsia="標楷體" w:hAnsi="標楷體" w:hint="eastAsia"/>
          <w:szCs w:val="24"/>
        </w:rPr>
        <w:t>％，整體經濟成長</w:t>
      </w:r>
      <w:r>
        <w:rPr>
          <w:rFonts w:ascii="標楷體" w:eastAsia="標楷體" w:hAnsi="標楷體" w:hint="eastAsia"/>
          <w:szCs w:val="24"/>
        </w:rPr>
        <w:t>3.94</w:t>
      </w:r>
      <w:r w:rsidRPr="00163F00">
        <w:rPr>
          <w:rFonts w:ascii="標楷體" w:eastAsia="標楷體" w:hAnsi="標楷體" w:hint="eastAsia"/>
          <w:szCs w:val="24"/>
        </w:rPr>
        <w:t>％，</w:t>
      </w:r>
      <w:r w:rsidRPr="00197EAF">
        <w:rPr>
          <w:rFonts w:ascii="標楷體" w:eastAsia="標楷體" w:hAnsi="標楷體" w:hint="eastAsia"/>
          <w:szCs w:val="24"/>
        </w:rPr>
        <w:t>惟仍存有新興科技應用發展進程、主要國家利率政策走向、國際地緣政治衝突等不確定風險因素</w:t>
      </w:r>
      <w:r>
        <w:rPr>
          <w:rFonts w:ascii="標楷體" w:eastAsia="標楷體" w:hAnsi="標楷體" w:hint="eastAsia"/>
          <w:szCs w:val="24"/>
        </w:rPr>
        <w:t>影響國內外經濟情勢</w:t>
      </w:r>
      <w:r w:rsidRPr="00163F00">
        <w:rPr>
          <w:rFonts w:ascii="標楷體" w:eastAsia="標楷體" w:hAnsi="標楷體" w:hint="eastAsia"/>
          <w:szCs w:val="24"/>
        </w:rPr>
        <w:t>。鑑於我國出口具集中特定貨品及相關產業廠商之特性，出口表現易受全球電子產品及科技應用產業景氣影響，並高度連動國內</w:t>
      </w:r>
      <w:r>
        <w:rPr>
          <w:rFonts w:ascii="標楷體" w:eastAsia="標楷體" w:hAnsi="標楷體" w:hint="eastAsia"/>
          <w:szCs w:val="24"/>
        </w:rPr>
        <w:t>民間投資意願、生產動能及相關勞動市場，對我國經濟成長影響深遠，經函請行政院</w:t>
      </w:r>
      <w:r w:rsidRPr="00163F00">
        <w:rPr>
          <w:rFonts w:ascii="標楷體" w:eastAsia="標楷體" w:hAnsi="標楷體" w:hint="eastAsia"/>
          <w:szCs w:val="24"/>
        </w:rPr>
        <w:t>督促權責機關注意國際經貿及需求市場發展趨勢對我國出口及國內產業之影響，持續推動產業升級拔尖、強化科技創新，提升產業競爭力，並協助拓展國際市場，爭取全球商機，擴大出口動能，促進民間企業投資及生產，維繫我國經濟穩健成長。</w:t>
      </w:r>
      <w:r w:rsidR="006304F0" w:rsidRPr="004D7C92">
        <w:rPr>
          <w:rFonts w:ascii="標楷體" w:eastAsia="標楷體" w:hAnsi="標楷體" w:hint="eastAsia"/>
          <w:szCs w:val="24"/>
        </w:rPr>
        <w:t>據復：</w:t>
      </w:r>
      <w:r w:rsidR="006304F0" w:rsidRPr="004D7C92">
        <w:rPr>
          <w:rFonts w:ascii="標楷體" w:eastAsia="標楷體" w:hAnsi="標楷體"/>
          <w:szCs w:val="24"/>
        </w:rPr>
        <w:t>113年4月IMF預測113年世界貿易量將較112年成長，加以我國半導體及資通訊產業近年積極擴充國內產能，可望適時帶動出口成長，並支撐投資；將持續注意國際經貿發展趨勢對出口及國內產業之影響，據以滾動調整我國科技政策之策略與目標，以協助高科技及傳統產業升級創新。</w:t>
      </w:r>
    </w:p>
    <w:p w14:paraId="26EF8DC4" w14:textId="65EEAADC" w:rsidR="0031215D" w:rsidRPr="0031215D" w:rsidRDefault="0031215D" w:rsidP="00E31547">
      <w:pPr>
        <w:kinsoku w:val="0"/>
        <w:overflowPunct w:val="0"/>
        <w:spacing w:beforeLines="20" w:before="72" w:afterLines="20" w:after="72" w:line="440" w:lineRule="exact"/>
        <w:ind w:firstLineChars="200" w:firstLine="561"/>
        <w:jc w:val="both"/>
        <w:outlineLvl w:val="1"/>
        <w:rPr>
          <w:rFonts w:ascii="標楷體" w:eastAsia="標楷體" w:hAnsi="標楷體"/>
          <w:b/>
          <w:bCs/>
          <w:snapToGrid w:val="0"/>
          <w:kern w:val="0"/>
          <w:sz w:val="28"/>
          <w:szCs w:val="32"/>
        </w:rPr>
      </w:pPr>
      <w:r>
        <w:rPr>
          <w:rFonts w:ascii="標楷體" w:eastAsia="標楷體" w:hAnsi="標楷體" w:hint="eastAsia"/>
          <w:b/>
          <w:bCs/>
          <w:snapToGrid w:val="0"/>
          <w:kern w:val="0"/>
          <w:sz w:val="28"/>
          <w:szCs w:val="32"/>
        </w:rPr>
        <w:t>（二）</w:t>
      </w:r>
      <w:r w:rsidRPr="0031215D">
        <w:rPr>
          <w:rFonts w:ascii="標楷體" w:eastAsia="標楷體" w:hAnsi="Arial" w:hint="eastAsia"/>
          <w:b/>
          <w:bCs/>
          <w:snapToGrid w:val="0"/>
          <w:kern w:val="0"/>
          <w:szCs w:val="28"/>
        </w:rPr>
        <w:t xml:space="preserve">　</w:t>
      </w:r>
      <w:r w:rsidRPr="0031215D">
        <w:rPr>
          <w:rFonts w:ascii="標楷體" w:eastAsia="標楷體" w:hAnsi="標楷體" w:hint="eastAsia"/>
          <w:b/>
          <w:bCs/>
          <w:snapToGrid w:val="0"/>
          <w:kern w:val="0"/>
          <w:sz w:val="28"/>
          <w:szCs w:val="32"/>
        </w:rPr>
        <w:t>我國近年來所得分配不均程度及所得差距倍數均微幅擴大，允宜研議重新恢復改善所得分配專案小組運作之可行性，俾強化協調及督導各部會落實執行改善所得分配相關計畫；又為提高弱勢族群之社會階層流動機會，突破貧窮世襲窘境，保障弱勢族群不受政策產生負面影響，允宜參考先進國家經驗，研議建立政策對弱勢族群之脆弱度或權益影響評估機制，並參照公正轉型作法，提出具體因應對策，以利政策推動及保障受影響對象權益。</w:t>
      </w:r>
    </w:p>
    <w:p w14:paraId="4F1E62C2" w14:textId="15790F91" w:rsidR="0031215D" w:rsidRPr="0031215D" w:rsidRDefault="0031215D" w:rsidP="0031215D">
      <w:pPr>
        <w:overflowPunct w:val="0"/>
        <w:spacing w:line="410" w:lineRule="exact"/>
        <w:ind w:firstLineChars="200" w:firstLine="480"/>
        <w:jc w:val="both"/>
        <w:textAlignment w:val="baseline"/>
        <w:rPr>
          <w:rFonts w:ascii="標楷體" w:eastAsia="標楷體" w:hAnsi="標楷體"/>
          <w:snapToGrid w:val="0"/>
          <w:kern w:val="0"/>
          <w:szCs w:val="24"/>
        </w:rPr>
      </w:pPr>
      <w:r w:rsidRPr="0031215D">
        <w:rPr>
          <w:rFonts w:ascii="標楷體" w:eastAsia="標楷體" w:hAnsi="標楷體" w:hint="eastAsia"/>
          <w:snapToGrid w:val="0"/>
          <w:kern w:val="0"/>
          <w:szCs w:val="24"/>
        </w:rPr>
        <w:t>世界經濟論壇（World Economic Forum, WEF）2024年1月發布之</w:t>
      </w:r>
      <w:r w:rsidRPr="002B5274">
        <w:rPr>
          <w:rFonts w:ascii="標楷體" w:eastAsia="標楷體" w:hAnsi="標楷體" w:hint="eastAsia"/>
          <w:snapToGrid w:val="0"/>
          <w:kern w:val="0"/>
          <w:szCs w:val="24"/>
        </w:rPr>
        <w:t>「2024年全球風險報告」</w:t>
      </w:r>
      <w:r w:rsidRPr="0031215D">
        <w:rPr>
          <w:rFonts w:ascii="標楷體" w:eastAsia="標楷體" w:hAnsi="標楷體" w:hint="eastAsia"/>
          <w:snapToGrid w:val="0"/>
          <w:kern w:val="0"/>
          <w:szCs w:val="24"/>
        </w:rPr>
        <w:lastRenderedPageBreak/>
        <w:t>（The Global Risks Report 2024）指出，未來因知識、技術、收入及財富更加集中，加劇貧富兩極化，所得差距擴大成為各國政府面臨之一大挑戰。近年來，我國無論是吉尼係數或五等分位所得差距倍數均微幅擴大，所得分配不均程度未見明顯改善。近期所得分配議題廣受各界關注，</w:t>
      </w:r>
      <w:r w:rsidR="00EC0508" w:rsidRPr="00EC0508">
        <w:rPr>
          <w:rFonts w:ascii="標楷體" w:eastAsia="標楷體" w:hAnsi="標楷體" w:hint="eastAsia"/>
          <w:snapToGrid w:val="0"/>
          <w:kern w:val="0"/>
          <w:szCs w:val="24"/>
        </w:rPr>
        <w:t>立法院立法委員高度重視</w:t>
      </w:r>
      <w:r w:rsidRPr="0031215D">
        <w:rPr>
          <w:rFonts w:ascii="標楷體" w:eastAsia="標楷體" w:hAnsi="標楷體" w:hint="eastAsia"/>
          <w:snapToGrid w:val="0"/>
          <w:kern w:val="0"/>
          <w:szCs w:val="24"/>
        </w:rPr>
        <w:t>，或提出質詢，或於財政委員會召開專題報告會議，邀請相關部會進行報告；國內媒體輿論針對貧富不均、所得分配不公議題</w:t>
      </w:r>
      <w:r w:rsidR="00A2675B">
        <w:rPr>
          <w:rFonts w:ascii="標楷體" w:eastAsia="標楷體" w:hAnsi="標楷體" w:hint="eastAsia"/>
          <w:snapToGrid w:val="0"/>
          <w:kern w:val="0"/>
          <w:szCs w:val="24"/>
        </w:rPr>
        <w:t>亦時有評論與報導。經查政府在推動改善所得分配方面，核有下列事項</w:t>
      </w:r>
      <w:r w:rsidR="00345B25" w:rsidRPr="0031215D">
        <w:rPr>
          <w:rFonts w:ascii="Calibri" w:hAnsi="Calibri"/>
          <w:bCs/>
          <w:noProof/>
          <w:szCs w:val="22"/>
        </w:rPr>
        <mc:AlternateContent>
          <mc:Choice Requires="wps">
            <w:drawing>
              <wp:anchor distT="45720" distB="45720" distL="114300" distR="114300" simplePos="0" relativeHeight="251674624" behindDoc="0" locked="0" layoutInCell="1" allowOverlap="1" wp14:anchorId="77910DC7" wp14:editId="75EF7882">
                <wp:simplePos x="0" y="0"/>
                <wp:positionH relativeFrom="page">
                  <wp:posOffset>2520315</wp:posOffset>
                </wp:positionH>
                <wp:positionV relativeFrom="page">
                  <wp:posOffset>3960495</wp:posOffset>
                </wp:positionV>
                <wp:extent cx="4420800" cy="4784400"/>
                <wp:effectExtent l="0" t="0" r="0" b="0"/>
                <wp:wrapSquare wrapText="bothSides"/>
                <wp:docPr id="458" name="文字方塊 4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0800" cy="4784400"/>
                        </a:xfrm>
                        <a:prstGeom prst="rect">
                          <a:avLst/>
                        </a:prstGeom>
                        <a:noFill/>
                        <a:ln w="9525">
                          <a:noFill/>
                          <a:miter lim="800000"/>
                          <a:headEnd/>
                          <a:tailEnd/>
                        </a:ln>
                      </wps:spPr>
                      <wps:txbx>
                        <w:txbxContent>
                          <w:p w14:paraId="54101815" w14:textId="32268EF5" w:rsidR="00A0212B" w:rsidRPr="00983A06" w:rsidRDefault="00A0212B" w:rsidP="0031215D">
                            <w:pPr>
                              <w:widowControl/>
                              <w:adjustRightInd w:val="0"/>
                              <w:snapToGrid w:val="0"/>
                              <w:ind w:leftChars="99" w:left="867" w:hangingChars="262" w:hanging="629"/>
                              <w:jc w:val="center"/>
                              <w:rPr>
                                <w:rFonts w:ascii="標楷體" w:eastAsia="標楷體" w:hAnsi="標楷體" w:cstheme="minorBidi"/>
                                <w:b/>
                                <w:szCs w:val="32"/>
                              </w:rPr>
                            </w:pPr>
                            <w:r w:rsidRPr="00983A06">
                              <w:rPr>
                                <w:rFonts w:ascii="標楷體" w:eastAsia="標楷體" w:hAnsi="標楷體" w:cstheme="minorBidi"/>
                                <w:b/>
                                <w:szCs w:val="32"/>
                              </w:rPr>
                              <w:t>表</w:t>
                            </w:r>
                            <w:r>
                              <w:rPr>
                                <w:rFonts w:ascii="標楷體" w:eastAsia="標楷體" w:hAnsi="標楷體" w:cstheme="minorBidi"/>
                                <w:b/>
                                <w:szCs w:val="32"/>
                              </w:rPr>
                              <w:t>2</w:t>
                            </w:r>
                            <w:r>
                              <w:rPr>
                                <w:rFonts w:ascii="標楷體" w:eastAsia="標楷體" w:hAnsi="標楷體" w:cstheme="minorBidi" w:hint="eastAsia"/>
                                <w:b/>
                                <w:szCs w:val="32"/>
                              </w:rPr>
                              <w:t xml:space="preserve">　</w:t>
                            </w:r>
                            <w:r w:rsidRPr="00994972">
                              <w:rPr>
                                <w:rFonts w:ascii="標楷體" w:eastAsia="標楷體" w:hAnsi="標楷體" w:cstheme="minorBidi" w:hint="eastAsia"/>
                                <w:b/>
                                <w:szCs w:val="32"/>
                              </w:rPr>
                              <w:t>近年國內生產毛額及經濟成長率</w:t>
                            </w:r>
                          </w:p>
                          <w:p w14:paraId="0878C628" w14:textId="07E2B39E" w:rsidR="00A0212B" w:rsidRPr="00983A06" w:rsidRDefault="00A0212B" w:rsidP="0031215D">
                            <w:pPr>
                              <w:adjustRightInd w:val="0"/>
                              <w:snapToGrid w:val="0"/>
                              <w:jc w:val="right"/>
                              <w:rPr>
                                <w:rFonts w:ascii="標楷體" w:eastAsia="標楷體" w:hAnsi="標楷體" w:cstheme="minorBidi"/>
                                <w:sz w:val="20"/>
                                <w:szCs w:val="24"/>
                              </w:rPr>
                            </w:pPr>
                            <w:r w:rsidRPr="00994972">
                              <w:rPr>
                                <w:rFonts w:ascii="標楷體" w:eastAsia="標楷體" w:hAnsi="標楷體" w:cstheme="minorBidi" w:hint="eastAsia"/>
                                <w:sz w:val="20"/>
                                <w:szCs w:val="24"/>
                              </w:rPr>
                              <w:t>單位</w:t>
                            </w:r>
                            <w:r>
                              <w:rPr>
                                <w:rFonts w:ascii="新細明體" w:hAnsi="新細明體" w:cstheme="minorBidi" w:hint="eastAsia"/>
                                <w:sz w:val="20"/>
                                <w:szCs w:val="24"/>
                              </w:rPr>
                              <w:t>：</w:t>
                            </w:r>
                            <w:r w:rsidRPr="00E31547">
                              <w:rPr>
                                <w:rFonts w:ascii="標楷體" w:eastAsia="標楷體" w:hAnsi="標楷體" w:cstheme="minorBidi" w:hint="eastAsia"/>
                                <w:sz w:val="20"/>
                                <w:szCs w:val="24"/>
                              </w:rPr>
                              <w:t>新臺幣</w:t>
                            </w:r>
                            <w:r w:rsidRPr="00994972">
                              <w:rPr>
                                <w:rFonts w:ascii="標楷體" w:eastAsia="標楷體" w:hAnsi="標楷體" w:cstheme="minorBidi" w:hint="eastAsia"/>
                                <w:sz w:val="20"/>
                                <w:szCs w:val="24"/>
                              </w:rPr>
                              <w:t>百萬元、％</w:t>
                            </w:r>
                          </w:p>
                          <w:tbl>
                            <w:tblPr>
                              <w:tblStyle w:val="350"/>
                              <w:tblW w:w="6658" w:type="dxa"/>
                              <w:jc w:val="center"/>
                              <w:tblLook w:val="04A0" w:firstRow="1" w:lastRow="0" w:firstColumn="1" w:lastColumn="0" w:noHBand="0" w:noVBand="1"/>
                            </w:tblPr>
                            <w:tblGrid>
                              <w:gridCol w:w="816"/>
                              <w:gridCol w:w="1948"/>
                              <w:gridCol w:w="928"/>
                              <w:gridCol w:w="1586"/>
                              <w:gridCol w:w="1380"/>
                            </w:tblGrid>
                            <w:tr w:rsidR="00A0212B" w:rsidRPr="00994972" w14:paraId="1AD843FE" w14:textId="77777777" w:rsidTr="00E31547">
                              <w:trPr>
                                <w:trHeight w:val="353"/>
                                <w:jc w:val="center"/>
                              </w:trPr>
                              <w:tc>
                                <w:tcPr>
                                  <w:tcW w:w="816" w:type="dxa"/>
                                  <w:vMerge w:val="restart"/>
                                  <w:vAlign w:val="center"/>
                                </w:tcPr>
                                <w:p w14:paraId="1C56AEEC" w14:textId="77777777" w:rsidR="00A0212B" w:rsidRPr="00994972" w:rsidRDefault="00A0212B" w:rsidP="00037584">
                                  <w:pPr>
                                    <w:spacing w:line="320" w:lineRule="exact"/>
                                    <w:jc w:val="center"/>
                                    <w:rPr>
                                      <w:rFonts w:ascii="標楷體" w:eastAsia="標楷體" w:hAnsi="標楷體"/>
                                      <w:b/>
                                      <w:sz w:val="20"/>
                                      <w:szCs w:val="20"/>
                                    </w:rPr>
                                  </w:pPr>
                                  <w:r w:rsidRPr="00994972">
                                    <w:rPr>
                                      <w:rFonts w:ascii="標楷體" w:eastAsia="標楷體" w:hAnsi="標楷體" w:hint="eastAsia"/>
                                      <w:sz w:val="20"/>
                                      <w:szCs w:val="20"/>
                                    </w:rPr>
                                    <w:t>年</w:t>
                                  </w:r>
                                  <w:r>
                                    <w:rPr>
                                      <w:rFonts w:ascii="標楷體" w:eastAsia="標楷體" w:hAnsi="標楷體" w:hint="eastAsia"/>
                                      <w:sz w:val="20"/>
                                      <w:szCs w:val="20"/>
                                    </w:rPr>
                                    <w:t>別</w:t>
                                  </w:r>
                                </w:p>
                              </w:tc>
                              <w:tc>
                                <w:tcPr>
                                  <w:tcW w:w="2876" w:type="dxa"/>
                                  <w:gridSpan w:val="2"/>
                                  <w:tcBorders>
                                    <w:bottom w:val="nil"/>
                                  </w:tcBorders>
                                  <w:vAlign w:val="center"/>
                                </w:tcPr>
                                <w:p w14:paraId="448144AA" w14:textId="77777777" w:rsidR="00A0212B" w:rsidRPr="00994972" w:rsidRDefault="00A0212B" w:rsidP="00037584">
                                  <w:pPr>
                                    <w:spacing w:line="320" w:lineRule="exact"/>
                                    <w:rPr>
                                      <w:rFonts w:ascii="標楷體" w:eastAsia="標楷體" w:hAnsi="標楷體"/>
                                      <w:b/>
                                      <w:sz w:val="20"/>
                                      <w:szCs w:val="20"/>
                                    </w:rPr>
                                  </w:pPr>
                                  <w:r w:rsidRPr="00994972">
                                    <w:rPr>
                                      <w:rFonts w:ascii="標楷體" w:eastAsia="標楷體" w:hAnsi="標楷體" w:hint="eastAsia"/>
                                      <w:kern w:val="0"/>
                                      <w:sz w:val="20"/>
                                      <w:szCs w:val="20"/>
                                    </w:rPr>
                                    <w:t>名目國內生產毛額</w:t>
                                  </w:r>
                                </w:p>
                              </w:tc>
                              <w:tc>
                                <w:tcPr>
                                  <w:tcW w:w="2966" w:type="dxa"/>
                                  <w:gridSpan w:val="2"/>
                                  <w:tcBorders>
                                    <w:bottom w:val="nil"/>
                                  </w:tcBorders>
                                  <w:vAlign w:val="center"/>
                                </w:tcPr>
                                <w:p w14:paraId="2E33F8B0" w14:textId="77777777" w:rsidR="00A0212B" w:rsidRPr="005A33D2" w:rsidRDefault="00A0212B" w:rsidP="00037584">
                                  <w:pPr>
                                    <w:pBdr>
                                      <w:right w:val="single" w:sz="4" w:space="4" w:color="auto"/>
                                    </w:pBdr>
                                    <w:spacing w:line="320" w:lineRule="exact"/>
                                    <w:ind w:leftChars="-20" w:left="-48"/>
                                    <w:rPr>
                                      <w:rFonts w:ascii="標楷體" w:eastAsia="標楷體" w:hAnsi="標楷體"/>
                                      <w:b/>
                                      <w:spacing w:val="-6"/>
                                      <w:sz w:val="20"/>
                                      <w:szCs w:val="20"/>
                                    </w:rPr>
                                  </w:pPr>
                                  <w:r w:rsidRPr="005A33D2">
                                    <w:rPr>
                                      <w:rFonts w:ascii="標楷體" w:eastAsia="標楷體" w:hAnsi="標楷體" w:hint="eastAsia"/>
                                      <w:spacing w:val="-6"/>
                                      <w:kern w:val="0"/>
                                      <w:sz w:val="20"/>
                                      <w:szCs w:val="20"/>
                                    </w:rPr>
                                    <w:t>實質國內生產毛額</w:t>
                                  </w:r>
                                </w:p>
                              </w:tc>
                            </w:tr>
                            <w:tr w:rsidR="00A0212B" w:rsidRPr="00994972" w14:paraId="2A29E877" w14:textId="77777777" w:rsidTr="00E31547">
                              <w:trPr>
                                <w:trHeight w:val="353"/>
                                <w:jc w:val="center"/>
                              </w:trPr>
                              <w:tc>
                                <w:tcPr>
                                  <w:tcW w:w="816" w:type="dxa"/>
                                  <w:vMerge/>
                                  <w:vAlign w:val="center"/>
                                </w:tcPr>
                                <w:p w14:paraId="75B528C2" w14:textId="77777777" w:rsidR="00A0212B" w:rsidRPr="00994972" w:rsidRDefault="00A0212B" w:rsidP="00037584">
                                  <w:pPr>
                                    <w:spacing w:line="320" w:lineRule="exact"/>
                                    <w:jc w:val="center"/>
                                    <w:rPr>
                                      <w:rFonts w:ascii="標楷體" w:eastAsia="標楷體" w:hAnsi="標楷體"/>
                                      <w:b/>
                                      <w:sz w:val="20"/>
                                      <w:szCs w:val="20"/>
                                    </w:rPr>
                                  </w:pPr>
                                </w:p>
                              </w:tc>
                              <w:tc>
                                <w:tcPr>
                                  <w:tcW w:w="1948" w:type="dxa"/>
                                  <w:tcBorders>
                                    <w:top w:val="nil"/>
                                  </w:tcBorders>
                                  <w:vAlign w:val="center"/>
                                </w:tcPr>
                                <w:p w14:paraId="41E9913D" w14:textId="4DA18D60" w:rsidR="00A0212B" w:rsidRPr="00994972" w:rsidRDefault="00A0212B" w:rsidP="00037584">
                                  <w:pPr>
                                    <w:spacing w:line="320" w:lineRule="exact"/>
                                    <w:jc w:val="center"/>
                                    <w:rPr>
                                      <w:rFonts w:ascii="標楷體" w:eastAsia="標楷體" w:hAnsi="標楷體"/>
                                      <w:kern w:val="0"/>
                                      <w:sz w:val="20"/>
                                      <w:szCs w:val="20"/>
                                    </w:rPr>
                                  </w:pPr>
                                  <w:r w:rsidRPr="00C2362F">
                                    <w:rPr>
                                      <w:rFonts w:ascii="標楷體" w:eastAsia="標楷體" w:hAnsi="標楷體" w:hint="eastAsia"/>
                                      <w:kern w:val="0"/>
                                      <w:sz w:val="20"/>
                                      <w:szCs w:val="20"/>
                                    </w:rPr>
                                    <w:t>（</w:t>
                                  </w:r>
                                  <w:r w:rsidRPr="00994972">
                                    <w:rPr>
                                      <w:rFonts w:ascii="標楷體" w:eastAsia="標楷體" w:hAnsi="標楷體" w:hint="eastAsia"/>
                                      <w:kern w:val="0"/>
                                      <w:sz w:val="20"/>
                                      <w:szCs w:val="20"/>
                                    </w:rPr>
                                    <w:t>當期價格</w:t>
                                  </w:r>
                                  <w:r w:rsidR="006C41C5" w:rsidRPr="006C41C5">
                                    <w:rPr>
                                      <w:rFonts w:ascii="標楷體" w:eastAsia="標楷體" w:hAnsi="標楷體" w:hint="eastAsia"/>
                                      <w:kern w:val="0"/>
                                      <w:sz w:val="20"/>
                                      <w:szCs w:val="20"/>
                                    </w:rPr>
                                    <w:t>）</w:t>
                                  </w:r>
                                </w:p>
                              </w:tc>
                              <w:tc>
                                <w:tcPr>
                                  <w:tcW w:w="928" w:type="dxa"/>
                                  <w:tcBorders>
                                    <w:top w:val="single" w:sz="4" w:space="0" w:color="auto"/>
                                  </w:tcBorders>
                                  <w:vAlign w:val="center"/>
                                </w:tcPr>
                                <w:p w14:paraId="3875A741" w14:textId="77777777" w:rsidR="00A0212B" w:rsidRPr="00994972" w:rsidRDefault="00A0212B" w:rsidP="00037584">
                                  <w:pPr>
                                    <w:spacing w:line="320" w:lineRule="exact"/>
                                    <w:jc w:val="center"/>
                                    <w:rPr>
                                      <w:rFonts w:ascii="標楷體" w:eastAsia="標楷體" w:hAnsi="標楷體"/>
                                      <w:kern w:val="0"/>
                                      <w:sz w:val="20"/>
                                      <w:szCs w:val="20"/>
                                    </w:rPr>
                                  </w:pPr>
                                  <w:r w:rsidRPr="00994972">
                                    <w:rPr>
                                      <w:rFonts w:ascii="標楷體" w:eastAsia="標楷體" w:hAnsi="標楷體" w:hint="eastAsia"/>
                                      <w:kern w:val="0"/>
                                      <w:sz w:val="20"/>
                                      <w:szCs w:val="20"/>
                                    </w:rPr>
                                    <w:t>年增率</w:t>
                                  </w:r>
                                </w:p>
                              </w:tc>
                              <w:tc>
                                <w:tcPr>
                                  <w:tcW w:w="1586" w:type="dxa"/>
                                  <w:tcBorders>
                                    <w:top w:val="nil"/>
                                    <w:right w:val="single" w:sz="4" w:space="0" w:color="auto"/>
                                  </w:tcBorders>
                                  <w:vAlign w:val="center"/>
                                </w:tcPr>
                                <w:p w14:paraId="149E3724" w14:textId="1AA604FD" w:rsidR="00A0212B" w:rsidRPr="00994972" w:rsidRDefault="00A0212B" w:rsidP="00037584">
                                  <w:pPr>
                                    <w:spacing w:line="320" w:lineRule="exact"/>
                                    <w:ind w:leftChars="-44" w:left="-20" w:rightChars="-37" w:right="-89" w:hangingChars="54" w:hanging="86"/>
                                    <w:jc w:val="center"/>
                                    <w:rPr>
                                      <w:rFonts w:ascii="標楷體" w:eastAsia="標楷體" w:hAnsi="標楷體"/>
                                      <w:kern w:val="0"/>
                                      <w:sz w:val="20"/>
                                      <w:szCs w:val="20"/>
                                    </w:rPr>
                                  </w:pPr>
                                  <w:r w:rsidRPr="00C2362F">
                                    <w:rPr>
                                      <w:rFonts w:ascii="標楷體" w:eastAsia="標楷體" w:hAnsi="標楷體" w:hint="eastAsia"/>
                                      <w:spacing w:val="-20"/>
                                      <w:kern w:val="0"/>
                                      <w:sz w:val="20"/>
                                      <w:szCs w:val="20"/>
                                    </w:rPr>
                                    <w:t>（</w:t>
                                  </w:r>
                                  <w:r w:rsidRPr="00994972">
                                    <w:rPr>
                                      <w:rFonts w:ascii="標楷體" w:eastAsia="標楷體" w:hAnsi="標楷體" w:hint="eastAsia"/>
                                      <w:spacing w:val="-20"/>
                                      <w:kern w:val="0"/>
                                      <w:sz w:val="20"/>
                                      <w:szCs w:val="20"/>
                                    </w:rPr>
                                    <w:t>以</w:t>
                                  </w:r>
                                  <w:r w:rsidRPr="00994972">
                                    <w:rPr>
                                      <w:rFonts w:ascii="標楷體" w:eastAsia="標楷體" w:hAnsi="標楷體"/>
                                      <w:spacing w:val="-20"/>
                                      <w:kern w:val="0"/>
                                      <w:sz w:val="20"/>
                                      <w:szCs w:val="20"/>
                                    </w:rPr>
                                    <w:t>105</w:t>
                                  </w:r>
                                  <w:r w:rsidRPr="00994972">
                                    <w:rPr>
                                      <w:rFonts w:ascii="標楷體" w:eastAsia="標楷體" w:hAnsi="標楷體" w:hint="eastAsia"/>
                                      <w:spacing w:val="-20"/>
                                      <w:kern w:val="0"/>
                                      <w:sz w:val="20"/>
                                      <w:szCs w:val="20"/>
                                    </w:rPr>
                                    <w:t>年為參考年</w:t>
                                  </w:r>
                                  <w:r w:rsidR="006C41C5" w:rsidRPr="006C41C5">
                                    <w:rPr>
                                      <w:rFonts w:ascii="標楷體" w:eastAsia="標楷體" w:hAnsi="標楷體" w:hint="eastAsia"/>
                                      <w:spacing w:val="-20"/>
                                      <w:kern w:val="0"/>
                                      <w:sz w:val="20"/>
                                      <w:szCs w:val="20"/>
                                    </w:rPr>
                                    <w:t>）</w:t>
                                  </w:r>
                                </w:p>
                              </w:tc>
                              <w:tc>
                                <w:tcPr>
                                  <w:tcW w:w="1380" w:type="dxa"/>
                                  <w:tcBorders>
                                    <w:top w:val="single" w:sz="4" w:space="0" w:color="auto"/>
                                    <w:left w:val="single" w:sz="4" w:space="0" w:color="auto"/>
                                  </w:tcBorders>
                                  <w:vAlign w:val="center"/>
                                </w:tcPr>
                                <w:p w14:paraId="14B62158" w14:textId="77777777" w:rsidR="00A0212B" w:rsidRPr="00994972" w:rsidRDefault="00A0212B" w:rsidP="00037584">
                                  <w:pPr>
                                    <w:spacing w:line="320" w:lineRule="exact"/>
                                    <w:jc w:val="center"/>
                                    <w:rPr>
                                      <w:rFonts w:ascii="標楷體" w:eastAsia="標楷體" w:hAnsi="標楷體"/>
                                      <w:kern w:val="0"/>
                                      <w:sz w:val="20"/>
                                      <w:szCs w:val="20"/>
                                    </w:rPr>
                                  </w:pPr>
                                  <w:r w:rsidRPr="00994972">
                                    <w:rPr>
                                      <w:rFonts w:ascii="標楷體" w:eastAsia="標楷體" w:hAnsi="標楷體" w:hint="eastAsia"/>
                                      <w:kern w:val="0"/>
                                      <w:sz w:val="20"/>
                                      <w:szCs w:val="20"/>
                                    </w:rPr>
                                    <w:t>經濟成長率</w:t>
                                  </w:r>
                                </w:p>
                              </w:tc>
                            </w:tr>
                            <w:tr w:rsidR="00A0212B" w:rsidRPr="00994972" w14:paraId="352CE3E8" w14:textId="77777777" w:rsidTr="00E31547">
                              <w:trPr>
                                <w:trHeight w:val="353"/>
                                <w:jc w:val="center"/>
                              </w:trPr>
                              <w:tc>
                                <w:tcPr>
                                  <w:tcW w:w="816" w:type="dxa"/>
                                  <w:vAlign w:val="center"/>
                                </w:tcPr>
                                <w:p w14:paraId="24C7D940"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98</w:t>
                                  </w:r>
                                </w:p>
                              </w:tc>
                              <w:tc>
                                <w:tcPr>
                                  <w:tcW w:w="1948" w:type="dxa"/>
                                  <w:vAlign w:val="center"/>
                                </w:tcPr>
                                <w:p w14:paraId="21E632A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12,919,445</w:t>
                                  </w:r>
                                </w:p>
                              </w:tc>
                              <w:tc>
                                <w:tcPr>
                                  <w:tcW w:w="928" w:type="dxa"/>
                                  <w:vAlign w:val="center"/>
                                </w:tcPr>
                                <w:p w14:paraId="17333387"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w:t>
                                  </w:r>
                                  <w:r w:rsidRPr="00994972">
                                    <w:rPr>
                                      <w:rFonts w:ascii="標楷體" w:eastAsia="標楷體" w:hAnsi="標楷體" w:hint="eastAsia"/>
                                      <w:kern w:val="0"/>
                                      <w:sz w:val="20"/>
                                      <w:szCs w:val="20"/>
                                    </w:rPr>
                                    <w:t xml:space="preserve"> </w:t>
                                  </w:r>
                                  <w:r w:rsidRPr="00994972">
                                    <w:rPr>
                                      <w:rFonts w:ascii="標楷體" w:eastAsia="標楷體" w:hAnsi="標楷體"/>
                                      <w:kern w:val="0"/>
                                      <w:sz w:val="20"/>
                                      <w:szCs w:val="20"/>
                                    </w:rPr>
                                    <w:t>1.49</w:t>
                                  </w:r>
                                </w:p>
                              </w:tc>
                              <w:tc>
                                <w:tcPr>
                                  <w:tcW w:w="1586" w:type="dxa"/>
                                  <w:vAlign w:val="center"/>
                                </w:tcPr>
                                <w:p w14:paraId="224C6E41"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13,506,148</w:t>
                                  </w:r>
                                </w:p>
                              </w:tc>
                              <w:tc>
                                <w:tcPr>
                                  <w:tcW w:w="1380" w:type="dxa"/>
                                  <w:vAlign w:val="center"/>
                                </w:tcPr>
                                <w:p w14:paraId="692E6D88"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- 1.61</w:t>
                                  </w:r>
                                </w:p>
                              </w:tc>
                            </w:tr>
                            <w:tr w:rsidR="00A0212B" w:rsidRPr="00994972" w14:paraId="3E52D2AE" w14:textId="77777777" w:rsidTr="00E31547">
                              <w:trPr>
                                <w:trHeight w:val="353"/>
                                <w:jc w:val="center"/>
                              </w:trPr>
                              <w:tc>
                                <w:tcPr>
                                  <w:tcW w:w="816" w:type="dxa"/>
                                  <w:vAlign w:val="center"/>
                                </w:tcPr>
                                <w:p w14:paraId="16300B88"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99</w:t>
                                  </w:r>
                                </w:p>
                              </w:tc>
                              <w:tc>
                                <w:tcPr>
                                  <w:tcW w:w="1948" w:type="dxa"/>
                                  <w:vAlign w:val="center"/>
                                </w:tcPr>
                                <w:p w14:paraId="4C37287D"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14,060,345</w:t>
                                  </w:r>
                                </w:p>
                              </w:tc>
                              <w:tc>
                                <w:tcPr>
                                  <w:tcW w:w="928" w:type="dxa"/>
                                  <w:vAlign w:val="center"/>
                                </w:tcPr>
                                <w:p w14:paraId="7B191335"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8.83</w:t>
                                  </w:r>
                                </w:p>
                              </w:tc>
                              <w:tc>
                                <w:tcPr>
                                  <w:tcW w:w="1586" w:type="dxa"/>
                                  <w:vAlign w:val="center"/>
                                </w:tcPr>
                                <w:p w14:paraId="0C02C341"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14,889,912</w:t>
                                  </w:r>
                                </w:p>
                              </w:tc>
                              <w:tc>
                                <w:tcPr>
                                  <w:tcW w:w="1380" w:type="dxa"/>
                                  <w:vAlign w:val="center"/>
                                </w:tcPr>
                                <w:p w14:paraId="610956C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10.25</w:t>
                                  </w:r>
                                </w:p>
                              </w:tc>
                            </w:tr>
                            <w:tr w:rsidR="00A0212B" w:rsidRPr="00994972" w14:paraId="612A616F" w14:textId="77777777" w:rsidTr="00E31547">
                              <w:trPr>
                                <w:trHeight w:val="353"/>
                                <w:jc w:val="center"/>
                              </w:trPr>
                              <w:tc>
                                <w:tcPr>
                                  <w:tcW w:w="816" w:type="dxa"/>
                                  <w:vAlign w:val="center"/>
                                </w:tcPr>
                                <w:p w14:paraId="0A693482"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100</w:t>
                                  </w:r>
                                </w:p>
                              </w:tc>
                              <w:tc>
                                <w:tcPr>
                                  <w:tcW w:w="1948" w:type="dxa"/>
                                  <w:vAlign w:val="center"/>
                                </w:tcPr>
                                <w:p w14:paraId="011003C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14,262,201</w:t>
                                  </w:r>
                                </w:p>
                              </w:tc>
                              <w:tc>
                                <w:tcPr>
                                  <w:tcW w:w="928" w:type="dxa"/>
                                  <w:vAlign w:val="center"/>
                                </w:tcPr>
                                <w:p w14:paraId="5E6E4EC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1.44</w:t>
                                  </w:r>
                                </w:p>
                              </w:tc>
                              <w:tc>
                                <w:tcPr>
                                  <w:tcW w:w="1586" w:type="dxa"/>
                                  <w:vAlign w:val="center"/>
                                </w:tcPr>
                                <w:p w14:paraId="48D1CFF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15,436,975</w:t>
                                  </w:r>
                                </w:p>
                              </w:tc>
                              <w:tc>
                                <w:tcPr>
                                  <w:tcW w:w="1380" w:type="dxa"/>
                                  <w:vAlign w:val="center"/>
                                </w:tcPr>
                                <w:p w14:paraId="3423EC3B"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3.67</w:t>
                                  </w:r>
                                </w:p>
                              </w:tc>
                            </w:tr>
                            <w:tr w:rsidR="00A0212B" w:rsidRPr="00994972" w14:paraId="384FFBAE" w14:textId="77777777" w:rsidTr="00E31547">
                              <w:trPr>
                                <w:trHeight w:val="353"/>
                                <w:jc w:val="center"/>
                              </w:trPr>
                              <w:tc>
                                <w:tcPr>
                                  <w:tcW w:w="816" w:type="dxa"/>
                                  <w:vAlign w:val="center"/>
                                </w:tcPr>
                                <w:p w14:paraId="31E8BC89"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101</w:t>
                                  </w:r>
                                </w:p>
                              </w:tc>
                              <w:tc>
                                <w:tcPr>
                                  <w:tcW w:w="1948" w:type="dxa"/>
                                  <w:vAlign w:val="center"/>
                                </w:tcPr>
                                <w:p w14:paraId="4895AC1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14,677,765</w:t>
                                  </w:r>
                                </w:p>
                              </w:tc>
                              <w:tc>
                                <w:tcPr>
                                  <w:tcW w:w="928" w:type="dxa"/>
                                  <w:vAlign w:val="center"/>
                                </w:tcPr>
                                <w:p w14:paraId="30F88DEE"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2.91</w:t>
                                  </w:r>
                                </w:p>
                              </w:tc>
                              <w:tc>
                                <w:tcPr>
                                  <w:tcW w:w="1586" w:type="dxa"/>
                                  <w:vAlign w:val="center"/>
                                </w:tcPr>
                                <w:p w14:paraId="4A69C28B"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15,779,909</w:t>
                                  </w:r>
                                </w:p>
                              </w:tc>
                              <w:tc>
                                <w:tcPr>
                                  <w:tcW w:w="1380" w:type="dxa"/>
                                  <w:vAlign w:val="center"/>
                                </w:tcPr>
                                <w:p w14:paraId="56593B97"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2.22</w:t>
                                  </w:r>
                                </w:p>
                              </w:tc>
                            </w:tr>
                            <w:tr w:rsidR="00A0212B" w:rsidRPr="00994972" w14:paraId="41BBEFE7" w14:textId="77777777" w:rsidTr="00E31547">
                              <w:trPr>
                                <w:trHeight w:val="353"/>
                                <w:jc w:val="center"/>
                              </w:trPr>
                              <w:tc>
                                <w:tcPr>
                                  <w:tcW w:w="816" w:type="dxa"/>
                                  <w:vAlign w:val="center"/>
                                </w:tcPr>
                                <w:p w14:paraId="6F77044C"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102</w:t>
                                  </w:r>
                                </w:p>
                              </w:tc>
                              <w:tc>
                                <w:tcPr>
                                  <w:tcW w:w="1948" w:type="dxa"/>
                                  <w:vAlign w:val="center"/>
                                </w:tcPr>
                                <w:p w14:paraId="43ECB964"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15,270,728</w:t>
                                  </w:r>
                                </w:p>
                              </w:tc>
                              <w:tc>
                                <w:tcPr>
                                  <w:tcW w:w="928" w:type="dxa"/>
                                  <w:vAlign w:val="center"/>
                                </w:tcPr>
                                <w:p w14:paraId="6B910CD0"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4.04</w:t>
                                  </w:r>
                                </w:p>
                              </w:tc>
                              <w:tc>
                                <w:tcPr>
                                  <w:tcW w:w="1586" w:type="dxa"/>
                                  <w:vAlign w:val="center"/>
                                </w:tcPr>
                                <w:p w14:paraId="36A57F73"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16,171,821</w:t>
                                  </w:r>
                                </w:p>
                              </w:tc>
                              <w:tc>
                                <w:tcPr>
                                  <w:tcW w:w="1380" w:type="dxa"/>
                                  <w:vAlign w:val="center"/>
                                </w:tcPr>
                                <w:p w14:paraId="06172A3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2.48</w:t>
                                  </w:r>
                                </w:p>
                              </w:tc>
                            </w:tr>
                            <w:tr w:rsidR="00A0212B" w:rsidRPr="00994972" w14:paraId="558EE321" w14:textId="77777777" w:rsidTr="00E31547">
                              <w:trPr>
                                <w:trHeight w:val="353"/>
                                <w:jc w:val="center"/>
                              </w:trPr>
                              <w:tc>
                                <w:tcPr>
                                  <w:tcW w:w="816" w:type="dxa"/>
                                  <w:vAlign w:val="center"/>
                                </w:tcPr>
                                <w:p w14:paraId="61EF3BEB"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103</w:t>
                                  </w:r>
                                </w:p>
                              </w:tc>
                              <w:tc>
                                <w:tcPr>
                                  <w:tcW w:w="1948" w:type="dxa"/>
                                  <w:vAlign w:val="center"/>
                                </w:tcPr>
                                <w:p w14:paraId="31DA9FC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16,258,047</w:t>
                                  </w:r>
                                </w:p>
                              </w:tc>
                              <w:tc>
                                <w:tcPr>
                                  <w:tcW w:w="928" w:type="dxa"/>
                                  <w:vAlign w:val="center"/>
                                </w:tcPr>
                                <w:p w14:paraId="2B2F92D8"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6.47</w:t>
                                  </w:r>
                                </w:p>
                              </w:tc>
                              <w:tc>
                                <w:tcPr>
                                  <w:tcW w:w="1586" w:type="dxa"/>
                                  <w:vAlign w:val="center"/>
                                </w:tcPr>
                                <w:p w14:paraId="5B21393D"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16,935,007</w:t>
                                  </w:r>
                                </w:p>
                              </w:tc>
                              <w:tc>
                                <w:tcPr>
                                  <w:tcW w:w="1380" w:type="dxa"/>
                                  <w:vAlign w:val="center"/>
                                </w:tcPr>
                                <w:p w14:paraId="249DD20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4.72</w:t>
                                  </w:r>
                                </w:p>
                              </w:tc>
                            </w:tr>
                            <w:tr w:rsidR="00A0212B" w:rsidRPr="00994972" w14:paraId="68768292" w14:textId="77777777" w:rsidTr="00E31547">
                              <w:trPr>
                                <w:trHeight w:val="353"/>
                                <w:jc w:val="center"/>
                              </w:trPr>
                              <w:tc>
                                <w:tcPr>
                                  <w:tcW w:w="816" w:type="dxa"/>
                                  <w:vAlign w:val="center"/>
                                </w:tcPr>
                                <w:p w14:paraId="65AC569B"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104</w:t>
                                  </w:r>
                                </w:p>
                              </w:tc>
                              <w:tc>
                                <w:tcPr>
                                  <w:tcW w:w="1948" w:type="dxa"/>
                                  <w:vAlign w:val="center"/>
                                </w:tcPr>
                                <w:p w14:paraId="1F836E8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17,055,080</w:t>
                                  </w:r>
                                </w:p>
                              </w:tc>
                              <w:tc>
                                <w:tcPr>
                                  <w:tcW w:w="928" w:type="dxa"/>
                                  <w:vAlign w:val="center"/>
                                </w:tcPr>
                                <w:p w14:paraId="1034BC77"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4.90</w:t>
                                  </w:r>
                                </w:p>
                              </w:tc>
                              <w:tc>
                                <w:tcPr>
                                  <w:tcW w:w="1586" w:type="dxa"/>
                                  <w:vAlign w:val="center"/>
                                </w:tcPr>
                                <w:p w14:paraId="522EDF45"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17,183,235</w:t>
                                  </w:r>
                                </w:p>
                              </w:tc>
                              <w:tc>
                                <w:tcPr>
                                  <w:tcW w:w="1380" w:type="dxa"/>
                                  <w:vAlign w:val="center"/>
                                </w:tcPr>
                                <w:p w14:paraId="6B384330"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1.47</w:t>
                                  </w:r>
                                </w:p>
                              </w:tc>
                            </w:tr>
                            <w:tr w:rsidR="00A0212B" w:rsidRPr="00994972" w14:paraId="7ADB598F" w14:textId="77777777" w:rsidTr="00E31547">
                              <w:trPr>
                                <w:trHeight w:val="353"/>
                                <w:jc w:val="center"/>
                              </w:trPr>
                              <w:tc>
                                <w:tcPr>
                                  <w:tcW w:w="816" w:type="dxa"/>
                                  <w:vAlign w:val="center"/>
                                </w:tcPr>
                                <w:p w14:paraId="257BF7E1"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105</w:t>
                                  </w:r>
                                </w:p>
                              </w:tc>
                              <w:tc>
                                <w:tcPr>
                                  <w:tcW w:w="1948" w:type="dxa"/>
                                  <w:vAlign w:val="center"/>
                                </w:tcPr>
                                <w:p w14:paraId="1FE1283D"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17,555,268</w:t>
                                  </w:r>
                                </w:p>
                              </w:tc>
                              <w:tc>
                                <w:tcPr>
                                  <w:tcW w:w="928" w:type="dxa"/>
                                  <w:vAlign w:val="center"/>
                                </w:tcPr>
                                <w:p w14:paraId="1BD17A2A"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2.93</w:t>
                                  </w:r>
                                </w:p>
                              </w:tc>
                              <w:tc>
                                <w:tcPr>
                                  <w:tcW w:w="1586" w:type="dxa"/>
                                  <w:vAlign w:val="center"/>
                                </w:tcPr>
                                <w:p w14:paraId="4E48541B"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17,555,268</w:t>
                                  </w:r>
                                </w:p>
                              </w:tc>
                              <w:tc>
                                <w:tcPr>
                                  <w:tcW w:w="1380" w:type="dxa"/>
                                  <w:vAlign w:val="center"/>
                                </w:tcPr>
                                <w:p w14:paraId="47CF682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2.17</w:t>
                                  </w:r>
                                </w:p>
                              </w:tc>
                            </w:tr>
                            <w:tr w:rsidR="00A0212B" w:rsidRPr="00994972" w14:paraId="51F566EE" w14:textId="77777777" w:rsidTr="00E31547">
                              <w:trPr>
                                <w:trHeight w:val="353"/>
                                <w:jc w:val="center"/>
                              </w:trPr>
                              <w:tc>
                                <w:tcPr>
                                  <w:tcW w:w="816" w:type="dxa"/>
                                  <w:vAlign w:val="center"/>
                                </w:tcPr>
                                <w:p w14:paraId="4C07C865"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106</w:t>
                                  </w:r>
                                </w:p>
                              </w:tc>
                              <w:tc>
                                <w:tcPr>
                                  <w:tcW w:w="1948" w:type="dxa"/>
                                  <w:vAlign w:val="center"/>
                                </w:tcPr>
                                <w:p w14:paraId="619FB7D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17,983,347</w:t>
                                  </w:r>
                                </w:p>
                              </w:tc>
                              <w:tc>
                                <w:tcPr>
                                  <w:tcW w:w="928" w:type="dxa"/>
                                  <w:vAlign w:val="center"/>
                                </w:tcPr>
                                <w:p w14:paraId="475D65B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2.44</w:t>
                                  </w:r>
                                </w:p>
                              </w:tc>
                              <w:tc>
                                <w:tcPr>
                                  <w:tcW w:w="1586" w:type="dxa"/>
                                  <w:vAlign w:val="center"/>
                                </w:tcPr>
                                <w:p w14:paraId="6513DB7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18,136,589</w:t>
                                  </w:r>
                                </w:p>
                              </w:tc>
                              <w:tc>
                                <w:tcPr>
                                  <w:tcW w:w="1380" w:type="dxa"/>
                                  <w:vAlign w:val="center"/>
                                </w:tcPr>
                                <w:p w14:paraId="45D6869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3.31</w:t>
                                  </w:r>
                                </w:p>
                              </w:tc>
                            </w:tr>
                            <w:tr w:rsidR="00A0212B" w:rsidRPr="00994972" w14:paraId="5ACA9233" w14:textId="77777777" w:rsidTr="00E31547">
                              <w:trPr>
                                <w:trHeight w:val="353"/>
                                <w:jc w:val="center"/>
                              </w:trPr>
                              <w:tc>
                                <w:tcPr>
                                  <w:tcW w:w="816" w:type="dxa"/>
                                  <w:vAlign w:val="center"/>
                                </w:tcPr>
                                <w:p w14:paraId="4E7A94C6"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107</w:t>
                                  </w:r>
                                </w:p>
                              </w:tc>
                              <w:tc>
                                <w:tcPr>
                                  <w:tcW w:w="1948" w:type="dxa"/>
                                  <w:vAlign w:val="center"/>
                                </w:tcPr>
                                <w:p w14:paraId="4FAA4160"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18,375,022</w:t>
                                  </w:r>
                                </w:p>
                              </w:tc>
                              <w:tc>
                                <w:tcPr>
                                  <w:tcW w:w="928" w:type="dxa"/>
                                  <w:vAlign w:val="center"/>
                                </w:tcPr>
                                <w:p w14:paraId="519AEAB9"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2.18</w:t>
                                  </w:r>
                                </w:p>
                              </w:tc>
                              <w:tc>
                                <w:tcPr>
                                  <w:tcW w:w="1586" w:type="dxa"/>
                                  <w:vAlign w:val="center"/>
                                </w:tcPr>
                                <w:p w14:paraId="3F2B95C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18,642,014</w:t>
                                  </w:r>
                                </w:p>
                              </w:tc>
                              <w:tc>
                                <w:tcPr>
                                  <w:tcW w:w="1380" w:type="dxa"/>
                                  <w:vAlign w:val="center"/>
                                </w:tcPr>
                                <w:p w14:paraId="061E7DBE"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2.79</w:t>
                                  </w:r>
                                </w:p>
                              </w:tc>
                            </w:tr>
                            <w:tr w:rsidR="00A0212B" w:rsidRPr="00994972" w14:paraId="27029AF4" w14:textId="77777777" w:rsidTr="00E31547">
                              <w:trPr>
                                <w:trHeight w:val="353"/>
                                <w:jc w:val="center"/>
                              </w:trPr>
                              <w:tc>
                                <w:tcPr>
                                  <w:tcW w:w="816" w:type="dxa"/>
                                  <w:vAlign w:val="center"/>
                                </w:tcPr>
                                <w:p w14:paraId="2857A6DD"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108</w:t>
                                  </w:r>
                                </w:p>
                              </w:tc>
                              <w:tc>
                                <w:tcPr>
                                  <w:tcW w:w="1948" w:type="dxa"/>
                                  <w:vAlign w:val="center"/>
                                </w:tcPr>
                                <w:p w14:paraId="45A93B2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18,908,632</w:t>
                                  </w:r>
                                </w:p>
                              </w:tc>
                              <w:tc>
                                <w:tcPr>
                                  <w:tcW w:w="928" w:type="dxa"/>
                                  <w:vAlign w:val="center"/>
                                </w:tcPr>
                                <w:p w14:paraId="08505E2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2.90</w:t>
                                  </w:r>
                                </w:p>
                              </w:tc>
                              <w:tc>
                                <w:tcPr>
                                  <w:tcW w:w="1586" w:type="dxa"/>
                                  <w:vAlign w:val="center"/>
                                </w:tcPr>
                                <w:p w14:paraId="0E39D7F7"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19,213,196</w:t>
                                  </w:r>
                                </w:p>
                              </w:tc>
                              <w:tc>
                                <w:tcPr>
                                  <w:tcW w:w="1380" w:type="dxa"/>
                                  <w:vAlign w:val="center"/>
                                </w:tcPr>
                                <w:p w14:paraId="5C1EDC9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3.06</w:t>
                                  </w:r>
                                </w:p>
                              </w:tc>
                            </w:tr>
                            <w:tr w:rsidR="00A0212B" w:rsidRPr="00994972" w14:paraId="4458AB11" w14:textId="77777777" w:rsidTr="00E31547">
                              <w:trPr>
                                <w:trHeight w:val="353"/>
                                <w:jc w:val="center"/>
                              </w:trPr>
                              <w:tc>
                                <w:tcPr>
                                  <w:tcW w:w="816" w:type="dxa"/>
                                  <w:vAlign w:val="center"/>
                                </w:tcPr>
                                <w:p w14:paraId="29FF384A"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109</w:t>
                                  </w:r>
                                </w:p>
                              </w:tc>
                              <w:tc>
                                <w:tcPr>
                                  <w:tcW w:w="1948" w:type="dxa"/>
                                  <w:vAlign w:val="center"/>
                                </w:tcPr>
                                <w:p w14:paraId="3F1F4AD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19,914,806</w:t>
                                  </w:r>
                                </w:p>
                              </w:tc>
                              <w:tc>
                                <w:tcPr>
                                  <w:tcW w:w="928" w:type="dxa"/>
                                  <w:vAlign w:val="center"/>
                                </w:tcPr>
                                <w:p w14:paraId="2E862F4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5.32</w:t>
                                  </w:r>
                                </w:p>
                              </w:tc>
                              <w:tc>
                                <w:tcPr>
                                  <w:tcW w:w="1586" w:type="dxa"/>
                                  <w:vAlign w:val="center"/>
                                </w:tcPr>
                                <w:p w14:paraId="6CCFD010"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19,863,877</w:t>
                                  </w:r>
                                </w:p>
                              </w:tc>
                              <w:tc>
                                <w:tcPr>
                                  <w:tcW w:w="1380" w:type="dxa"/>
                                  <w:vAlign w:val="center"/>
                                </w:tcPr>
                                <w:p w14:paraId="7B6DF4E3"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3.39</w:t>
                                  </w:r>
                                </w:p>
                              </w:tc>
                            </w:tr>
                            <w:tr w:rsidR="00A0212B" w:rsidRPr="00994972" w14:paraId="5FA222AF" w14:textId="77777777" w:rsidTr="00E31547">
                              <w:trPr>
                                <w:trHeight w:val="353"/>
                                <w:jc w:val="center"/>
                              </w:trPr>
                              <w:tc>
                                <w:tcPr>
                                  <w:tcW w:w="816" w:type="dxa"/>
                                  <w:vAlign w:val="center"/>
                                </w:tcPr>
                                <w:p w14:paraId="18A775BB"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110</w:t>
                                  </w:r>
                                </w:p>
                              </w:tc>
                              <w:tc>
                                <w:tcPr>
                                  <w:tcW w:w="1948" w:type="dxa"/>
                                  <w:vAlign w:val="center"/>
                                </w:tcPr>
                                <w:p w14:paraId="6B5C5681"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21,663,231</w:t>
                                  </w:r>
                                </w:p>
                              </w:tc>
                              <w:tc>
                                <w:tcPr>
                                  <w:tcW w:w="928" w:type="dxa"/>
                                  <w:vAlign w:val="center"/>
                                </w:tcPr>
                                <w:p w14:paraId="506F8F5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8.78</w:t>
                                  </w:r>
                                </w:p>
                              </w:tc>
                              <w:tc>
                                <w:tcPr>
                                  <w:tcW w:w="1586" w:type="dxa"/>
                                  <w:vAlign w:val="center"/>
                                </w:tcPr>
                                <w:p w14:paraId="62DA0B63"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21,178,952</w:t>
                                  </w:r>
                                </w:p>
                              </w:tc>
                              <w:tc>
                                <w:tcPr>
                                  <w:tcW w:w="1380" w:type="dxa"/>
                                  <w:vAlign w:val="center"/>
                                </w:tcPr>
                                <w:p w14:paraId="61F3C38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6.62</w:t>
                                  </w:r>
                                </w:p>
                              </w:tc>
                            </w:tr>
                            <w:tr w:rsidR="00A0212B" w:rsidRPr="00994972" w14:paraId="32D53228" w14:textId="77777777" w:rsidTr="00E31547">
                              <w:trPr>
                                <w:trHeight w:val="353"/>
                                <w:jc w:val="center"/>
                              </w:trPr>
                              <w:tc>
                                <w:tcPr>
                                  <w:tcW w:w="816" w:type="dxa"/>
                                  <w:vAlign w:val="center"/>
                                </w:tcPr>
                                <w:p w14:paraId="6A197654"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111</w:t>
                                  </w:r>
                                </w:p>
                              </w:tc>
                              <w:tc>
                                <w:tcPr>
                                  <w:tcW w:w="1948" w:type="dxa"/>
                                  <w:vAlign w:val="center"/>
                                </w:tcPr>
                                <w:p w14:paraId="6DDD5DCA"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22,679,843</w:t>
                                  </w:r>
                                </w:p>
                              </w:tc>
                              <w:tc>
                                <w:tcPr>
                                  <w:tcW w:w="928" w:type="dxa"/>
                                  <w:vAlign w:val="center"/>
                                </w:tcPr>
                                <w:p w14:paraId="6063F01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4.69</w:t>
                                  </w:r>
                                </w:p>
                              </w:tc>
                              <w:tc>
                                <w:tcPr>
                                  <w:tcW w:w="1586" w:type="dxa"/>
                                  <w:vAlign w:val="center"/>
                                </w:tcPr>
                                <w:p w14:paraId="74FE76C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21,727,151</w:t>
                                  </w:r>
                                </w:p>
                              </w:tc>
                              <w:tc>
                                <w:tcPr>
                                  <w:tcW w:w="1380" w:type="dxa"/>
                                  <w:vAlign w:val="center"/>
                                </w:tcPr>
                                <w:p w14:paraId="61206525"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2.59</w:t>
                                  </w:r>
                                </w:p>
                              </w:tc>
                            </w:tr>
                            <w:tr w:rsidR="00A0212B" w:rsidRPr="00994972" w14:paraId="124BEEBD" w14:textId="77777777" w:rsidTr="00E31547">
                              <w:trPr>
                                <w:trHeight w:val="353"/>
                                <w:jc w:val="center"/>
                              </w:trPr>
                              <w:tc>
                                <w:tcPr>
                                  <w:tcW w:w="816" w:type="dxa"/>
                                  <w:vAlign w:val="center"/>
                                </w:tcPr>
                                <w:p w14:paraId="37F1E9B8" w14:textId="3831F99D"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112</w:t>
                                  </w:r>
                                  <w:r w:rsidRPr="00C2362F">
                                    <w:rPr>
                                      <w:rFonts w:ascii="標楷體" w:eastAsia="標楷體" w:hAnsi="標楷體" w:hint="eastAsia"/>
                                      <w:kern w:val="0"/>
                                      <w:sz w:val="20"/>
                                      <w:szCs w:val="20"/>
                                    </w:rPr>
                                    <w:t>（</w:t>
                                  </w:r>
                                  <w:r>
                                    <w:rPr>
                                      <w:rFonts w:ascii="標楷體" w:eastAsia="標楷體" w:hAnsi="標楷體"/>
                                      <w:kern w:val="0"/>
                                      <w:sz w:val="20"/>
                                      <w:szCs w:val="20"/>
                                    </w:rPr>
                                    <w:t>r</w:t>
                                  </w:r>
                                  <w:r w:rsidR="006C41C5" w:rsidRPr="006C41C5">
                                    <w:rPr>
                                      <w:rFonts w:ascii="標楷體" w:eastAsia="標楷體" w:hAnsi="標楷體" w:hint="eastAsia"/>
                                      <w:kern w:val="0"/>
                                      <w:sz w:val="20"/>
                                      <w:szCs w:val="20"/>
                                    </w:rPr>
                                    <w:t>）</w:t>
                                  </w:r>
                                </w:p>
                              </w:tc>
                              <w:tc>
                                <w:tcPr>
                                  <w:tcW w:w="1948" w:type="dxa"/>
                                  <w:vAlign w:val="center"/>
                                </w:tcPr>
                                <w:p w14:paraId="56A012BB"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23,5</w:t>
                                  </w:r>
                                  <w:r>
                                    <w:rPr>
                                      <w:rFonts w:ascii="標楷體" w:eastAsia="標楷體" w:hAnsi="標楷體"/>
                                      <w:kern w:val="0"/>
                                      <w:sz w:val="20"/>
                                      <w:szCs w:val="20"/>
                                    </w:rPr>
                                    <w:t>44</w:t>
                                  </w:r>
                                  <w:r w:rsidRPr="00994972">
                                    <w:rPr>
                                      <w:rFonts w:ascii="標楷體" w:eastAsia="標楷體" w:hAnsi="標楷體"/>
                                      <w:kern w:val="0"/>
                                      <w:sz w:val="20"/>
                                      <w:szCs w:val="20"/>
                                    </w:rPr>
                                    <w:t>,</w:t>
                                  </w:r>
                                  <w:r>
                                    <w:rPr>
                                      <w:rFonts w:ascii="標楷體" w:eastAsia="標楷體" w:hAnsi="標楷體"/>
                                      <w:kern w:val="0"/>
                                      <w:sz w:val="20"/>
                                      <w:szCs w:val="20"/>
                                    </w:rPr>
                                    <w:t>961</w:t>
                                  </w:r>
                                </w:p>
                              </w:tc>
                              <w:tc>
                                <w:tcPr>
                                  <w:tcW w:w="928" w:type="dxa"/>
                                  <w:vAlign w:val="center"/>
                                </w:tcPr>
                                <w:p w14:paraId="55FB766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3.8</w:t>
                                  </w:r>
                                  <w:r>
                                    <w:rPr>
                                      <w:rFonts w:ascii="標楷體" w:eastAsia="標楷體" w:hAnsi="標楷體"/>
                                      <w:kern w:val="0"/>
                                      <w:sz w:val="20"/>
                                      <w:szCs w:val="20"/>
                                    </w:rPr>
                                    <w:t>1</w:t>
                                  </w:r>
                                </w:p>
                              </w:tc>
                              <w:tc>
                                <w:tcPr>
                                  <w:tcW w:w="1586" w:type="dxa"/>
                                  <w:vAlign w:val="center"/>
                                </w:tcPr>
                                <w:p w14:paraId="2AFB6CB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22,</w:t>
                                  </w:r>
                                  <w:r>
                                    <w:rPr>
                                      <w:rFonts w:ascii="標楷體" w:eastAsia="標楷體" w:hAnsi="標楷體"/>
                                      <w:kern w:val="0"/>
                                      <w:sz w:val="20"/>
                                      <w:szCs w:val="20"/>
                                    </w:rPr>
                                    <w:t>005</w:t>
                                  </w:r>
                                  <w:r w:rsidRPr="00994972">
                                    <w:rPr>
                                      <w:rFonts w:ascii="標楷體" w:eastAsia="標楷體" w:hAnsi="標楷體"/>
                                      <w:kern w:val="0"/>
                                      <w:sz w:val="20"/>
                                      <w:szCs w:val="20"/>
                                    </w:rPr>
                                    <w:t>,</w:t>
                                  </w:r>
                                  <w:r>
                                    <w:rPr>
                                      <w:rFonts w:ascii="標楷體" w:eastAsia="標楷體" w:hAnsi="標楷體"/>
                                      <w:kern w:val="0"/>
                                      <w:sz w:val="20"/>
                                      <w:szCs w:val="20"/>
                                    </w:rPr>
                                    <w:t>118</w:t>
                                  </w:r>
                                </w:p>
                              </w:tc>
                              <w:tc>
                                <w:tcPr>
                                  <w:tcW w:w="1380" w:type="dxa"/>
                                  <w:vAlign w:val="center"/>
                                </w:tcPr>
                                <w:p w14:paraId="0A87AED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w:t>
                                  </w:r>
                                  <w:r>
                                    <w:rPr>
                                      <w:rFonts w:ascii="標楷體" w:eastAsia="標楷體" w:hAnsi="標楷體"/>
                                      <w:kern w:val="0"/>
                                      <w:sz w:val="20"/>
                                      <w:szCs w:val="20"/>
                                    </w:rPr>
                                    <w:t>28</w:t>
                                  </w:r>
                                </w:p>
                              </w:tc>
                            </w:tr>
                          </w:tbl>
                          <w:p w14:paraId="061280B6" w14:textId="7DBA63C9" w:rsidR="00A0212B" w:rsidRPr="00994972" w:rsidRDefault="00A0212B" w:rsidP="00E8477C">
                            <w:pPr>
                              <w:adjustRightInd w:val="0"/>
                              <w:snapToGrid w:val="0"/>
                              <w:ind w:leftChars="-10" w:left="-24" w:rightChars="-17" w:right="-41"/>
                              <w:rPr>
                                <w:rFonts w:ascii="標楷體" w:eastAsia="標楷體" w:hAnsi="標楷體" w:cstheme="minorBidi"/>
                                <w:sz w:val="18"/>
                                <w:szCs w:val="24"/>
                              </w:rPr>
                            </w:pPr>
                            <w:r w:rsidRPr="00994972">
                              <w:rPr>
                                <w:rFonts w:ascii="標楷體" w:eastAsia="標楷體" w:hAnsi="標楷體" w:cstheme="minorBidi" w:hint="eastAsia"/>
                                <w:sz w:val="18"/>
                                <w:szCs w:val="24"/>
                              </w:rPr>
                              <w:t>註：1.</w:t>
                            </w:r>
                            <w:r w:rsidRPr="00C2362F">
                              <w:rPr>
                                <w:rFonts w:ascii="標楷體" w:eastAsia="標楷體" w:hAnsi="標楷體" w:cstheme="minorBidi" w:hint="eastAsia"/>
                                <w:sz w:val="18"/>
                                <w:szCs w:val="24"/>
                              </w:rPr>
                              <w:t>（</w:t>
                            </w:r>
                            <w:r>
                              <w:rPr>
                                <w:rFonts w:ascii="標楷體" w:eastAsia="標楷體" w:hAnsi="標楷體" w:cstheme="minorBidi"/>
                                <w:sz w:val="18"/>
                                <w:szCs w:val="24"/>
                              </w:rPr>
                              <w:t>r</w:t>
                            </w:r>
                            <w:r w:rsidR="006C41C5" w:rsidRPr="006C41C5">
                              <w:rPr>
                                <w:rFonts w:ascii="標楷體" w:eastAsia="標楷體" w:hAnsi="標楷體" w:cstheme="minorBidi" w:hint="eastAsia"/>
                                <w:sz w:val="18"/>
                                <w:szCs w:val="24"/>
                              </w:rPr>
                              <w:t>）</w:t>
                            </w:r>
                            <w:r w:rsidRPr="009700F3">
                              <w:rPr>
                                <w:rFonts w:ascii="標楷體" w:eastAsia="標楷體" w:hAnsi="標楷體" w:cstheme="minorBidi" w:hint="eastAsia"/>
                                <w:sz w:val="18"/>
                                <w:szCs w:val="24"/>
                              </w:rPr>
                              <w:t>表</w:t>
                            </w:r>
                            <w:r>
                              <w:rPr>
                                <w:rFonts w:ascii="標楷體" w:eastAsia="標楷體" w:hAnsi="標楷體" w:cstheme="minorBidi" w:hint="eastAsia"/>
                                <w:sz w:val="18"/>
                                <w:szCs w:val="24"/>
                              </w:rPr>
                              <w:t>修</w:t>
                            </w:r>
                            <w:r>
                              <w:rPr>
                                <w:rFonts w:ascii="標楷體" w:eastAsia="標楷體" w:hAnsi="標楷體" w:cstheme="minorBidi"/>
                                <w:sz w:val="18"/>
                                <w:szCs w:val="24"/>
                              </w:rPr>
                              <w:t>正</w:t>
                            </w:r>
                            <w:r w:rsidRPr="009700F3">
                              <w:rPr>
                                <w:rFonts w:ascii="標楷體" w:eastAsia="標楷體" w:hAnsi="標楷體" w:cstheme="minorBidi" w:hint="eastAsia"/>
                                <w:sz w:val="18"/>
                                <w:szCs w:val="24"/>
                              </w:rPr>
                              <w:t>數。</w:t>
                            </w:r>
                          </w:p>
                          <w:p w14:paraId="0EE07480" w14:textId="7C5DAA5E" w:rsidR="00A0212B" w:rsidRPr="00983A06" w:rsidRDefault="00A0212B" w:rsidP="00E8477C">
                            <w:pPr>
                              <w:adjustRightInd w:val="0"/>
                              <w:snapToGrid w:val="0"/>
                              <w:ind w:leftChars="140" w:left="336" w:rightChars="-17" w:right="-41"/>
                              <w:rPr>
                                <w:rFonts w:ascii="標楷體" w:eastAsia="標楷體" w:hAnsi="標楷體" w:cstheme="minorBidi"/>
                                <w:sz w:val="18"/>
                                <w:szCs w:val="24"/>
                              </w:rPr>
                            </w:pPr>
                            <w:r w:rsidRPr="00994972">
                              <w:rPr>
                                <w:rFonts w:ascii="標楷體" w:eastAsia="標楷體" w:hAnsi="標楷體" w:cstheme="minorBidi" w:hint="eastAsia"/>
                                <w:sz w:val="18"/>
                                <w:szCs w:val="24"/>
                              </w:rPr>
                              <w:t>2.</w:t>
                            </w:r>
                            <w:r w:rsidRPr="009700F3">
                              <w:rPr>
                                <w:rFonts w:ascii="標楷體" w:eastAsia="標楷體" w:hAnsi="標楷體" w:cstheme="minorBidi" w:hint="eastAsia"/>
                                <w:sz w:val="18"/>
                                <w:szCs w:val="24"/>
                              </w:rPr>
                              <w:t>資料來源：整理自國民所得統計摘要</w:t>
                            </w:r>
                            <w:r w:rsidRPr="00785541">
                              <w:rPr>
                                <w:rFonts w:ascii="標楷體" w:eastAsia="標楷體" w:hAnsi="標楷體" w:cstheme="minorBidi" w:hint="eastAsia"/>
                                <w:sz w:val="18"/>
                                <w:szCs w:val="24"/>
                              </w:rPr>
                              <w:t>（113年5月更新）資料</w:t>
                            </w:r>
                            <w:r w:rsidRPr="009700F3">
                              <w:rPr>
                                <w:rFonts w:ascii="標楷體" w:eastAsia="標楷體" w:hAnsi="標楷體" w:cstheme="minorBidi" w:hint="eastAsia"/>
                                <w:sz w:val="18"/>
                                <w:szCs w:val="24"/>
                              </w:rPr>
                              <w:t>。</w:t>
                            </w:r>
                          </w:p>
                          <w:p w14:paraId="53E216AF" w14:textId="77777777" w:rsidR="00A0212B" w:rsidRPr="00983A06" w:rsidRDefault="00A0212B" w:rsidP="0031215D">
                            <w:pPr>
                              <w:spacing w:line="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910DC7" id="文字方塊 458" o:spid="_x0000_s1027" type="#_x0000_t202" style="position:absolute;left:0;text-align:left;margin-left:198.45pt;margin-top:311.85pt;width:348.1pt;height:376.7pt;z-index:251674624;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" filled="f" stroked="f">
                <v:textbox>
                  <w:txbxContent>
                    <w:p w14:paraId="54101815" w14:textId="32268EF5" w:rsidR="00A0212B" w:rsidRPr="00983A06" w:rsidRDefault="00A0212B" w:rsidP="0031215D">
                      <w:pPr>
                        <w:widowControl/>
                        <w:adjustRightInd w:val="0"/>
                        <w:snapToGrid w:val="0"/>
                        <w:ind w:leftChars="99" w:left="867" w:hangingChars="262" w:hanging="629"/>
                        <w:jc w:val="center"/>
                        <w:rPr>
                          <w:rFonts w:ascii="標楷體" w:eastAsia="標楷體" w:hAnsi="標楷體" w:cstheme="minorBidi"/>
                          <w:b/>
                          <w:szCs w:val="32"/>
                        </w:rPr>
                      </w:pPr>
                      <w:r w:rsidRPr="00983A06">
                        <w:rPr>
                          <w:rFonts w:ascii="標楷體" w:eastAsia="標楷體" w:hAnsi="標楷體" w:cstheme="minorBidi"/>
                          <w:b/>
                          <w:szCs w:val="32"/>
                        </w:rPr>
                        <w:t>表</w:t>
                      </w:r>
                      <w:r>
                        <w:rPr>
                          <w:rFonts w:ascii="標楷體" w:eastAsia="標楷體" w:hAnsi="標楷體" w:cstheme="minorBidi"/>
                          <w:b/>
                          <w:szCs w:val="32"/>
                        </w:rPr>
                        <w:t>2</w:t>
                      </w:r>
                      <w:r>
                        <w:rPr>
                          <w:rFonts w:ascii="標楷體" w:eastAsia="標楷體" w:hAnsi="標楷體" w:cstheme="minorBidi" w:hint="eastAsia"/>
                          <w:b/>
                          <w:szCs w:val="32"/>
                        </w:rPr>
                        <w:t xml:space="preserve">　</w:t>
                      </w:r>
                      <w:r w:rsidRPr="00994972">
                        <w:rPr>
                          <w:rFonts w:ascii="標楷體" w:eastAsia="標楷體" w:hAnsi="標楷體" w:cstheme="minorBidi" w:hint="eastAsia"/>
                          <w:b/>
                          <w:szCs w:val="32"/>
                        </w:rPr>
                        <w:t>近年國內生產毛額及經濟成長率</w:t>
                      </w:r>
                    </w:p>
                    <w:p w14:paraId="0878C628" w14:textId="07E2B39E" w:rsidR="00A0212B" w:rsidRPr="00983A06" w:rsidRDefault="00A0212B" w:rsidP="0031215D">
                      <w:pPr>
                        <w:adjustRightInd w:val="0"/>
                        <w:snapToGrid w:val="0"/>
                        <w:jc w:val="right"/>
                        <w:rPr>
                          <w:rFonts w:ascii="標楷體" w:eastAsia="標楷體" w:hAnsi="標楷體" w:cstheme="minorBidi"/>
                          <w:sz w:val="20"/>
                          <w:szCs w:val="24"/>
                        </w:rPr>
                      </w:pPr>
                      <w:r w:rsidRPr="00994972">
                        <w:rPr>
                          <w:rFonts w:ascii="標楷體" w:eastAsia="標楷體" w:hAnsi="標楷體" w:cstheme="minorBidi" w:hint="eastAsia"/>
                          <w:sz w:val="20"/>
                          <w:szCs w:val="24"/>
                        </w:rPr>
                        <w:t>單位</w:t>
                      </w:r>
                      <w:r>
                        <w:rPr>
                          <w:rFonts w:ascii="新細明體" w:hAnsi="新細明體" w:cstheme="minorBidi" w:hint="eastAsia"/>
                          <w:sz w:val="20"/>
                          <w:szCs w:val="24"/>
                        </w:rPr>
                        <w:t>：</w:t>
                      </w:r>
                      <w:r w:rsidRPr="00E31547">
                        <w:rPr>
                          <w:rFonts w:ascii="標楷體" w:eastAsia="標楷體" w:hAnsi="標楷體" w:cstheme="minorBidi" w:hint="eastAsia"/>
                          <w:sz w:val="20"/>
                          <w:szCs w:val="24"/>
                        </w:rPr>
                        <w:t>新臺幣</w:t>
                      </w:r>
                      <w:r w:rsidRPr="00994972">
                        <w:rPr>
                          <w:rFonts w:ascii="標楷體" w:eastAsia="標楷體" w:hAnsi="標楷體" w:cstheme="minorBidi" w:hint="eastAsia"/>
                          <w:sz w:val="20"/>
                          <w:szCs w:val="24"/>
                        </w:rPr>
                        <w:t>百萬元、％</w:t>
                      </w:r>
                    </w:p>
                    <w:tbl>
                      <w:tblPr>
                        <w:tblStyle w:val="350"/>
                        <w:tblW w:w="6658" w:type="dxa"/>
                        <w:jc w:val="center"/>
                        <w:tblLook w:val="04A0" w:firstRow="1" w:lastRow="0" w:firstColumn="1" w:lastColumn="0" w:noHBand="0" w:noVBand="1"/>
                      </w:tblPr>
                      <w:tblGrid>
                        <w:gridCol w:w="816"/>
                        <w:gridCol w:w="1948"/>
                        <w:gridCol w:w="928"/>
                        <w:gridCol w:w="1586"/>
                        <w:gridCol w:w="1380"/>
                      </w:tblGrid>
                      <w:tr w:rsidR="00A0212B" w:rsidRPr="00994972" w14:paraId="1AD843FE" w14:textId="77777777" w:rsidTr="00E31547">
                        <w:trPr>
                          <w:trHeight w:val="353"/>
                          <w:jc w:val="center"/>
                        </w:trPr>
                        <w:tc>
                          <w:tcPr>
                            <w:tcW w:w="816" w:type="dxa"/>
                            <w:vMerge w:val="restart"/>
                            <w:vAlign w:val="center"/>
                          </w:tcPr>
                          <w:p w14:paraId="1C56AEEC" w14:textId="77777777" w:rsidR="00A0212B" w:rsidRPr="00994972" w:rsidRDefault="00A0212B" w:rsidP="00037584">
                            <w:pPr>
                              <w:spacing w:line="320" w:lineRule="exact"/>
                              <w:jc w:val="center"/>
                              <w:rPr>
                                <w:rFonts w:ascii="標楷體" w:eastAsia="標楷體" w:hAnsi="標楷體"/>
                                <w:b/>
                                <w:sz w:val="20"/>
                                <w:szCs w:val="20"/>
                              </w:rPr>
                            </w:pPr>
                            <w:r w:rsidRPr="00994972">
                              <w:rPr>
                                <w:rFonts w:ascii="標楷體" w:eastAsia="標楷體" w:hAnsi="標楷體" w:hint="eastAsia"/>
                                <w:sz w:val="20"/>
                                <w:szCs w:val="20"/>
                              </w:rPr>
                              <w:t>年</w:t>
                            </w:r>
                            <w:r>
                              <w:rPr>
                                <w:rFonts w:ascii="標楷體" w:eastAsia="標楷體" w:hAnsi="標楷體" w:hint="eastAsia"/>
                                <w:sz w:val="20"/>
                                <w:szCs w:val="20"/>
                              </w:rPr>
                              <w:t>別</w:t>
                            </w:r>
                          </w:p>
                        </w:tc>
                        <w:tc>
                          <w:tcPr>
                            <w:tcW w:w="2876" w:type="dxa"/>
                            <w:gridSpan w:val="2"/>
                            <w:tcBorders>
                              <w:bottom w:val="nil"/>
                            </w:tcBorders>
                            <w:vAlign w:val="center"/>
                          </w:tcPr>
                          <w:p w14:paraId="448144AA" w14:textId="77777777" w:rsidR="00A0212B" w:rsidRPr="00994972" w:rsidRDefault="00A0212B" w:rsidP="00037584">
                            <w:pPr>
                              <w:spacing w:line="320" w:lineRule="exact"/>
                              <w:rPr>
                                <w:rFonts w:ascii="標楷體" w:eastAsia="標楷體" w:hAnsi="標楷體"/>
                                <w:b/>
                                <w:sz w:val="20"/>
                                <w:szCs w:val="20"/>
                              </w:rPr>
                            </w:pPr>
                            <w:r w:rsidRPr="00994972">
                              <w:rPr>
                                <w:rFonts w:ascii="標楷體" w:eastAsia="標楷體" w:hAnsi="標楷體" w:hint="eastAsia"/>
                                <w:kern w:val="0"/>
                                <w:sz w:val="20"/>
                                <w:szCs w:val="20"/>
                              </w:rPr>
                              <w:t>名目國內生產毛額</w:t>
                            </w:r>
                          </w:p>
                        </w:tc>
                        <w:tc>
                          <w:tcPr>
                            <w:tcW w:w="2966" w:type="dxa"/>
                            <w:gridSpan w:val="2"/>
                            <w:tcBorders>
                              <w:bottom w:val="nil"/>
                            </w:tcBorders>
                            <w:vAlign w:val="center"/>
                          </w:tcPr>
                          <w:p w14:paraId="2E33F8B0" w14:textId="77777777" w:rsidR="00A0212B" w:rsidRPr="005A33D2" w:rsidRDefault="00A0212B" w:rsidP="00037584">
                            <w:pPr>
                              <w:pBdr>
                                <w:right w:val="single" w:sz="4" w:space="4" w:color="auto"/>
                              </w:pBdr>
                              <w:spacing w:line="320" w:lineRule="exact"/>
                              <w:ind w:leftChars="-20" w:left="-48"/>
                              <w:rPr>
                                <w:rFonts w:ascii="標楷體" w:eastAsia="標楷體" w:hAnsi="標楷體"/>
                                <w:b/>
                                <w:spacing w:val="-6"/>
                                <w:sz w:val="20"/>
                                <w:szCs w:val="20"/>
                              </w:rPr>
                            </w:pPr>
                            <w:r w:rsidRPr="005A33D2">
                              <w:rPr>
                                <w:rFonts w:ascii="標楷體" w:eastAsia="標楷體" w:hAnsi="標楷體" w:hint="eastAsia"/>
                                <w:spacing w:val="-6"/>
                                <w:kern w:val="0"/>
                                <w:sz w:val="20"/>
                                <w:szCs w:val="20"/>
                              </w:rPr>
                              <w:t>實質國內生產毛額</w:t>
                            </w:r>
                          </w:p>
                        </w:tc>
                      </w:tr>
                      <w:tr w:rsidR="00A0212B" w:rsidRPr="00994972" w14:paraId="2A29E877" w14:textId="77777777" w:rsidTr="00E31547">
                        <w:trPr>
                          <w:trHeight w:val="353"/>
                          <w:jc w:val="center"/>
                        </w:trPr>
                        <w:tc>
                          <w:tcPr>
                            <w:tcW w:w="816" w:type="dxa"/>
                            <w:vMerge/>
                            <w:vAlign w:val="center"/>
                          </w:tcPr>
                          <w:p w14:paraId="75B528C2" w14:textId="77777777" w:rsidR="00A0212B" w:rsidRPr="00994972" w:rsidRDefault="00A0212B" w:rsidP="00037584">
                            <w:pPr>
                              <w:spacing w:line="320" w:lineRule="exact"/>
                              <w:jc w:val="center"/>
                              <w:rPr>
                                <w:rFonts w:ascii="標楷體" w:eastAsia="標楷體" w:hAnsi="標楷體"/>
                                <w:b/>
                                <w:sz w:val="20"/>
                                <w:szCs w:val="20"/>
                              </w:rPr>
                            </w:pPr>
                          </w:p>
                        </w:tc>
                        <w:tc>
                          <w:tcPr>
                            <w:tcW w:w="1948" w:type="dxa"/>
                            <w:tcBorders>
                              <w:top w:val="nil"/>
                            </w:tcBorders>
                            <w:vAlign w:val="center"/>
                          </w:tcPr>
                          <w:p w14:paraId="41E9913D" w14:textId="4DA18D60" w:rsidR="00A0212B" w:rsidRPr="00994972" w:rsidRDefault="00A0212B" w:rsidP="00037584">
                            <w:pPr>
                              <w:spacing w:line="320" w:lineRule="exact"/>
                              <w:jc w:val="center"/>
                              <w:rPr>
                                <w:rFonts w:ascii="標楷體" w:eastAsia="標楷體" w:hAnsi="標楷體"/>
                                <w:kern w:val="0"/>
                                <w:sz w:val="20"/>
                                <w:szCs w:val="20"/>
                              </w:rPr>
                            </w:pPr>
                            <w:r w:rsidRPr="00C2362F">
                              <w:rPr>
                                <w:rFonts w:ascii="標楷體" w:eastAsia="標楷體" w:hAnsi="標楷體" w:hint="eastAsia"/>
                                <w:kern w:val="0"/>
                                <w:sz w:val="20"/>
                                <w:szCs w:val="20"/>
                              </w:rPr>
                              <w:t>（</w:t>
                            </w:r>
                            <w:r w:rsidRPr="00994972">
                              <w:rPr>
                                <w:rFonts w:ascii="標楷體" w:eastAsia="標楷體" w:hAnsi="標楷體" w:hint="eastAsia"/>
                                <w:kern w:val="0"/>
                                <w:sz w:val="20"/>
                                <w:szCs w:val="20"/>
                              </w:rPr>
                              <w:t>當期價格</w:t>
                            </w:r>
                            <w:r w:rsidR="006C41C5" w:rsidRPr="006C41C5">
                              <w:rPr>
                                <w:rFonts w:ascii="標楷體" w:eastAsia="標楷體" w:hAnsi="標楷體" w:hint="eastAsia"/>
                                <w:kern w:val="0"/>
                                <w:sz w:val="20"/>
                                <w:szCs w:val="20"/>
                              </w:rPr>
                              <w:t>）</w:t>
                            </w:r>
                          </w:p>
                        </w:tc>
                        <w:tc>
                          <w:tcPr>
                            <w:tcW w:w="928" w:type="dxa"/>
                            <w:tcBorders>
                              <w:top w:val="single" w:sz="4" w:space="0" w:color="auto"/>
                            </w:tcBorders>
                            <w:vAlign w:val="center"/>
                          </w:tcPr>
                          <w:p w14:paraId="3875A741" w14:textId="77777777" w:rsidR="00A0212B" w:rsidRPr="00994972" w:rsidRDefault="00A0212B" w:rsidP="00037584">
                            <w:pPr>
                              <w:spacing w:line="320" w:lineRule="exact"/>
                              <w:jc w:val="center"/>
                              <w:rPr>
                                <w:rFonts w:ascii="標楷體" w:eastAsia="標楷體" w:hAnsi="標楷體"/>
                                <w:kern w:val="0"/>
                                <w:sz w:val="20"/>
                                <w:szCs w:val="20"/>
                              </w:rPr>
                            </w:pPr>
                            <w:r w:rsidRPr="00994972">
                              <w:rPr>
                                <w:rFonts w:ascii="標楷體" w:eastAsia="標楷體" w:hAnsi="標楷體" w:hint="eastAsia"/>
                                <w:kern w:val="0"/>
                                <w:sz w:val="20"/>
                                <w:szCs w:val="20"/>
                              </w:rPr>
                              <w:t>年增率</w:t>
                            </w:r>
                          </w:p>
                        </w:tc>
                        <w:tc>
                          <w:tcPr>
                            <w:tcW w:w="1586" w:type="dxa"/>
                            <w:tcBorders>
                              <w:top w:val="nil"/>
                              <w:right w:val="single" w:sz="4" w:space="0" w:color="auto"/>
                            </w:tcBorders>
                            <w:vAlign w:val="center"/>
                          </w:tcPr>
                          <w:p w14:paraId="149E3724" w14:textId="1AA604FD" w:rsidR="00A0212B" w:rsidRPr="00994972" w:rsidRDefault="00A0212B" w:rsidP="00037584">
                            <w:pPr>
                              <w:spacing w:line="320" w:lineRule="exact"/>
                              <w:ind w:leftChars="-44" w:left="-20" w:rightChars="-37" w:right="-89" w:hangingChars="54" w:hanging="86"/>
                              <w:jc w:val="center"/>
                              <w:rPr>
                                <w:rFonts w:ascii="標楷體" w:eastAsia="標楷體" w:hAnsi="標楷體"/>
                                <w:kern w:val="0"/>
                                <w:sz w:val="20"/>
                                <w:szCs w:val="20"/>
                              </w:rPr>
                            </w:pPr>
                            <w:r w:rsidRPr="00C2362F">
                              <w:rPr>
                                <w:rFonts w:ascii="標楷體" w:eastAsia="標楷體" w:hAnsi="標楷體" w:hint="eastAsia"/>
                                <w:spacing w:val="-20"/>
                                <w:kern w:val="0"/>
                                <w:sz w:val="20"/>
                                <w:szCs w:val="20"/>
                              </w:rPr>
                              <w:t>（</w:t>
                            </w:r>
                            <w:r w:rsidRPr="00994972">
                              <w:rPr>
                                <w:rFonts w:ascii="標楷體" w:eastAsia="標楷體" w:hAnsi="標楷體" w:hint="eastAsia"/>
                                <w:spacing w:val="-20"/>
                                <w:kern w:val="0"/>
                                <w:sz w:val="20"/>
                                <w:szCs w:val="20"/>
                              </w:rPr>
                              <w:t>以</w:t>
                            </w:r>
                            <w:r w:rsidRPr="00994972">
                              <w:rPr>
                                <w:rFonts w:ascii="標楷體" w:eastAsia="標楷體" w:hAnsi="標楷體"/>
                                <w:spacing w:val="-20"/>
                                <w:kern w:val="0"/>
                                <w:sz w:val="20"/>
                                <w:szCs w:val="20"/>
                              </w:rPr>
                              <w:t>105</w:t>
                            </w:r>
                            <w:r w:rsidRPr="00994972">
                              <w:rPr>
                                <w:rFonts w:ascii="標楷體" w:eastAsia="標楷體" w:hAnsi="標楷體" w:hint="eastAsia"/>
                                <w:spacing w:val="-20"/>
                                <w:kern w:val="0"/>
                                <w:sz w:val="20"/>
                                <w:szCs w:val="20"/>
                              </w:rPr>
                              <w:t>年為參考年</w:t>
                            </w:r>
                            <w:r w:rsidR="006C41C5" w:rsidRPr="006C41C5">
                              <w:rPr>
                                <w:rFonts w:ascii="標楷體" w:eastAsia="標楷體" w:hAnsi="標楷體" w:hint="eastAsia"/>
                                <w:spacing w:val="-20"/>
                                <w:kern w:val="0"/>
                                <w:sz w:val="20"/>
                                <w:szCs w:val="20"/>
                              </w:rPr>
                              <w:t>）</w:t>
                            </w:r>
                          </w:p>
                        </w:tc>
                        <w:tc>
                          <w:tcPr>
                            <w:tcW w:w="1380" w:type="dxa"/>
                            <w:tcBorders>
                              <w:top w:val="single" w:sz="4" w:space="0" w:color="auto"/>
                              <w:left w:val="single" w:sz="4" w:space="0" w:color="auto"/>
                            </w:tcBorders>
                            <w:vAlign w:val="center"/>
                          </w:tcPr>
                          <w:p w14:paraId="14B62158" w14:textId="77777777" w:rsidR="00A0212B" w:rsidRPr="00994972" w:rsidRDefault="00A0212B" w:rsidP="00037584">
                            <w:pPr>
                              <w:spacing w:line="320" w:lineRule="exact"/>
                              <w:jc w:val="center"/>
                              <w:rPr>
                                <w:rFonts w:ascii="標楷體" w:eastAsia="標楷體" w:hAnsi="標楷體"/>
                                <w:kern w:val="0"/>
                                <w:sz w:val="20"/>
                                <w:szCs w:val="20"/>
                              </w:rPr>
                            </w:pPr>
                            <w:r w:rsidRPr="00994972">
                              <w:rPr>
                                <w:rFonts w:ascii="標楷體" w:eastAsia="標楷體" w:hAnsi="標楷體" w:hint="eastAsia"/>
                                <w:kern w:val="0"/>
                                <w:sz w:val="20"/>
                                <w:szCs w:val="20"/>
                              </w:rPr>
                              <w:t>經濟成長率</w:t>
                            </w:r>
                          </w:p>
                        </w:tc>
                      </w:tr>
                      <w:tr w:rsidR="00A0212B" w:rsidRPr="00994972" w14:paraId="352CE3E8" w14:textId="77777777" w:rsidTr="00E31547">
                        <w:trPr>
                          <w:trHeight w:val="353"/>
                          <w:jc w:val="center"/>
                        </w:trPr>
                        <w:tc>
                          <w:tcPr>
                            <w:tcW w:w="816" w:type="dxa"/>
                            <w:vAlign w:val="center"/>
                          </w:tcPr>
                          <w:p w14:paraId="24C7D940"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98</w:t>
                            </w:r>
                          </w:p>
                        </w:tc>
                        <w:tc>
                          <w:tcPr>
                            <w:tcW w:w="1948" w:type="dxa"/>
                            <w:vAlign w:val="center"/>
                          </w:tcPr>
                          <w:p w14:paraId="21E632A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12,919,445</w:t>
                            </w:r>
                          </w:p>
                        </w:tc>
                        <w:tc>
                          <w:tcPr>
                            <w:tcW w:w="928" w:type="dxa"/>
                            <w:vAlign w:val="center"/>
                          </w:tcPr>
                          <w:p w14:paraId="17333387"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w:t>
                            </w:r>
                            <w:r w:rsidRPr="00994972">
                              <w:rPr>
                                <w:rFonts w:ascii="標楷體" w:eastAsia="標楷體" w:hAnsi="標楷體" w:hint="eastAsia"/>
                                <w:kern w:val="0"/>
                                <w:sz w:val="20"/>
                                <w:szCs w:val="20"/>
                              </w:rPr>
                              <w:t xml:space="preserve"> </w:t>
                            </w:r>
                            <w:r w:rsidRPr="00994972">
                              <w:rPr>
                                <w:rFonts w:ascii="標楷體" w:eastAsia="標楷體" w:hAnsi="標楷體"/>
                                <w:kern w:val="0"/>
                                <w:sz w:val="20"/>
                                <w:szCs w:val="20"/>
                              </w:rPr>
                              <w:t>1.49</w:t>
                            </w:r>
                          </w:p>
                        </w:tc>
                        <w:tc>
                          <w:tcPr>
                            <w:tcW w:w="1586" w:type="dxa"/>
                            <w:vAlign w:val="center"/>
                          </w:tcPr>
                          <w:p w14:paraId="224C6E41"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13,506,148</w:t>
                            </w:r>
                          </w:p>
                        </w:tc>
                        <w:tc>
                          <w:tcPr>
                            <w:tcW w:w="1380" w:type="dxa"/>
                            <w:vAlign w:val="center"/>
                          </w:tcPr>
                          <w:p w14:paraId="692E6D88"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- 1.61</w:t>
                            </w:r>
                          </w:p>
                        </w:tc>
                      </w:tr>
                      <w:tr w:rsidR="00A0212B" w:rsidRPr="00994972" w14:paraId="3E52D2AE" w14:textId="77777777" w:rsidTr="00E31547">
                        <w:trPr>
                          <w:trHeight w:val="353"/>
                          <w:jc w:val="center"/>
                        </w:trPr>
                        <w:tc>
                          <w:tcPr>
                            <w:tcW w:w="816" w:type="dxa"/>
                            <w:vAlign w:val="center"/>
                          </w:tcPr>
                          <w:p w14:paraId="16300B88"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99</w:t>
                            </w:r>
                          </w:p>
                        </w:tc>
                        <w:tc>
                          <w:tcPr>
                            <w:tcW w:w="1948" w:type="dxa"/>
                            <w:vAlign w:val="center"/>
                          </w:tcPr>
                          <w:p w14:paraId="4C37287D"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14,060,345</w:t>
                            </w:r>
                          </w:p>
                        </w:tc>
                        <w:tc>
                          <w:tcPr>
                            <w:tcW w:w="928" w:type="dxa"/>
                            <w:vAlign w:val="center"/>
                          </w:tcPr>
                          <w:p w14:paraId="7B191335"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8.83</w:t>
                            </w:r>
                          </w:p>
                        </w:tc>
                        <w:tc>
                          <w:tcPr>
                            <w:tcW w:w="1586" w:type="dxa"/>
                            <w:vAlign w:val="center"/>
                          </w:tcPr>
                          <w:p w14:paraId="0C02C341"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14,889,912</w:t>
                            </w:r>
                          </w:p>
                        </w:tc>
                        <w:tc>
                          <w:tcPr>
                            <w:tcW w:w="1380" w:type="dxa"/>
                            <w:vAlign w:val="center"/>
                          </w:tcPr>
                          <w:p w14:paraId="610956C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10.25</w:t>
                            </w:r>
                          </w:p>
                        </w:tc>
                      </w:tr>
                      <w:tr w:rsidR="00A0212B" w:rsidRPr="00994972" w14:paraId="612A616F" w14:textId="77777777" w:rsidTr="00E31547">
                        <w:trPr>
                          <w:trHeight w:val="353"/>
                          <w:jc w:val="center"/>
                        </w:trPr>
                        <w:tc>
                          <w:tcPr>
                            <w:tcW w:w="816" w:type="dxa"/>
                            <w:vAlign w:val="center"/>
                          </w:tcPr>
                          <w:p w14:paraId="0A693482"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100</w:t>
                            </w:r>
                          </w:p>
                        </w:tc>
                        <w:tc>
                          <w:tcPr>
                            <w:tcW w:w="1948" w:type="dxa"/>
                            <w:vAlign w:val="center"/>
                          </w:tcPr>
                          <w:p w14:paraId="011003C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14,262,201</w:t>
                            </w:r>
                          </w:p>
                        </w:tc>
                        <w:tc>
                          <w:tcPr>
                            <w:tcW w:w="928" w:type="dxa"/>
                            <w:vAlign w:val="center"/>
                          </w:tcPr>
                          <w:p w14:paraId="5E6E4EC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1.44</w:t>
                            </w:r>
                          </w:p>
                        </w:tc>
                        <w:tc>
                          <w:tcPr>
                            <w:tcW w:w="1586" w:type="dxa"/>
                            <w:vAlign w:val="center"/>
                          </w:tcPr>
                          <w:p w14:paraId="48D1CFF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15,436,975</w:t>
                            </w:r>
                          </w:p>
                        </w:tc>
                        <w:tc>
                          <w:tcPr>
                            <w:tcW w:w="1380" w:type="dxa"/>
                            <w:vAlign w:val="center"/>
                          </w:tcPr>
                          <w:p w14:paraId="3423EC3B"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3.67</w:t>
                            </w:r>
                          </w:p>
                        </w:tc>
                      </w:tr>
                      <w:tr w:rsidR="00A0212B" w:rsidRPr="00994972" w14:paraId="384FFBAE" w14:textId="77777777" w:rsidTr="00E31547">
                        <w:trPr>
                          <w:trHeight w:val="353"/>
                          <w:jc w:val="center"/>
                        </w:trPr>
                        <w:tc>
                          <w:tcPr>
                            <w:tcW w:w="816" w:type="dxa"/>
                            <w:vAlign w:val="center"/>
                          </w:tcPr>
                          <w:p w14:paraId="31E8BC89"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101</w:t>
                            </w:r>
                          </w:p>
                        </w:tc>
                        <w:tc>
                          <w:tcPr>
                            <w:tcW w:w="1948" w:type="dxa"/>
                            <w:vAlign w:val="center"/>
                          </w:tcPr>
                          <w:p w14:paraId="4895AC1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14,677,765</w:t>
                            </w:r>
                          </w:p>
                        </w:tc>
                        <w:tc>
                          <w:tcPr>
                            <w:tcW w:w="928" w:type="dxa"/>
                            <w:vAlign w:val="center"/>
                          </w:tcPr>
                          <w:p w14:paraId="30F88DEE"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2.91</w:t>
                            </w:r>
                          </w:p>
                        </w:tc>
                        <w:tc>
                          <w:tcPr>
                            <w:tcW w:w="1586" w:type="dxa"/>
                            <w:vAlign w:val="center"/>
                          </w:tcPr>
                          <w:p w14:paraId="4A69C28B"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15,779,909</w:t>
                            </w:r>
                          </w:p>
                        </w:tc>
                        <w:tc>
                          <w:tcPr>
                            <w:tcW w:w="1380" w:type="dxa"/>
                            <w:vAlign w:val="center"/>
                          </w:tcPr>
                          <w:p w14:paraId="56593B97"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2.22</w:t>
                            </w:r>
                          </w:p>
                        </w:tc>
                      </w:tr>
                      <w:tr w:rsidR="00A0212B" w:rsidRPr="00994972" w14:paraId="41BBEFE7" w14:textId="77777777" w:rsidTr="00E31547">
                        <w:trPr>
                          <w:trHeight w:val="353"/>
                          <w:jc w:val="center"/>
                        </w:trPr>
                        <w:tc>
                          <w:tcPr>
                            <w:tcW w:w="816" w:type="dxa"/>
                            <w:vAlign w:val="center"/>
                          </w:tcPr>
                          <w:p w14:paraId="6F77044C"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102</w:t>
                            </w:r>
                          </w:p>
                        </w:tc>
                        <w:tc>
                          <w:tcPr>
                            <w:tcW w:w="1948" w:type="dxa"/>
                            <w:vAlign w:val="center"/>
                          </w:tcPr>
                          <w:p w14:paraId="43ECB964"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15,270,728</w:t>
                            </w:r>
                          </w:p>
                        </w:tc>
                        <w:tc>
                          <w:tcPr>
                            <w:tcW w:w="928" w:type="dxa"/>
                            <w:vAlign w:val="center"/>
                          </w:tcPr>
                          <w:p w14:paraId="6B910CD0"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4.04</w:t>
                            </w:r>
                          </w:p>
                        </w:tc>
                        <w:tc>
                          <w:tcPr>
                            <w:tcW w:w="1586" w:type="dxa"/>
                            <w:vAlign w:val="center"/>
                          </w:tcPr>
                          <w:p w14:paraId="36A57F73"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16,171,821</w:t>
                            </w:r>
                          </w:p>
                        </w:tc>
                        <w:tc>
                          <w:tcPr>
                            <w:tcW w:w="1380" w:type="dxa"/>
                            <w:vAlign w:val="center"/>
                          </w:tcPr>
                          <w:p w14:paraId="06172A3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2.48</w:t>
                            </w:r>
                          </w:p>
                        </w:tc>
                      </w:tr>
                      <w:tr w:rsidR="00A0212B" w:rsidRPr="00994972" w14:paraId="558EE321" w14:textId="77777777" w:rsidTr="00E31547">
                        <w:trPr>
                          <w:trHeight w:val="353"/>
                          <w:jc w:val="center"/>
                        </w:trPr>
                        <w:tc>
                          <w:tcPr>
                            <w:tcW w:w="816" w:type="dxa"/>
                            <w:vAlign w:val="center"/>
                          </w:tcPr>
                          <w:p w14:paraId="61EF3BEB"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103</w:t>
                            </w:r>
                          </w:p>
                        </w:tc>
                        <w:tc>
                          <w:tcPr>
                            <w:tcW w:w="1948" w:type="dxa"/>
                            <w:vAlign w:val="center"/>
                          </w:tcPr>
                          <w:p w14:paraId="31DA9FC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16,258,047</w:t>
                            </w:r>
                          </w:p>
                        </w:tc>
                        <w:tc>
                          <w:tcPr>
                            <w:tcW w:w="928" w:type="dxa"/>
                            <w:vAlign w:val="center"/>
                          </w:tcPr>
                          <w:p w14:paraId="2B2F92D8"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6.47</w:t>
                            </w:r>
                          </w:p>
                        </w:tc>
                        <w:tc>
                          <w:tcPr>
                            <w:tcW w:w="1586" w:type="dxa"/>
                            <w:vAlign w:val="center"/>
                          </w:tcPr>
                          <w:p w14:paraId="5B21393D"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16,935,007</w:t>
                            </w:r>
                          </w:p>
                        </w:tc>
                        <w:tc>
                          <w:tcPr>
                            <w:tcW w:w="1380" w:type="dxa"/>
                            <w:vAlign w:val="center"/>
                          </w:tcPr>
                          <w:p w14:paraId="249DD20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4.72</w:t>
                            </w:r>
                          </w:p>
                        </w:tc>
                      </w:tr>
                      <w:tr w:rsidR="00A0212B" w:rsidRPr="00994972" w14:paraId="68768292" w14:textId="77777777" w:rsidTr="00E31547">
                        <w:trPr>
                          <w:trHeight w:val="353"/>
                          <w:jc w:val="center"/>
                        </w:trPr>
                        <w:tc>
                          <w:tcPr>
                            <w:tcW w:w="816" w:type="dxa"/>
                            <w:vAlign w:val="center"/>
                          </w:tcPr>
                          <w:p w14:paraId="65AC569B"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104</w:t>
                            </w:r>
                          </w:p>
                        </w:tc>
                        <w:tc>
                          <w:tcPr>
                            <w:tcW w:w="1948" w:type="dxa"/>
                            <w:vAlign w:val="center"/>
                          </w:tcPr>
                          <w:p w14:paraId="1F836E8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17,055,080</w:t>
                            </w:r>
                          </w:p>
                        </w:tc>
                        <w:tc>
                          <w:tcPr>
                            <w:tcW w:w="928" w:type="dxa"/>
                            <w:vAlign w:val="center"/>
                          </w:tcPr>
                          <w:p w14:paraId="1034BC77"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4.90</w:t>
                            </w:r>
                          </w:p>
                        </w:tc>
                        <w:tc>
                          <w:tcPr>
                            <w:tcW w:w="1586" w:type="dxa"/>
                            <w:vAlign w:val="center"/>
                          </w:tcPr>
                          <w:p w14:paraId="522EDF45"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17,183,235</w:t>
                            </w:r>
                          </w:p>
                        </w:tc>
                        <w:tc>
                          <w:tcPr>
                            <w:tcW w:w="1380" w:type="dxa"/>
                            <w:vAlign w:val="center"/>
                          </w:tcPr>
                          <w:p w14:paraId="6B384330"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1.47</w:t>
                            </w:r>
                          </w:p>
                        </w:tc>
                      </w:tr>
                      <w:tr w:rsidR="00A0212B" w:rsidRPr="00994972" w14:paraId="7ADB598F" w14:textId="77777777" w:rsidTr="00E31547">
                        <w:trPr>
                          <w:trHeight w:val="353"/>
                          <w:jc w:val="center"/>
                        </w:trPr>
                        <w:tc>
                          <w:tcPr>
                            <w:tcW w:w="816" w:type="dxa"/>
                            <w:vAlign w:val="center"/>
                          </w:tcPr>
                          <w:p w14:paraId="257BF7E1"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105</w:t>
                            </w:r>
                          </w:p>
                        </w:tc>
                        <w:tc>
                          <w:tcPr>
                            <w:tcW w:w="1948" w:type="dxa"/>
                            <w:vAlign w:val="center"/>
                          </w:tcPr>
                          <w:p w14:paraId="1FE1283D"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17,555,268</w:t>
                            </w:r>
                          </w:p>
                        </w:tc>
                        <w:tc>
                          <w:tcPr>
                            <w:tcW w:w="928" w:type="dxa"/>
                            <w:vAlign w:val="center"/>
                          </w:tcPr>
                          <w:p w14:paraId="1BD17A2A"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2.93</w:t>
                            </w:r>
                          </w:p>
                        </w:tc>
                        <w:tc>
                          <w:tcPr>
                            <w:tcW w:w="1586" w:type="dxa"/>
                            <w:vAlign w:val="center"/>
                          </w:tcPr>
                          <w:p w14:paraId="4E48541B"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17,555,268</w:t>
                            </w:r>
                          </w:p>
                        </w:tc>
                        <w:tc>
                          <w:tcPr>
                            <w:tcW w:w="1380" w:type="dxa"/>
                            <w:vAlign w:val="center"/>
                          </w:tcPr>
                          <w:p w14:paraId="47CF682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2.17</w:t>
                            </w:r>
                          </w:p>
                        </w:tc>
                      </w:tr>
                      <w:tr w:rsidR="00A0212B" w:rsidRPr="00994972" w14:paraId="51F566EE" w14:textId="77777777" w:rsidTr="00E31547">
                        <w:trPr>
                          <w:trHeight w:val="353"/>
                          <w:jc w:val="center"/>
                        </w:trPr>
                        <w:tc>
                          <w:tcPr>
                            <w:tcW w:w="816" w:type="dxa"/>
                            <w:vAlign w:val="center"/>
                          </w:tcPr>
                          <w:p w14:paraId="4C07C865"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106</w:t>
                            </w:r>
                          </w:p>
                        </w:tc>
                        <w:tc>
                          <w:tcPr>
                            <w:tcW w:w="1948" w:type="dxa"/>
                            <w:vAlign w:val="center"/>
                          </w:tcPr>
                          <w:p w14:paraId="619FB7D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17,983,347</w:t>
                            </w:r>
                          </w:p>
                        </w:tc>
                        <w:tc>
                          <w:tcPr>
                            <w:tcW w:w="928" w:type="dxa"/>
                            <w:vAlign w:val="center"/>
                          </w:tcPr>
                          <w:p w14:paraId="475D65B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2.44</w:t>
                            </w:r>
                          </w:p>
                        </w:tc>
                        <w:tc>
                          <w:tcPr>
                            <w:tcW w:w="1586" w:type="dxa"/>
                            <w:vAlign w:val="center"/>
                          </w:tcPr>
                          <w:p w14:paraId="6513DB7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18,136,589</w:t>
                            </w:r>
                          </w:p>
                        </w:tc>
                        <w:tc>
                          <w:tcPr>
                            <w:tcW w:w="1380" w:type="dxa"/>
                            <w:vAlign w:val="center"/>
                          </w:tcPr>
                          <w:p w14:paraId="45D6869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3.31</w:t>
                            </w:r>
                          </w:p>
                        </w:tc>
                      </w:tr>
                      <w:tr w:rsidR="00A0212B" w:rsidRPr="00994972" w14:paraId="5ACA9233" w14:textId="77777777" w:rsidTr="00E31547">
                        <w:trPr>
                          <w:trHeight w:val="353"/>
                          <w:jc w:val="center"/>
                        </w:trPr>
                        <w:tc>
                          <w:tcPr>
                            <w:tcW w:w="816" w:type="dxa"/>
                            <w:vAlign w:val="center"/>
                          </w:tcPr>
                          <w:p w14:paraId="4E7A94C6"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107</w:t>
                            </w:r>
                          </w:p>
                        </w:tc>
                        <w:tc>
                          <w:tcPr>
                            <w:tcW w:w="1948" w:type="dxa"/>
                            <w:vAlign w:val="center"/>
                          </w:tcPr>
                          <w:p w14:paraId="4FAA4160"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18,375,022</w:t>
                            </w:r>
                          </w:p>
                        </w:tc>
                        <w:tc>
                          <w:tcPr>
                            <w:tcW w:w="928" w:type="dxa"/>
                            <w:vAlign w:val="center"/>
                          </w:tcPr>
                          <w:p w14:paraId="519AEAB9"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2.18</w:t>
                            </w:r>
                          </w:p>
                        </w:tc>
                        <w:tc>
                          <w:tcPr>
                            <w:tcW w:w="1586" w:type="dxa"/>
                            <w:vAlign w:val="center"/>
                          </w:tcPr>
                          <w:p w14:paraId="3F2B95C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18,642,014</w:t>
                            </w:r>
                          </w:p>
                        </w:tc>
                        <w:tc>
                          <w:tcPr>
                            <w:tcW w:w="1380" w:type="dxa"/>
                            <w:vAlign w:val="center"/>
                          </w:tcPr>
                          <w:p w14:paraId="061E7DBE"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2.79</w:t>
                            </w:r>
                          </w:p>
                        </w:tc>
                      </w:tr>
                      <w:tr w:rsidR="00A0212B" w:rsidRPr="00994972" w14:paraId="27029AF4" w14:textId="77777777" w:rsidTr="00E31547">
                        <w:trPr>
                          <w:trHeight w:val="353"/>
                          <w:jc w:val="center"/>
                        </w:trPr>
                        <w:tc>
                          <w:tcPr>
                            <w:tcW w:w="816" w:type="dxa"/>
                            <w:vAlign w:val="center"/>
                          </w:tcPr>
                          <w:p w14:paraId="2857A6DD"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108</w:t>
                            </w:r>
                          </w:p>
                        </w:tc>
                        <w:tc>
                          <w:tcPr>
                            <w:tcW w:w="1948" w:type="dxa"/>
                            <w:vAlign w:val="center"/>
                          </w:tcPr>
                          <w:p w14:paraId="45A93B2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18,908,632</w:t>
                            </w:r>
                          </w:p>
                        </w:tc>
                        <w:tc>
                          <w:tcPr>
                            <w:tcW w:w="928" w:type="dxa"/>
                            <w:vAlign w:val="center"/>
                          </w:tcPr>
                          <w:p w14:paraId="08505E2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2.90</w:t>
                            </w:r>
                          </w:p>
                        </w:tc>
                        <w:tc>
                          <w:tcPr>
                            <w:tcW w:w="1586" w:type="dxa"/>
                            <w:vAlign w:val="center"/>
                          </w:tcPr>
                          <w:p w14:paraId="0E39D7F7"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19,213,196</w:t>
                            </w:r>
                          </w:p>
                        </w:tc>
                        <w:tc>
                          <w:tcPr>
                            <w:tcW w:w="1380" w:type="dxa"/>
                            <w:vAlign w:val="center"/>
                          </w:tcPr>
                          <w:p w14:paraId="5C1EDC9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3.06</w:t>
                            </w:r>
                          </w:p>
                        </w:tc>
                      </w:tr>
                      <w:tr w:rsidR="00A0212B" w:rsidRPr="00994972" w14:paraId="4458AB11" w14:textId="77777777" w:rsidTr="00E31547">
                        <w:trPr>
                          <w:trHeight w:val="353"/>
                          <w:jc w:val="center"/>
                        </w:trPr>
                        <w:tc>
                          <w:tcPr>
                            <w:tcW w:w="816" w:type="dxa"/>
                            <w:vAlign w:val="center"/>
                          </w:tcPr>
                          <w:p w14:paraId="29FF384A"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109</w:t>
                            </w:r>
                          </w:p>
                        </w:tc>
                        <w:tc>
                          <w:tcPr>
                            <w:tcW w:w="1948" w:type="dxa"/>
                            <w:vAlign w:val="center"/>
                          </w:tcPr>
                          <w:p w14:paraId="3F1F4AD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19,914,806</w:t>
                            </w:r>
                          </w:p>
                        </w:tc>
                        <w:tc>
                          <w:tcPr>
                            <w:tcW w:w="928" w:type="dxa"/>
                            <w:vAlign w:val="center"/>
                          </w:tcPr>
                          <w:p w14:paraId="2E862F4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5.32</w:t>
                            </w:r>
                          </w:p>
                        </w:tc>
                        <w:tc>
                          <w:tcPr>
                            <w:tcW w:w="1586" w:type="dxa"/>
                            <w:vAlign w:val="center"/>
                          </w:tcPr>
                          <w:p w14:paraId="6CCFD010"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19,863,877</w:t>
                            </w:r>
                          </w:p>
                        </w:tc>
                        <w:tc>
                          <w:tcPr>
                            <w:tcW w:w="1380" w:type="dxa"/>
                            <w:vAlign w:val="center"/>
                          </w:tcPr>
                          <w:p w14:paraId="7B6DF4E3"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3.39</w:t>
                            </w:r>
                          </w:p>
                        </w:tc>
                      </w:tr>
                      <w:tr w:rsidR="00A0212B" w:rsidRPr="00994972" w14:paraId="5FA222AF" w14:textId="77777777" w:rsidTr="00E31547">
                        <w:trPr>
                          <w:trHeight w:val="353"/>
                          <w:jc w:val="center"/>
                        </w:trPr>
                        <w:tc>
                          <w:tcPr>
                            <w:tcW w:w="816" w:type="dxa"/>
                            <w:vAlign w:val="center"/>
                          </w:tcPr>
                          <w:p w14:paraId="18A775BB"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110</w:t>
                            </w:r>
                          </w:p>
                        </w:tc>
                        <w:tc>
                          <w:tcPr>
                            <w:tcW w:w="1948" w:type="dxa"/>
                            <w:vAlign w:val="center"/>
                          </w:tcPr>
                          <w:p w14:paraId="6B5C5681"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21,663,231</w:t>
                            </w:r>
                          </w:p>
                        </w:tc>
                        <w:tc>
                          <w:tcPr>
                            <w:tcW w:w="928" w:type="dxa"/>
                            <w:vAlign w:val="center"/>
                          </w:tcPr>
                          <w:p w14:paraId="506F8F52"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8.78</w:t>
                            </w:r>
                          </w:p>
                        </w:tc>
                        <w:tc>
                          <w:tcPr>
                            <w:tcW w:w="1586" w:type="dxa"/>
                            <w:vAlign w:val="center"/>
                          </w:tcPr>
                          <w:p w14:paraId="62DA0B63"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21,178,952</w:t>
                            </w:r>
                          </w:p>
                        </w:tc>
                        <w:tc>
                          <w:tcPr>
                            <w:tcW w:w="1380" w:type="dxa"/>
                            <w:vAlign w:val="center"/>
                          </w:tcPr>
                          <w:p w14:paraId="61F3C38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6.62</w:t>
                            </w:r>
                          </w:p>
                        </w:tc>
                      </w:tr>
                      <w:tr w:rsidR="00A0212B" w:rsidRPr="00994972" w14:paraId="32D53228" w14:textId="77777777" w:rsidTr="00E31547">
                        <w:trPr>
                          <w:trHeight w:val="353"/>
                          <w:jc w:val="center"/>
                        </w:trPr>
                        <w:tc>
                          <w:tcPr>
                            <w:tcW w:w="816" w:type="dxa"/>
                            <w:vAlign w:val="center"/>
                          </w:tcPr>
                          <w:p w14:paraId="6A197654" w14:textId="77777777"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111</w:t>
                            </w:r>
                          </w:p>
                        </w:tc>
                        <w:tc>
                          <w:tcPr>
                            <w:tcW w:w="1948" w:type="dxa"/>
                            <w:vAlign w:val="center"/>
                          </w:tcPr>
                          <w:p w14:paraId="6DDD5DCA"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22,679,843</w:t>
                            </w:r>
                          </w:p>
                        </w:tc>
                        <w:tc>
                          <w:tcPr>
                            <w:tcW w:w="928" w:type="dxa"/>
                            <w:vAlign w:val="center"/>
                          </w:tcPr>
                          <w:p w14:paraId="6063F016"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4.69</w:t>
                            </w:r>
                          </w:p>
                        </w:tc>
                        <w:tc>
                          <w:tcPr>
                            <w:tcW w:w="1586" w:type="dxa"/>
                            <w:vAlign w:val="center"/>
                          </w:tcPr>
                          <w:p w14:paraId="74FE76C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21,727,151</w:t>
                            </w:r>
                          </w:p>
                        </w:tc>
                        <w:tc>
                          <w:tcPr>
                            <w:tcW w:w="1380" w:type="dxa"/>
                            <w:vAlign w:val="center"/>
                          </w:tcPr>
                          <w:p w14:paraId="61206525"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2.59</w:t>
                            </w:r>
                          </w:p>
                        </w:tc>
                      </w:tr>
                      <w:tr w:rsidR="00A0212B" w:rsidRPr="00994972" w14:paraId="124BEEBD" w14:textId="77777777" w:rsidTr="00E31547">
                        <w:trPr>
                          <w:trHeight w:val="353"/>
                          <w:jc w:val="center"/>
                        </w:trPr>
                        <w:tc>
                          <w:tcPr>
                            <w:tcW w:w="816" w:type="dxa"/>
                            <w:vAlign w:val="center"/>
                          </w:tcPr>
                          <w:p w14:paraId="37F1E9B8" w14:textId="3831F99D" w:rsidR="00A0212B" w:rsidRPr="00994972" w:rsidRDefault="00A0212B" w:rsidP="00037584">
                            <w:pPr>
                              <w:widowControl/>
                              <w:jc w:val="center"/>
                              <w:rPr>
                                <w:rFonts w:ascii="標楷體" w:eastAsia="標楷體" w:hAnsi="標楷體"/>
                                <w:kern w:val="0"/>
                                <w:sz w:val="20"/>
                                <w:szCs w:val="20"/>
                              </w:rPr>
                            </w:pPr>
                            <w:r w:rsidRPr="00994972">
                              <w:rPr>
                                <w:rFonts w:ascii="標楷體" w:eastAsia="標楷體" w:hAnsi="標楷體"/>
                                <w:kern w:val="0"/>
                                <w:sz w:val="20"/>
                                <w:szCs w:val="20"/>
                              </w:rPr>
                              <w:t>112</w:t>
                            </w:r>
                            <w:r w:rsidRPr="00C2362F">
                              <w:rPr>
                                <w:rFonts w:ascii="標楷體" w:eastAsia="標楷體" w:hAnsi="標楷體" w:hint="eastAsia"/>
                                <w:kern w:val="0"/>
                                <w:sz w:val="20"/>
                                <w:szCs w:val="20"/>
                              </w:rPr>
                              <w:t>（</w:t>
                            </w:r>
                            <w:r>
                              <w:rPr>
                                <w:rFonts w:ascii="標楷體" w:eastAsia="標楷體" w:hAnsi="標楷體"/>
                                <w:kern w:val="0"/>
                                <w:sz w:val="20"/>
                                <w:szCs w:val="20"/>
                              </w:rPr>
                              <w:t>r</w:t>
                            </w:r>
                            <w:r w:rsidR="006C41C5" w:rsidRPr="006C41C5">
                              <w:rPr>
                                <w:rFonts w:ascii="標楷體" w:eastAsia="標楷體" w:hAnsi="標楷體" w:hint="eastAsia"/>
                                <w:kern w:val="0"/>
                                <w:sz w:val="20"/>
                                <w:szCs w:val="20"/>
                              </w:rPr>
                              <w:t>）</w:t>
                            </w:r>
                          </w:p>
                        </w:tc>
                        <w:tc>
                          <w:tcPr>
                            <w:tcW w:w="1948" w:type="dxa"/>
                            <w:vAlign w:val="center"/>
                          </w:tcPr>
                          <w:p w14:paraId="56A012BB"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23,5</w:t>
                            </w:r>
                            <w:r>
                              <w:rPr>
                                <w:rFonts w:ascii="標楷體" w:eastAsia="標楷體" w:hAnsi="標楷體"/>
                                <w:kern w:val="0"/>
                                <w:sz w:val="20"/>
                                <w:szCs w:val="20"/>
                              </w:rPr>
                              <w:t>44</w:t>
                            </w:r>
                            <w:r w:rsidRPr="00994972">
                              <w:rPr>
                                <w:rFonts w:ascii="標楷體" w:eastAsia="標楷體" w:hAnsi="標楷體"/>
                                <w:kern w:val="0"/>
                                <w:sz w:val="20"/>
                                <w:szCs w:val="20"/>
                              </w:rPr>
                              <w:t>,</w:t>
                            </w:r>
                            <w:r>
                              <w:rPr>
                                <w:rFonts w:ascii="標楷體" w:eastAsia="標楷體" w:hAnsi="標楷體"/>
                                <w:kern w:val="0"/>
                                <w:sz w:val="20"/>
                                <w:szCs w:val="20"/>
                              </w:rPr>
                              <w:t>961</w:t>
                            </w:r>
                          </w:p>
                        </w:tc>
                        <w:tc>
                          <w:tcPr>
                            <w:tcW w:w="928" w:type="dxa"/>
                            <w:vAlign w:val="center"/>
                          </w:tcPr>
                          <w:p w14:paraId="55FB766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3.8</w:t>
                            </w:r>
                            <w:r>
                              <w:rPr>
                                <w:rFonts w:ascii="標楷體" w:eastAsia="標楷體" w:hAnsi="標楷體"/>
                                <w:kern w:val="0"/>
                                <w:sz w:val="20"/>
                                <w:szCs w:val="20"/>
                              </w:rPr>
                              <w:t>1</w:t>
                            </w:r>
                          </w:p>
                        </w:tc>
                        <w:tc>
                          <w:tcPr>
                            <w:tcW w:w="1586" w:type="dxa"/>
                            <w:vAlign w:val="center"/>
                          </w:tcPr>
                          <w:p w14:paraId="2AFB6CBF"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22,</w:t>
                            </w:r>
                            <w:r>
                              <w:rPr>
                                <w:rFonts w:ascii="標楷體" w:eastAsia="標楷體" w:hAnsi="標楷體"/>
                                <w:kern w:val="0"/>
                                <w:sz w:val="20"/>
                                <w:szCs w:val="20"/>
                              </w:rPr>
                              <w:t>005</w:t>
                            </w:r>
                            <w:r w:rsidRPr="00994972">
                              <w:rPr>
                                <w:rFonts w:ascii="標楷體" w:eastAsia="標楷體" w:hAnsi="標楷體"/>
                                <w:kern w:val="0"/>
                                <w:sz w:val="20"/>
                                <w:szCs w:val="20"/>
                              </w:rPr>
                              <w:t>,</w:t>
                            </w:r>
                            <w:r>
                              <w:rPr>
                                <w:rFonts w:ascii="標楷體" w:eastAsia="標楷體" w:hAnsi="標楷體"/>
                                <w:kern w:val="0"/>
                                <w:sz w:val="20"/>
                                <w:szCs w:val="20"/>
                              </w:rPr>
                              <w:t>118</w:t>
                            </w:r>
                          </w:p>
                        </w:tc>
                        <w:tc>
                          <w:tcPr>
                            <w:tcW w:w="1380" w:type="dxa"/>
                            <w:vAlign w:val="center"/>
                          </w:tcPr>
                          <w:p w14:paraId="0A87AEDC" w14:textId="77777777" w:rsidR="00A0212B" w:rsidRPr="00994972" w:rsidRDefault="00A0212B" w:rsidP="00037584">
                            <w:pPr>
                              <w:widowControl/>
                              <w:jc w:val="right"/>
                              <w:rPr>
                                <w:rFonts w:ascii="標楷體" w:eastAsia="標楷體" w:hAnsi="標楷體"/>
                                <w:kern w:val="0"/>
                                <w:sz w:val="20"/>
                                <w:szCs w:val="20"/>
                              </w:rPr>
                            </w:pPr>
                            <w:r w:rsidRPr="00994972">
                              <w:rPr>
                                <w:rFonts w:ascii="標楷體" w:eastAsia="標楷體" w:hAnsi="標楷體"/>
                                <w:kern w:val="0"/>
                                <w:sz w:val="20"/>
                                <w:szCs w:val="20"/>
                              </w:rPr>
                              <w:t>1.</w:t>
                            </w:r>
                            <w:r>
                              <w:rPr>
                                <w:rFonts w:ascii="標楷體" w:eastAsia="標楷體" w:hAnsi="標楷體"/>
                                <w:kern w:val="0"/>
                                <w:sz w:val="20"/>
                                <w:szCs w:val="20"/>
                              </w:rPr>
                              <w:t>28</w:t>
                            </w:r>
                          </w:p>
                        </w:tc>
                      </w:tr>
                    </w:tbl>
                    <w:p w14:paraId="061280B6" w14:textId="7DBA63C9" w:rsidR="00A0212B" w:rsidRPr="00994972" w:rsidRDefault="00A0212B" w:rsidP="00E8477C">
                      <w:pPr>
                        <w:adjustRightInd w:val="0"/>
                        <w:snapToGrid w:val="0"/>
                        <w:ind w:leftChars="-10" w:left="-24" w:rightChars="-17" w:right="-41"/>
                        <w:rPr>
                          <w:rFonts w:ascii="標楷體" w:eastAsia="標楷體" w:hAnsi="標楷體" w:cstheme="minorBidi"/>
                          <w:sz w:val="18"/>
                          <w:szCs w:val="24"/>
                        </w:rPr>
                      </w:pPr>
                      <w:r w:rsidRPr="00994972">
                        <w:rPr>
                          <w:rFonts w:ascii="標楷體" w:eastAsia="標楷體" w:hAnsi="標楷體" w:cstheme="minorBidi" w:hint="eastAsia"/>
                          <w:sz w:val="18"/>
                          <w:szCs w:val="24"/>
                        </w:rPr>
                        <w:t>註：1.</w:t>
                      </w:r>
                      <w:r w:rsidRPr="00C2362F">
                        <w:rPr>
                          <w:rFonts w:ascii="標楷體" w:eastAsia="標楷體" w:hAnsi="標楷體" w:cstheme="minorBidi" w:hint="eastAsia"/>
                          <w:sz w:val="18"/>
                          <w:szCs w:val="24"/>
                        </w:rPr>
                        <w:t>（</w:t>
                      </w:r>
                      <w:r>
                        <w:rPr>
                          <w:rFonts w:ascii="標楷體" w:eastAsia="標楷體" w:hAnsi="標楷體" w:cstheme="minorBidi"/>
                          <w:sz w:val="18"/>
                          <w:szCs w:val="24"/>
                        </w:rPr>
                        <w:t>r</w:t>
                      </w:r>
                      <w:r w:rsidR="006C41C5" w:rsidRPr="006C41C5">
                        <w:rPr>
                          <w:rFonts w:ascii="標楷體" w:eastAsia="標楷體" w:hAnsi="標楷體" w:cstheme="minorBidi" w:hint="eastAsia"/>
                          <w:sz w:val="18"/>
                          <w:szCs w:val="24"/>
                        </w:rPr>
                        <w:t>）</w:t>
                      </w:r>
                      <w:r w:rsidRPr="009700F3">
                        <w:rPr>
                          <w:rFonts w:ascii="標楷體" w:eastAsia="標楷體" w:hAnsi="標楷體" w:cstheme="minorBidi" w:hint="eastAsia"/>
                          <w:sz w:val="18"/>
                          <w:szCs w:val="24"/>
                        </w:rPr>
                        <w:t>表</w:t>
                      </w:r>
                      <w:r>
                        <w:rPr>
                          <w:rFonts w:ascii="標楷體" w:eastAsia="標楷體" w:hAnsi="標楷體" w:cstheme="minorBidi" w:hint="eastAsia"/>
                          <w:sz w:val="18"/>
                          <w:szCs w:val="24"/>
                        </w:rPr>
                        <w:t>修</w:t>
                      </w:r>
                      <w:r>
                        <w:rPr>
                          <w:rFonts w:ascii="標楷體" w:eastAsia="標楷體" w:hAnsi="標楷體" w:cstheme="minorBidi"/>
                          <w:sz w:val="18"/>
                          <w:szCs w:val="24"/>
                        </w:rPr>
                        <w:t>正</w:t>
                      </w:r>
                      <w:r w:rsidRPr="009700F3">
                        <w:rPr>
                          <w:rFonts w:ascii="標楷體" w:eastAsia="標楷體" w:hAnsi="標楷體" w:cstheme="minorBidi" w:hint="eastAsia"/>
                          <w:sz w:val="18"/>
                          <w:szCs w:val="24"/>
                        </w:rPr>
                        <w:t>數。</w:t>
                      </w:r>
                    </w:p>
                    <w:p w14:paraId="0EE07480" w14:textId="7C5DAA5E" w:rsidR="00A0212B" w:rsidRPr="00983A06" w:rsidRDefault="00A0212B" w:rsidP="00E8477C">
                      <w:pPr>
                        <w:adjustRightInd w:val="0"/>
                        <w:snapToGrid w:val="0"/>
                        <w:ind w:leftChars="140" w:left="336" w:rightChars="-17" w:right="-41"/>
                        <w:rPr>
                          <w:rFonts w:ascii="標楷體" w:eastAsia="標楷體" w:hAnsi="標楷體" w:cstheme="minorBidi"/>
                          <w:sz w:val="18"/>
                          <w:szCs w:val="24"/>
                        </w:rPr>
                      </w:pPr>
                      <w:r w:rsidRPr="00994972">
                        <w:rPr>
                          <w:rFonts w:ascii="標楷體" w:eastAsia="標楷體" w:hAnsi="標楷體" w:cstheme="minorBidi" w:hint="eastAsia"/>
                          <w:sz w:val="18"/>
                          <w:szCs w:val="24"/>
                        </w:rPr>
                        <w:t>2.</w:t>
                      </w:r>
                      <w:r w:rsidRPr="009700F3">
                        <w:rPr>
                          <w:rFonts w:ascii="標楷體" w:eastAsia="標楷體" w:hAnsi="標楷體" w:cstheme="minorBidi" w:hint="eastAsia"/>
                          <w:sz w:val="18"/>
                          <w:szCs w:val="24"/>
                        </w:rPr>
                        <w:t>資料來源：整理自國民所得統計摘要</w:t>
                      </w:r>
                      <w:r w:rsidRPr="00785541">
                        <w:rPr>
                          <w:rFonts w:ascii="標楷體" w:eastAsia="標楷體" w:hAnsi="標楷體" w:cstheme="minorBidi" w:hint="eastAsia"/>
                          <w:sz w:val="18"/>
                          <w:szCs w:val="24"/>
                        </w:rPr>
                        <w:t>（113年5月更新）資料</w:t>
                      </w:r>
                      <w:r w:rsidRPr="009700F3">
                        <w:rPr>
                          <w:rFonts w:ascii="標楷體" w:eastAsia="標楷體" w:hAnsi="標楷體" w:cstheme="minorBidi" w:hint="eastAsia"/>
                          <w:sz w:val="18"/>
                          <w:szCs w:val="24"/>
                        </w:rPr>
                        <w:t>。</w:t>
                      </w:r>
                    </w:p>
                    <w:p w14:paraId="53E216AF" w14:textId="77777777" w:rsidR="00A0212B" w:rsidRPr="00983A06" w:rsidRDefault="00A0212B" w:rsidP="0031215D">
                      <w:pPr>
                        <w:spacing w:line="20" w:lineRule="exact"/>
                      </w:pPr>
                    </w:p>
                  </w:txbxContent>
                </v:textbox>
                <w10:wrap type="square" anchorx="page" anchory="page"/>
              </v:shape>
            </w:pict>
          </mc:Fallback>
        </mc:AlternateContent>
      </w:r>
      <w:r w:rsidR="00A2675B">
        <w:rPr>
          <w:rFonts w:ascii="標楷體" w:eastAsia="標楷體" w:hAnsi="標楷體" w:hint="eastAsia"/>
          <w:snapToGrid w:val="0"/>
          <w:kern w:val="0"/>
          <w:szCs w:val="24"/>
        </w:rPr>
        <w:t>，</w:t>
      </w:r>
      <w:r w:rsidR="00A2675B" w:rsidRPr="00A2675B">
        <w:rPr>
          <w:rFonts w:ascii="標楷體" w:eastAsia="標楷體" w:hAnsi="標楷體" w:hint="eastAsia"/>
          <w:snapToGrid w:val="0"/>
          <w:kern w:val="0"/>
          <w:szCs w:val="24"/>
        </w:rPr>
        <w:t>經函請行政院研謀改善。據復：業請國家發展委員會研處中。</w:t>
      </w:r>
    </w:p>
    <w:p w14:paraId="57AD4B03" w14:textId="2A6E6936" w:rsidR="008B2801" w:rsidRDefault="0031215D" w:rsidP="004D7C92">
      <w:pPr>
        <w:overflowPunct w:val="0"/>
        <w:spacing w:line="420" w:lineRule="exact"/>
        <w:ind w:firstLineChars="450" w:firstLine="1081"/>
        <w:jc w:val="both"/>
        <w:rPr>
          <w:rFonts w:ascii="標楷體" w:eastAsia="標楷體" w:hAnsi="標楷體"/>
          <w:snapToGrid w:val="0"/>
          <w:kern w:val="0"/>
          <w:szCs w:val="32"/>
        </w:rPr>
      </w:pPr>
      <w:r w:rsidRPr="0031215D">
        <w:rPr>
          <w:rFonts w:ascii="標楷體" w:eastAsia="標楷體" w:hAnsi="標楷體" w:hint="eastAsia"/>
          <w:b/>
          <w:snapToGrid w:val="0"/>
          <w:kern w:val="0"/>
          <w:szCs w:val="24"/>
        </w:rPr>
        <w:t>1.　政府財政、教育、經濟、勞動、社福部門針對改善所得分配雖已採取相關因應措施，惟我國近年來所得分配不均程度及所得差距倍數均微幅擴大，允宜研議重新恢復改善所得分配專案小組之運作，並輔以導入循證治理，積極盤點有效政策工具，推出具體且可行之改善對策：</w:t>
      </w:r>
      <w:r w:rsidRPr="0031215D">
        <w:rPr>
          <w:rFonts w:ascii="標楷體" w:eastAsia="標楷體" w:hAnsi="標楷體" w:hint="eastAsia"/>
          <w:snapToGrid w:val="0"/>
          <w:kern w:val="0"/>
          <w:szCs w:val="24"/>
        </w:rPr>
        <w:t>我國永續發展目標將「減少國內及國家間不平等」列為核心目標10，其具體目標10.4揭示「透過推動社會保障措施，照顧經濟弱勢、強化就業能力、促進薪資成長及提升租稅公平，持續改善所得分配。」經查近年來所得分配情形及政府各項改善措施，核有：（1）依據行政院主計總處</w:t>
      </w:r>
      <w:r w:rsidR="00C2362F" w:rsidRPr="00C2362F">
        <w:rPr>
          <w:rFonts w:ascii="標楷體" w:eastAsia="標楷體" w:hAnsi="標楷體" w:hint="eastAsia"/>
          <w:snapToGrid w:val="0"/>
          <w:kern w:val="0"/>
          <w:szCs w:val="24"/>
        </w:rPr>
        <w:t>（</w:t>
      </w:r>
      <w:r w:rsidRPr="0031215D">
        <w:rPr>
          <w:rFonts w:ascii="標楷體" w:eastAsia="標楷體" w:hAnsi="標楷體" w:hint="eastAsia"/>
          <w:snapToGrid w:val="0"/>
          <w:kern w:val="0"/>
          <w:szCs w:val="24"/>
        </w:rPr>
        <w:t>下稱主計總處）113年5月發布之國民所得統計摘要資料顯示，我國經濟成長率自99年以來均維持正成長，110年甚至成長達6.62％，創下近11年來新高紀錄，111及112年受地緣政治風險升高，約制全球經濟成長力道，經濟成長率雖略降為2.59％及1.28％（</w:t>
      </w:r>
      <w:r w:rsidRPr="006678C5">
        <w:rPr>
          <w:rFonts w:ascii="標楷體" w:eastAsia="標楷體" w:hAnsi="標楷體" w:hint="eastAsia"/>
          <w:snapToGrid w:val="0"/>
          <w:kern w:val="0"/>
          <w:szCs w:val="24"/>
        </w:rPr>
        <w:t>表</w:t>
      </w:r>
      <w:r w:rsidR="00204F2B" w:rsidRPr="006678C5">
        <w:rPr>
          <w:rFonts w:ascii="標楷體" w:eastAsia="標楷體" w:hAnsi="標楷體"/>
          <w:snapToGrid w:val="0"/>
          <w:kern w:val="0"/>
          <w:szCs w:val="24"/>
        </w:rPr>
        <w:t>2</w:t>
      </w:r>
      <w:r w:rsidRPr="0031215D">
        <w:rPr>
          <w:rFonts w:ascii="標楷體" w:eastAsia="標楷體" w:hAnsi="標楷體" w:hint="eastAsia"/>
          <w:snapToGrid w:val="0"/>
          <w:kern w:val="0"/>
          <w:szCs w:val="24"/>
        </w:rPr>
        <w:t>），經濟前景仍為穩健成長，企業獲利可觀；又據中華民國統計資訊網之統計資料顯示，我國受僱人員報酬總額自101年以來均持續成長，惟受僱人員報酬占國內生產毛額</w:t>
      </w:r>
      <w:r w:rsidRPr="0031215D">
        <w:rPr>
          <w:rFonts w:ascii="標楷體" w:eastAsia="標楷體" w:hAnsi="Calibri" w:hint="eastAsia"/>
          <w:snapToGrid w:val="0"/>
          <w:kern w:val="0"/>
          <w:szCs w:val="24"/>
        </w:rPr>
        <w:t>（Gross Domestic Product</w:t>
      </w:r>
      <w:r w:rsidRPr="0031215D">
        <w:rPr>
          <w:rFonts w:ascii="標楷體" w:eastAsia="標楷體" w:hAnsi="標楷體" w:hint="eastAsia"/>
          <w:snapToGrid w:val="0"/>
          <w:color w:val="000000"/>
          <w:kern w:val="0"/>
          <w:szCs w:val="24"/>
        </w:rPr>
        <w:t xml:space="preserve">, </w:t>
      </w:r>
      <w:r w:rsidRPr="0031215D">
        <w:rPr>
          <w:rFonts w:ascii="標楷體" w:eastAsia="標楷體" w:hAnsi="Calibri" w:hint="eastAsia"/>
          <w:snapToGrid w:val="0"/>
          <w:kern w:val="0"/>
          <w:szCs w:val="24"/>
        </w:rPr>
        <w:t>GDP）</w:t>
      </w:r>
      <w:r w:rsidRPr="00C2362F">
        <w:rPr>
          <w:rFonts w:ascii="標楷體" w:eastAsia="標楷體" w:hAnsi="標楷體" w:hint="eastAsia"/>
          <w:snapToGrid w:val="0"/>
          <w:spacing w:val="-4"/>
          <w:kern w:val="0"/>
          <w:szCs w:val="24"/>
        </w:rPr>
        <w:t>之比率，由101年之45.77％，降為110年之43.07％</w:t>
      </w:r>
      <w:r w:rsidR="00C2362F" w:rsidRPr="00C2362F">
        <w:rPr>
          <w:rFonts w:ascii="標楷體" w:eastAsia="標楷體" w:hAnsi="標楷體" w:hint="eastAsia"/>
          <w:snapToGrid w:val="0"/>
          <w:spacing w:val="-4"/>
          <w:kern w:val="0"/>
          <w:szCs w:val="24"/>
        </w:rPr>
        <w:t>（</w:t>
      </w:r>
      <w:r w:rsidRPr="00C2362F">
        <w:rPr>
          <w:rFonts w:ascii="標楷體" w:eastAsia="標楷體" w:hAnsi="標楷體" w:hint="eastAsia"/>
          <w:snapToGrid w:val="0"/>
          <w:spacing w:val="-4"/>
          <w:kern w:val="0"/>
          <w:szCs w:val="24"/>
        </w:rPr>
        <w:t>新低）及111年之43.87％</w:t>
      </w:r>
      <w:r w:rsidR="00C2362F" w:rsidRPr="00C2362F">
        <w:rPr>
          <w:rFonts w:ascii="標楷體" w:eastAsia="標楷體" w:hAnsi="標楷體" w:hint="eastAsia"/>
          <w:snapToGrid w:val="0"/>
          <w:spacing w:val="-4"/>
          <w:kern w:val="0"/>
          <w:szCs w:val="24"/>
        </w:rPr>
        <w:t>（</w:t>
      </w:r>
      <w:r w:rsidRPr="00C2362F">
        <w:rPr>
          <w:rFonts w:ascii="標楷體" w:eastAsia="標楷體" w:hAnsi="標楷體" w:hint="eastAsia"/>
          <w:snapToGrid w:val="0"/>
          <w:spacing w:val="-4"/>
          <w:kern w:val="0"/>
          <w:szCs w:val="24"/>
        </w:rPr>
        <w:t>減少1.9</w:t>
      </w:r>
      <w:r w:rsidRPr="00C2362F">
        <w:rPr>
          <w:rFonts w:ascii="標楷體" w:eastAsia="標楷體" w:hAnsi="標楷體" w:hint="eastAsia"/>
          <w:snapToGrid w:val="0"/>
          <w:spacing w:val="-4"/>
          <w:kern w:val="0"/>
          <w:szCs w:val="24"/>
        </w:rPr>
        <w:lastRenderedPageBreak/>
        <w:t>個百分點）</w:t>
      </w:r>
      <w:r w:rsidRPr="0031215D">
        <w:rPr>
          <w:rFonts w:ascii="標楷體" w:eastAsia="標楷體" w:hAnsi="標楷體" w:hint="eastAsia"/>
          <w:snapToGrid w:val="0"/>
          <w:kern w:val="0"/>
          <w:szCs w:val="24"/>
        </w:rPr>
        <w:t>；至營業盈餘占GDP之比率，反自101年之31.82％，上升至110年之36.41％</w:t>
      </w:r>
      <w:r w:rsidR="00C2362F" w:rsidRPr="00C2362F">
        <w:rPr>
          <w:rFonts w:ascii="標楷體" w:eastAsia="標楷體" w:hAnsi="標楷體" w:hint="eastAsia"/>
          <w:snapToGrid w:val="0"/>
          <w:kern w:val="0"/>
          <w:szCs w:val="24"/>
        </w:rPr>
        <w:t>（</w:t>
      </w:r>
      <w:r w:rsidRPr="0031215D">
        <w:rPr>
          <w:rFonts w:ascii="標楷體" w:eastAsia="標楷體" w:hAnsi="標楷體" w:hint="eastAsia"/>
          <w:snapToGrid w:val="0"/>
          <w:kern w:val="0"/>
          <w:szCs w:val="24"/>
        </w:rPr>
        <w:t>新</w:t>
      </w:r>
      <w:r w:rsidR="00A2675B" w:rsidRPr="0031215D">
        <w:rPr>
          <w:rFonts w:ascii="Calibri" w:hAnsi="Calibri"/>
          <w:i/>
          <w:noProof/>
          <w:snapToGrid w:val="0"/>
          <w:kern w:val="0"/>
          <w:szCs w:val="24"/>
        </w:rPr>
        <mc:AlternateContent>
          <mc:Choice Requires="wps">
            <w:drawing>
              <wp:anchor distT="45720" distB="45720" distL="114300" distR="114300" simplePos="0" relativeHeight="251683840" behindDoc="1" locked="0" layoutInCell="1" allowOverlap="1" wp14:anchorId="6394781C" wp14:editId="7EEF1141">
                <wp:simplePos x="0" y="0"/>
                <wp:positionH relativeFrom="margin">
                  <wp:posOffset>194195</wp:posOffset>
                </wp:positionH>
                <wp:positionV relativeFrom="page">
                  <wp:posOffset>1541203</wp:posOffset>
                </wp:positionV>
                <wp:extent cx="6105600" cy="3283200"/>
                <wp:effectExtent l="0" t="0" r="9525" b="3810"/>
                <wp:wrapTopAndBottom/>
                <wp:docPr id="459" name="文字方塊 4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5600" cy="3283200"/>
                        </a:xfrm>
                        <a:prstGeom prst="rect">
                          <a:avLst/>
                        </a:prstGeom>
                        <a:solidFill>
                          <a:srgbClr val="FFFFFF"/>
                        </a:solidFill>
                        <a:ln w="9525">
                          <a:noFill/>
                          <a:miter lim="800000"/>
                          <a:headEnd/>
                          <a:tailEnd/>
                        </a:ln>
                      </wps:spPr>
                      <wps:txbx>
                        <w:txbxContent>
                          <w:p w14:paraId="3368F8E7" w14:textId="77777777" w:rsidR="00A0212B" w:rsidRDefault="00A0212B" w:rsidP="0031215D">
                            <w:r w:rsidRPr="00B67E12">
                              <w:rPr>
                                <w:noProof/>
                              </w:rPr>
                              <w:drawing>
                                <wp:inline distT="0" distB="0" distL="0" distR="0" wp14:anchorId="68A0D929" wp14:editId="54FDA892">
                                  <wp:extent cx="5897880" cy="2910840"/>
                                  <wp:effectExtent l="0" t="0" r="7620" b="381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D217C0D" w14:textId="77777777" w:rsidR="00A0212B" w:rsidRPr="00455916" w:rsidRDefault="00A0212B" w:rsidP="0031215D">
                            <w:pPr>
                              <w:rPr>
                                <w:sz w:val="18"/>
                                <w:szCs w:val="18"/>
                              </w:rPr>
                            </w:pPr>
                            <w:r w:rsidRPr="00455916">
                              <w:rPr>
                                <w:rFonts w:ascii="標楷體" w:eastAsia="標楷體" w:hAnsi="標楷體" w:hint="eastAsia"/>
                                <w:sz w:val="18"/>
                                <w:szCs w:val="18"/>
                              </w:rPr>
                              <w:t>資料來源：整理自中華民國統計資訊網之國內生產及要素所得資料。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94781C" id="文字方塊 459" o:spid="_x0000_s1028" type="#_x0000_t202" style="position:absolute;left:0;text-align:left;margin-left:15.3pt;margin-top:121.35pt;width:480.75pt;height:258.5pt;z-index:-251632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" stroked="f">
                <v:textbox>
                  <w:txbxContent>
                    <w:p w14:paraId="3368F8E7" w14:textId="77777777" w:rsidR="00A0212B" w:rsidRDefault="00A0212B" w:rsidP="0031215D">
                      <w:r w:rsidRPr="00B67E12">
                        <w:rPr>
                          <w:noProof/>
                        </w:rPr>
                        <w:drawing>
                          <wp:inline distT="0" distB="0" distL="0" distR="0" wp14:anchorId="68A0D929" wp14:editId="54FDA892">
                            <wp:extent cx="5897880" cy="2910840"/>
                            <wp:effectExtent l="0" t="0" r="7620" b="3810"/>
                            <wp:docPr id="1" name="圖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D217C0D" w14:textId="77777777" w:rsidR="00A0212B" w:rsidRPr="00455916" w:rsidRDefault="00A0212B" w:rsidP="0031215D">
                      <w:pPr>
                        <w:rPr>
                          <w:sz w:val="18"/>
                          <w:szCs w:val="18"/>
                        </w:rPr>
                      </w:pPr>
                      <w:r w:rsidRPr="00455916">
                        <w:rPr>
                          <w:rFonts w:ascii="標楷體" w:eastAsia="標楷體" w:hAnsi="標楷體" w:hint="eastAsia"/>
                          <w:sz w:val="18"/>
                          <w:szCs w:val="18"/>
                        </w:rPr>
                        <w:t>資料來源：整理自中華民國統計資訊網之國內生產及要素所得資料。</w:t>
                      </w:r>
                    </w:p>
                  </w:txbxContent>
                </v:textbox>
                <w10:wrap type="topAndBottom" anchorx="margin" anchory="page"/>
              </v:shape>
            </w:pict>
          </mc:Fallback>
        </mc:AlternateContent>
      </w:r>
      <w:r w:rsidRPr="0031215D">
        <w:rPr>
          <w:rFonts w:ascii="標楷體" w:eastAsia="標楷體" w:hAnsi="標楷體" w:hint="eastAsia"/>
          <w:snapToGrid w:val="0"/>
          <w:kern w:val="0"/>
          <w:szCs w:val="24"/>
        </w:rPr>
        <w:t>高）及111年之34.37％（增加2.55個百分點）</w:t>
      </w:r>
      <w:r w:rsidR="00C2362F" w:rsidRPr="00C2362F">
        <w:rPr>
          <w:rFonts w:ascii="標楷體" w:eastAsia="標楷體" w:hAnsi="標楷體" w:hint="eastAsia"/>
          <w:snapToGrid w:val="0"/>
          <w:kern w:val="0"/>
          <w:szCs w:val="24"/>
        </w:rPr>
        <w:t>（</w:t>
      </w:r>
      <w:r w:rsidRPr="00855CF4">
        <w:rPr>
          <w:rFonts w:ascii="標楷體" w:eastAsia="標楷體" w:hAnsi="標楷體" w:hint="eastAsia"/>
          <w:snapToGrid w:val="0"/>
          <w:kern w:val="0"/>
          <w:szCs w:val="24"/>
        </w:rPr>
        <w:t>圖</w:t>
      </w:r>
      <w:r w:rsidRPr="00855CF4">
        <w:rPr>
          <w:rFonts w:ascii="標楷體" w:eastAsia="標楷體" w:hAnsi="標楷體"/>
          <w:snapToGrid w:val="0"/>
          <w:kern w:val="0"/>
          <w:szCs w:val="24"/>
        </w:rPr>
        <w:t>1</w:t>
      </w:r>
      <w:r w:rsidRPr="0031215D">
        <w:rPr>
          <w:rFonts w:ascii="標楷體" w:eastAsia="標楷體" w:hAnsi="標楷體" w:hint="eastAsia"/>
          <w:snapToGrid w:val="0"/>
          <w:kern w:val="0"/>
          <w:szCs w:val="24"/>
        </w:rPr>
        <w:t>）。顯示近10餘年來，產業結構變遷下，總體經濟營運成果分配股東份額逐漸提升，而分享員工份額反呈遞降趨勢，不利員工分享經濟成長果實；（2）依據主計總處112年10月編印之「111年家庭收支調查報</w:t>
      </w:r>
      <w:r w:rsidRPr="0031215D">
        <w:rPr>
          <w:rFonts w:ascii="標楷體" w:eastAsia="標楷體" w:hAnsi="標楷體" w:hint="eastAsia"/>
          <w:snapToGrid w:val="0"/>
          <w:kern w:val="0"/>
          <w:szCs w:val="32"/>
        </w:rPr>
        <w:t>告」，隨全球專業分工、知識經濟發展、人口老化及家庭結構改變，各國或地區</w:t>
      </w:r>
      <w:r w:rsidR="00C2362F" w:rsidRPr="00C2362F">
        <w:rPr>
          <w:rFonts w:ascii="標楷體" w:eastAsia="標楷體" w:hAnsi="標楷體" w:hint="eastAsia"/>
          <w:snapToGrid w:val="0"/>
          <w:kern w:val="0"/>
          <w:szCs w:val="32"/>
        </w:rPr>
        <w:t>（</w:t>
      </w:r>
      <w:r w:rsidRPr="0031215D">
        <w:rPr>
          <w:rFonts w:ascii="標楷體" w:eastAsia="標楷體" w:hAnsi="標楷體" w:hint="eastAsia"/>
          <w:snapToGrid w:val="0"/>
          <w:kern w:val="0"/>
          <w:szCs w:val="32"/>
        </w:rPr>
        <w:t>如：美國、日本、香港、南韓、新加坡等）所得分配差距長期多呈擴大趨勢，而我國自100年間實施「改善所得分配具體方案」</w:t>
      </w:r>
      <w:r w:rsidR="00AC4583" w:rsidRPr="005A33D2">
        <w:rPr>
          <w:noProof/>
          <w:snapToGrid w:val="0"/>
          <w:szCs w:val="24"/>
        </w:rPr>
        <w:drawing>
          <wp:anchor distT="0" distB="0" distL="114300" distR="114300" simplePos="0" relativeHeight="251680768" behindDoc="1" locked="0" layoutInCell="1" allowOverlap="1" wp14:anchorId="5621BAF1" wp14:editId="430E2037">
            <wp:simplePos x="0" y="0"/>
            <wp:positionH relativeFrom="margin">
              <wp:posOffset>189865</wp:posOffset>
            </wp:positionH>
            <wp:positionV relativeFrom="paragraph">
              <wp:posOffset>5619750</wp:posOffset>
            </wp:positionV>
            <wp:extent cx="5920740" cy="3298190"/>
            <wp:effectExtent l="0" t="0" r="3810" b="0"/>
            <wp:wrapTopAndBottom/>
            <wp:docPr id="461" name="圖表 46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14:sizeRelH relativeFrom="page">
              <wp14:pctWidth>0</wp14:pctWidth>
            </wp14:sizeRelH>
            <wp14:sizeRelV relativeFrom="page">
              <wp14:pctHeight>0</wp14:pctHeight>
            </wp14:sizeRelV>
          </wp:anchor>
        </w:drawing>
      </w:r>
      <w:r w:rsidRPr="0031215D">
        <w:rPr>
          <w:rFonts w:ascii="標楷體" w:eastAsia="標楷體" w:hAnsi="標楷體" w:hint="eastAsia"/>
          <w:snapToGrid w:val="0"/>
          <w:kern w:val="0"/>
          <w:szCs w:val="32"/>
        </w:rPr>
        <w:t>後，101至105年家庭所得分配吉尼係數呈略為起伏及下降趨勢，所得差距稍有縮小，惟自106年起反轉，由0.337逐年遞增至111年之0.342（</w:t>
      </w:r>
      <w:r w:rsidRPr="00855CF4">
        <w:rPr>
          <w:rFonts w:ascii="標楷體" w:eastAsia="標楷體" w:hAnsi="標楷體" w:hint="eastAsia"/>
          <w:snapToGrid w:val="0"/>
          <w:kern w:val="0"/>
          <w:szCs w:val="32"/>
        </w:rPr>
        <w:t>圖</w:t>
      </w:r>
      <w:r w:rsidRPr="00855CF4">
        <w:rPr>
          <w:rFonts w:ascii="標楷體" w:eastAsia="標楷體" w:hAnsi="標楷體"/>
          <w:snapToGrid w:val="0"/>
          <w:kern w:val="0"/>
          <w:szCs w:val="32"/>
        </w:rPr>
        <w:t>2</w:t>
      </w:r>
      <w:r w:rsidRPr="0031215D">
        <w:rPr>
          <w:rFonts w:ascii="標楷體" w:eastAsia="標楷體" w:hAnsi="標楷體" w:hint="eastAsia"/>
          <w:snapToGrid w:val="0"/>
          <w:kern w:val="0"/>
          <w:szCs w:val="32"/>
        </w:rPr>
        <w:t>），為近10餘年來之相對高點，所得分</w:t>
      </w:r>
      <w:r w:rsidRPr="0031215D">
        <w:rPr>
          <w:rFonts w:ascii="標楷體" w:eastAsia="標楷體" w:hAnsi="標楷體" w:hint="eastAsia"/>
          <w:snapToGrid w:val="0"/>
          <w:kern w:val="0"/>
          <w:szCs w:val="32"/>
        </w:rPr>
        <w:lastRenderedPageBreak/>
        <w:t>配不均程度未見明顯改善。又政府移轉收支前之五等分位所得差距倍數，自101年之7.70倍連</w:t>
      </w:r>
      <w:r w:rsidR="00EC0508" w:rsidRPr="005A33D2">
        <w:rPr>
          <w:rFonts w:ascii="標楷體" w:eastAsia="標楷體" w:hAnsi="標楷體"/>
          <w:noProof/>
          <w:snapToGrid w:val="0"/>
          <w:kern w:val="0"/>
          <w:szCs w:val="24"/>
        </w:rPr>
        <w:drawing>
          <wp:anchor distT="0" distB="0" distL="114300" distR="114300" simplePos="0" relativeHeight="251684864" behindDoc="1" locked="0" layoutInCell="1" allowOverlap="1" wp14:anchorId="595C31F2" wp14:editId="687F7831">
            <wp:simplePos x="0" y="0"/>
            <wp:positionH relativeFrom="margin">
              <wp:posOffset>120650</wp:posOffset>
            </wp:positionH>
            <wp:positionV relativeFrom="margin">
              <wp:posOffset>548640</wp:posOffset>
            </wp:positionV>
            <wp:extent cx="6053455" cy="3352800"/>
            <wp:effectExtent l="0" t="0" r="4445" b="0"/>
            <wp:wrapSquare wrapText="bothSides"/>
            <wp:docPr id="463" name="圖表 4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r w:rsidRPr="0031215D">
        <w:rPr>
          <w:rFonts w:ascii="標楷體" w:eastAsia="標楷體" w:hAnsi="標楷體" w:hint="eastAsia"/>
          <w:snapToGrid w:val="0"/>
          <w:kern w:val="0"/>
          <w:szCs w:val="32"/>
        </w:rPr>
        <w:t>年下降至106及107年之7.25倍後，逐年遞增至111年之7.50倍（</w:t>
      </w:r>
      <w:r w:rsidRPr="00855CF4">
        <w:rPr>
          <w:rFonts w:ascii="標楷體" w:eastAsia="標楷體" w:hAnsi="標楷體" w:hint="eastAsia"/>
          <w:snapToGrid w:val="0"/>
          <w:kern w:val="0"/>
          <w:szCs w:val="32"/>
        </w:rPr>
        <w:t>圖</w:t>
      </w:r>
      <w:r w:rsidRPr="00855CF4">
        <w:rPr>
          <w:rFonts w:ascii="標楷體" w:eastAsia="標楷體" w:hAnsi="標楷體"/>
          <w:snapToGrid w:val="0"/>
          <w:kern w:val="0"/>
          <w:szCs w:val="32"/>
        </w:rPr>
        <w:t>3</w:t>
      </w:r>
      <w:r w:rsidRPr="0031215D">
        <w:rPr>
          <w:rFonts w:ascii="標楷體" w:eastAsia="標楷體" w:hAnsi="標楷體" w:hint="eastAsia"/>
          <w:snapToGrid w:val="0"/>
          <w:kern w:val="0"/>
          <w:szCs w:val="32"/>
        </w:rPr>
        <w:t>），經加計來自政府移轉收支重分配效果約1.16至1.58倍不等後，111年五等分位所得差距倍數雖由7.50倍下降至6.15倍（維持與110年相同），仍是101年以來之新高（同</w:t>
      </w:r>
      <w:r w:rsidRPr="00855CF4">
        <w:rPr>
          <w:rFonts w:ascii="標楷體" w:eastAsia="標楷體" w:hAnsi="標楷體" w:hint="eastAsia"/>
          <w:snapToGrid w:val="0"/>
          <w:kern w:val="0"/>
          <w:szCs w:val="32"/>
        </w:rPr>
        <w:t>圖</w:t>
      </w:r>
      <w:r w:rsidRPr="00855CF4">
        <w:rPr>
          <w:rFonts w:ascii="標楷體" w:eastAsia="標楷體" w:hAnsi="標楷體"/>
          <w:snapToGrid w:val="0"/>
          <w:kern w:val="0"/>
          <w:szCs w:val="32"/>
        </w:rPr>
        <w:t>3</w:t>
      </w:r>
      <w:r w:rsidRPr="0031215D">
        <w:rPr>
          <w:rFonts w:ascii="標楷體" w:eastAsia="標楷體" w:hAnsi="標楷體" w:hint="eastAsia"/>
          <w:snapToGrid w:val="0"/>
          <w:kern w:val="0"/>
          <w:szCs w:val="32"/>
        </w:rPr>
        <w:t>）。按近年來為改善所得分配，</w:t>
      </w:r>
    </w:p>
    <w:p w14:paraId="5BBF930D" w14:textId="242349C8" w:rsidR="0031215D" w:rsidRPr="008B2801" w:rsidRDefault="0031215D" w:rsidP="008B2801">
      <w:pPr>
        <w:overflowPunct w:val="0"/>
        <w:spacing w:line="460" w:lineRule="exact"/>
        <w:jc w:val="both"/>
        <w:rPr>
          <w:rFonts w:ascii="標楷體" w:eastAsia="標楷體" w:hAnsi="標楷體"/>
          <w:b/>
          <w:snapToGrid w:val="0"/>
          <w:spacing w:val="4"/>
          <w:kern w:val="0"/>
          <w:szCs w:val="32"/>
        </w:rPr>
      </w:pPr>
      <w:r w:rsidRPr="008B2801">
        <w:rPr>
          <w:rFonts w:ascii="標楷體" w:eastAsia="標楷體" w:hAnsi="標楷體" w:hint="eastAsia"/>
          <w:snapToGrid w:val="0"/>
          <w:spacing w:val="4"/>
          <w:kern w:val="0"/>
          <w:szCs w:val="32"/>
        </w:rPr>
        <w:t>各級政府歲出政事</w:t>
      </w:r>
      <w:r w:rsidRPr="008B2801">
        <w:rPr>
          <w:rFonts w:ascii="標楷體" w:eastAsia="標楷體" w:hAnsi="標楷體" w:hint="eastAsia"/>
          <w:snapToGrid w:val="0"/>
          <w:spacing w:val="4"/>
          <w:kern w:val="0"/>
          <w:szCs w:val="24"/>
        </w:rPr>
        <w:t>別之社會福利支出大幅增加，111年度達8,733億餘元</w:t>
      </w:r>
      <w:r w:rsidR="00C2362F" w:rsidRPr="00C2362F">
        <w:rPr>
          <w:rFonts w:ascii="標楷體" w:eastAsia="標楷體" w:hAnsi="標楷體" w:hint="eastAsia"/>
          <w:snapToGrid w:val="0"/>
          <w:spacing w:val="4"/>
          <w:kern w:val="0"/>
          <w:szCs w:val="24"/>
        </w:rPr>
        <w:t>（</w:t>
      </w:r>
      <w:r w:rsidRPr="008B2801">
        <w:rPr>
          <w:rFonts w:ascii="標楷體" w:eastAsia="標楷體" w:hAnsi="標楷體" w:hint="eastAsia"/>
          <w:snapToGrid w:val="0"/>
          <w:spacing w:val="4"/>
          <w:kern w:val="0"/>
          <w:szCs w:val="24"/>
        </w:rPr>
        <w:t>112年度為8,896億餘元</w:t>
      </w:r>
      <w:r w:rsidR="00A0212B" w:rsidRPr="00A0212B">
        <w:rPr>
          <w:rFonts w:ascii="標楷體" w:eastAsia="標楷體" w:hAnsi="標楷體" w:hint="eastAsia"/>
          <w:snapToGrid w:val="0"/>
          <w:spacing w:val="4"/>
          <w:kern w:val="0"/>
          <w:szCs w:val="24"/>
        </w:rPr>
        <w:t>）</w:t>
      </w:r>
      <w:r w:rsidRPr="008B2801">
        <w:rPr>
          <w:rFonts w:ascii="標楷體" w:eastAsia="標楷體" w:hAnsi="標楷體" w:hint="eastAsia"/>
          <w:snapToGrid w:val="0"/>
          <w:spacing w:val="4"/>
          <w:kern w:val="0"/>
          <w:szCs w:val="24"/>
        </w:rPr>
        <w:t>，為101年度5,404億餘元之1.62倍；又為落實照顧基層勞工，保障弱勢勞工基本生活，積極推動調漲基本工資，111年已調整為2</w:t>
      </w:r>
      <w:r w:rsidRPr="008B2801">
        <w:rPr>
          <w:rFonts w:ascii="標楷體" w:eastAsia="標楷體" w:hAnsi="標楷體"/>
          <w:snapToGrid w:val="0"/>
          <w:spacing w:val="4"/>
          <w:kern w:val="0"/>
          <w:szCs w:val="24"/>
        </w:rPr>
        <w:t>5</w:t>
      </w:r>
      <w:r w:rsidRPr="008B2801">
        <w:rPr>
          <w:rFonts w:ascii="標楷體" w:eastAsia="標楷體" w:hAnsi="標楷體" w:hint="eastAsia"/>
          <w:snapToGrid w:val="0"/>
          <w:spacing w:val="4"/>
          <w:kern w:val="0"/>
          <w:szCs w:val="24"/>
        </w:rPr>
        <w:t>,</w:t>
      </w:r>
      <w:r w:rsidRPr="008B2801">
        <w:rPr>
          <w:rFonts w:ascii="標楷體" w:eastAsia="標楷體" w:hAnsi="標楷體"/>
          <w:snapToGrid w:val="0"/>
          <w:spacing w:val="4"/>
          <w:kern w:val="0"/>
          <w:szCs w:val="24"/>
        </w:rPr>
        <w:t>25</w:t>
      </w:r>
      <w:r w:rsidRPr="008B2801">
        <w:rPr>
          <w:rFonts w:ascii="標楷體" w:eastAsia="標楷體" w:hAnsi="標楷體" w:hint="eastAsia"/>
          <w:snapToGrid w:val="0"/>
          <w:spacing w:val="4"/>
          <w:kern w:val="0"/>
          <w:szCs w:val="24"/>
        </w:rPr>
        <w:t>0元</w:t>
      </w:r>
      <w:r w:rsidR="00C2362F" w:rsidRPr="00C2362F">
        <w:rPr>
          <w:rFonts w:ascii="標楷體" w:eastAsia="標楷體" w:hAnsi="標楷體" w:hint="eastAsia"/>
          <w:snapToGrid w:val="0"/>
          <w:spacing w:val="4"/>
          <w:kern w:val="0"/>
          <w:szCs w:val="24"/>
        </w:rPr>
        <w:t>（</w:t>
      </w:r>
      <w:r w:rsidRPr="008B2801">
        <w:rPr>
          <w:rFonts w:ascii="標楷體" w:eastAsia="標楷體" w:hAnsi="標楷體"/>
          <w:snapToGrid w:val="0"/>
          <w:spacing w:val="4"/>
          <w:kern w:val="0"/>
          <w:szCs w:val="24"/>
        </w:rPr>
        <w:t>112</w:t>
      </w:r>
      <w:r w:rsidRPr="008B2801">
        <w:rPr>
          <w:rFonts w:ascii="標楷體" w:eastAsia="標楷體" w:hAnsi="標楷體" w:hint="eastAsia"/>
          <w:snapToGrid w:val="0"/>
          <w:spacing w:val="4"/>
          <w:kern w:val="0"/>
          <w:szCs w:val="24"/>
        </w:rPr>
        <w:t>、113年分別為2</w:t>
      </w:r>
      <w:r w:rsidRPr="008B2801">
        <w:rPr>
          <w:rFonts w:ascii="標楷體" w:eastAsia="標楷體" w:hAnsi="標楷體"/>
          <w:snapToGrid w:val="0"/>
          <w:spacing w:val="4"/>
          <w:kern w:val="0"/>
          <w:szCs w:val="24"/>
        </w:rPr>
        <w:t>6,</w:t>
      </w:r>
      <w:r w:rsidRPr="008B2801">
        <w:rPr>
          <w:rFonts w:ascii="標楷體" w:eastAsia="標楷體" w:hAnsi="標楷體" w:hint="eastAsia"/>
          <w:snapToGrid w:val="0"/>
          <w:spacing w:val="4"/>
          <w:kern w:val="0"/>
          <w:szCs w:val="24"/>
        </w:rPr>
        <w:t>400元、27</w:t>
      </w:r>
      <w:r w:rsidRPr="008B2801">
        <w:rPr>
          <w:rFonts w:ascii="標楷體" w:eastAsia="標楷體" w:hAnsi="標楷體"/>
          <w:snapToGrid w:val="0"/>
          <w:spacing w:val="4"/>
          <w:kern w:val="0"/>
          <w:szCs w:val="24"/>
        </w:rPr>
        <w:t>,</w:t>
      </w:r>
      <w:r w:rsidRPr="008B2801">
        <w:rPr>
          <w:rFonts w:ascii="標楷體" w:eastAsia="標楷體" w:hAnsi="標楷體" w:hint="eastAsia"/>
          <w:snapToGrid w:val="0"/>
          <w:spacing w:val="4"/>
          <w:kern w:val="0"/>
          <w:szCs w:val="24"/>
        </w:rPr>
        <w:t>470元</w:t>
      </w:r>
      <w:r w:rsidR="00A0212B" w:rsidRPr="00A0212B">
        <w:rPr>
          <w:rFonts w:ascii="標楷體" w:eastAsia="標楷體" w:hAnsi="標楷體" w:hint="eastAsia"/>
          <w:snapToGrid w:val="0"/>
          <w:spacing w:val="4"/>
          <w:kern w:val="0"/>
          <w:szCs w:val="24"/>
        </w:rPr>
        <w:t>）</w:t>
      </w:r>
      <w:r w:rsidRPr="008B2801">
        <w:rPr>
          <w:rFonts w:ascii="標楷體" w:eastAsia="標楷體" w:hAnsi="標楷體" w:hint="eastAsia"/>
          <w:snapToGrid w:val="0"/>
          <w:spacing w:val="4"/>
          <w:kern w:val="0"/>
          <w:szCs w:val="24"/>
        </w:rPr>
        <w:t>，係101年18</w:t>
      </w:r>
      <w:r w:rsidRPr="008B2801">
        <w:rPr>
          <w:rFonts w:ascii="標楷體" w:eastAsia="標楷體" w:hAnsi="標楷體"/>
          <w:snapToGrid w:val="0"/>
          <w:spacing w:val="4"/>
          <w:kern w:val="0"/>
          <w:szCs w:val="24"/>
        </w:rPr>
        <w:t>,</w:t>
      </w:r>
      <w:r w:rsidRPr="008B2801">
        <w:rPr>
          <w:rFonts w:ascii="標楷體" w:eastAsia="標楷體" w:hAnsi="標楷體" w:hint="eastAsia"/>
          <w:snapToGrid w:val="0"/>
          <w:spacing w:val="4"/>
          <w:kern w:val="0"/>
          <w:szCs w:val="24"/>
        </w:rPr>
        <w:t>780元之1</w:t>
      </w:r>
      <w:r w:rsidRPr="008B2801">
        <w:rPr>
          <w:rFonts w:ascii="標楷體" w:eastAsia="標楷體" w:hAnsi="標楷體"/>
          <w:snapToGrid w:val="0"/>
          <w:spacing w:val="4"/>
          <w:kern w:val="0"/>
          <w:szCs w:val="24"/>
        </w:rPr>
        <w:t>.</w:t>
      </w:r>
      <w:r w:rsidRPr="008B2801">
        <w:rPr>
          <w:rFonts w:ascii="標楷體" w:eastAsia="標楷體" w:hAnsi="標楷體" w:hint="eastAsia"/>
          <w:snapToGrid w:val="0"/>
          <w:spacing w:val="4"/>
          <w:kern w:val="0"/>
          <w:szCs w:val="24"/>
        </w:rPr>
        <w:t>34倍。政府運用相關移轉收支作法來縮減所得差距，惟據上揭吉尼係數及五等分位所得差距倍數等統計指標變動幅度，未顯示改善效果，我國所得差距處於相對高點，且因物價及房價雙漲，家戶生活及居住成本連年攀升，更加速惡化貧富不均現象。又據主計總處113年4月發布之「111年國富統計報告」，如將110年底全國家庭財富（資產－負債）由低至高分為五等分</w:t>
      </w:r>
      <w:r w:rsidRPr="008B2801">
        <w:rPr>
          <w:rFonts w:ascii="標楷體" w:eastAsia="標楷體" w:hAnsi="標楷體" w:hint="eastAsia"/>
          <w:snapToGrid w:val="0"/>
          <w:spacing w:val="4"/>
          <w:kern w:val="0"/>
          <w:szCs w:val="32"/>
        </w:rPr>
        <w:t>，第5分位組（前20％家庭）平均每家庭財富為5,133萬元，第1分位組（最低20％家庭）平均每家庭財富僅77萬元，差距高達66倍，亦證國內近年來家庭財富落差不小，貧富不均情形</w:t>
      </w:r>
      <w:r w:rsidR="00800259" w:rsidRPr="008B2801">
        <w:rPr>
          <w:rFonts w:ascii="標楷體" w:eastAsia="標楷體" w:hAnsi="標楷體" w:hint="eastAsia"/>
          <w:snapToGrid w:val="0"/>
          <w:spacing w:val="4"/>
          <w:kern w:val="0"/>
          <w:szCs w:val="32"/>
        </w:rPr>
        <w:t>未見明顯改善</w:t>
      </w:r>
      <w:r w:rsidRPr="008B2801">
        <w:rPr>
          <w:rFonts w:ascii="標楷體" w:eastAsia="標楷體" w:hAnsi="標楷體" w:hint="eastAsia"/>
          <w:snapToGrid w:val="0"/>
          <w:spacing w:val="4"/>
          <w:kern w:val="0"/>
          <w:szCs w:val="32"/>
        </w:rPr>
        <w:t>，引發各界及輿論高度關注，間有媒體報導「台灣家庭財富分配真相：窮更窮、富更富，貧富差距飆破66倍」等，迅速成為社會焦點；（</w:t>
      </w:r>
      <w:r w:rsidRPr="008B2801">
        <w:rPr>
          <w:rFonts w:ascii="標楷體" w:eastAsia="標楷體" w:hAnsi="標楷體"/>
          <w:snapToGrid w:val="0"/>
          <w:spacing w:val="4"/>
          <w:kern w:val="0"/>
          <w:szCs w:val="32"/>
        </w:rPr>
        <w:t>3）</w:t>
      </w:r>
      <w:r w:rsidRPr="008B2801">
        <w:rPr>
          <w:rFonts w:ascii="標楷體" w:eastAsia="標楷體" w:hAnsi="標楷體" w:hint="eastAsia"/>
          <w:snapToGrid w:val="0"/>
          <w:spacing w:val="4"/>
          <w:kern w:val="0"/>
          <w:szCs w:val="32"/>
        </w:rPr>
        <w:t>近</w:t>
      </w:r>
      <w:r w:rsidR="00242C01" w:rsidRPr="008B2801">
        <w:rPr>
          <w:rFonts w:ascii="標楷體" w:eastAsia="標楷體" w:hAnsi="標楷體" w:hint="eastAsia"/>
          <w:snapToGrid w:val="0"/>
          <w:spacing w:val="4"/>
          <w:kern w:val="0"/>
          <w:szCs w:val="32"/>
        </w:rPr>
        <w:t>期立法院立法委員</w:t>
      </w:r>
      <w:r w:rsidRPr="008B2801">
        <w:rPr>
          <w:rFonts w:ascii="標楷體" w:eastAsia="標楷體" w:hAnsi="標楷體" w:hint="eastAsia"/>
          <w:snapToGrid w:val="0"/>
          <w:spacing w:val="4"/>
          <w:kern w:val="0"/>
          <w:szCs w:val="32"/>
        </w:rPr>
        <w:t>高度重視我國所得分配不均議題，或提出質詢，或於財政委員會邀</w:t>
      </w:r>
      <w:r w:rsidR="00242C01" w:rsidRPr="008B2801">
        <w:rPr>
          <w:rFonts w:ascii="標楷體" w:eastAsia="標楷體" w:hAnsi="標楷體" w:hint="eastAsia"/>
          <w:snapToGrid w:val="0"/>
          <w:spacing w:val="4"/>
          <w:kern w:val="0"/>
          <w:szCs w:val="32"/>
        </w:rPr>
        <w:t>請</w:t>
      </w:r>
      <w:r w:rsidRPr="008B2801">
        <w:rPr>
          <w:rFonts w:ascii="標楷體" w:eastAsia="標楷體" w:hAnsi="標楷體" w:hint="eastAsia"/>
          <w:snapToGrid w:val="0"/>
          <w:spacing w:val="4"/>
          <w:kern w:val="0"/>
          <w:szCs w:val="32"/>
        </w:rPr>
        <w:t>相關部會進行專題報告</w:t>
      </w:r>
      <w:r w:rsidR="009145B7">
        <w:rPr>
          <w:rFonts w:ascii="標楷體" w:eastAsia="標楷體" w:hAnsi="標楷體" w:hint="eastAsia"/>
          <w:snapToGrid w:val="0"/>
          <w:spacing w:val="4"/>
          <w:kern w:val="0"/>
          <w:szCs w:val="32"/>
        </w:rPr>
        <w:t>（</w:t>
      </w:r>
      <w:r w:rsidRPr="008B2801">
        <w:rPr>
          <w:rFonts w:ascii="標楷體" w:eastAsia="標楷體" w:hAnsi="標楷體" w:hint="eastAsia"/>
          <w:snapToGrid w:val="0"/>
          <w:spacing w:val="4"/>
          <w:kern w:val="0"/>
          <w:szCs w:val="32"/>
        </w:rPr>
        <w:t>如立法院財政委員會112年10月25日及113年5月1日邀請主計總處、財政部、勞動部、經濟部及國家發展委員會，就「受僱人員報酬占GDP比率創新低，貧富差距十年新高，政府提升企業加薪意願改善所得分配因應對策」、「如何</w:t>
      </w:r>
      <w:r w:rsidRPr="008B2801">
        <w:rPr>
          <w:rFonts w:ascii="標楷體" w:eastAsia="標楷體" w:hAnsi="標楷體" w:hint="eastAsia"/>
          <w:snapToGrid w:val="0"/>
          <w:spacing w:val="4"/>
          <w:kern w:val="0"/>
          <w:szCs w:val="32"/>
        </w:rPr>
        <w:lastRenderedPageBreak/>
        <w:t>改善受僱人員報酬占GDP比重偏低現象，導引企業與勞工共享獲利，提升臺灣勞工實質薪資」等進行專題報告。會中有關部會就如何提升受僱人員薪資水準，改善貧富不均，分別提出員工獎酬股票延緩與擇低價課稅優惠、減輕民眾所得稅負擔、推動投資青年就業方案及疫後改善缺工擴大就業方案、協助產業提升附加價值、提升企業加薪意願、吸引關鍵外資企業來臺、提升員工專業技能、調升最低工資、推動各項法規鼓勵企業分潤等措施。</w:t>
      </w:r>
      <w:r w:rsidR="009145B7">
        <w:rPr>
          <w:rFonts w:ascii="標楷體" w:eastAsia="標楷體" w:hAnsi="標楷體" w:hint="eastAsia"/>
          <w:snapToGrid w:val="0"/>
          <w:spacing w:val="4"/>
          <w:kern w:val="0"/>
          <w:szCs w:val="32"/>
        </w:rPr>
        <w:t>）</w:t>
      </w:r>
      <w:r w:rsidRPr="008B2801">
        <w:rPr>
          <w:rFonts w:ascii="標楷體" w:eastAsia="標楷體" w:hAnsi="標楷體" w:hint="eastAsia"/>
          <w:snapToGrid w:val="0"/>
          <w:spacing w:val="4"/>
          <w:kern w:val="0"/>
          <w:szCs w:val="32"/>
        </w:rPr>
        <w:t>又國內輿論及媒體亦屢有「歷經3年疫情紛擾 全民資產重新分配 貧富差距拉更大」、「10個關鍵數字 看台灣人為何陷入體感貧窮」、「貧富差距兩極化 政府應注意基層人民」、「貧窮世襲 12％受扶助家庭上一代也是貧戶」、「逾23萬學生 一畢業就背30萬元學貸？」、「4成年輕人月薪不到3萬 工作窮忙失去希望」、「正視家庭負債占GDP逾九成的警訊」、「房價、房租雙飆漲租金指數連漲12年」、「貧富差距擴大 免繳稅的有錢人變多」等對我國貧富不均議題之相關報導，反映部分民意之關切，顯示所得分配議題廣受國會及媒體輿論關注；（</w:t>
      </w:r>
      <w:r w:rsidR="00807B96">
        <w:rPr>
          <w:rFonts w:ascii="標楷體" w:eastAsia="標楷體" w:hAnsi="標楷體" w:hint="eastAsia"/>
          <w:snapToGrid w:val="0"/>
          <w:spacing w:val="4"/>
          <w:kern w:val="0"/>
          <w:szCs w:val="32"/>
        </w:rPr>
        <w:t>4</w:t>
      </w:r>
      <w:r w:rsidRPr="008B2801">
        <w:rPr>
          <w:rFonts w:ascii="標楷體" w:eastAsia="標楷體" w:hAnsi="標楷體" w:hint="eastAsia"/>
          <w:snapToGrid w:val="0"/>
          <w:spacing w:val="4"/>
          <w:kern w:val="0"/>
          <w:szCs w:val="32"/>
        </w:rPr>
        <w:t>）按行政院99年間為因應全球金融海嘯對我國所得分配之衝擊，縮減所得差距，於99年8月26日成立行政院改善所得分配專案小組，由國家發展委員會主任委員擔任專案小組召集人，並由院長指派相關部會首長擔任委員。該專案小組成立後自100年開始擬訂改善所得分配之策略方向，協調相關部會共同推動「改善所得分配具體方案」，並滾動檢討修正方案內容，以持續改善我國所得分配狀況，如主計總處依該方案之要求，經協調內政部等相關單位取得政府實物（非現金）給付項目資料，納入家庭收支調查之經常移轉收入計算範圍，自100年公布99年調查結果起，已按年揭露政府實物（非現金）給付縮減所得差距倍數之情形，更完整呈現所得分配圖像。然專案小組運作多年後，於107年6月27日第13次專案小組會議時，以政府各相關部會執行改善所得分配措施，透過當時機制或平</w:t>
      </w:r>
      <w:r w:rsidR="00A45A52">
        <w:rPr>
          <w:rFonts w:ascii="標楷體" w:eastAsia="標楷體" w:hAnsi="標楷體" w:hint="eastAsia"/>
          <w:snapToGrid w:val="0"/>
          <w:spacing w:val="4"/>
          <w:kern w:val="0"/>
          <w:szCs w:val="32"/>
        </w:rPr>
        <w:t>臺</w:t>
      </w:r>
      <w:r w:rsidRPr="008B2801">
        <w:rPr>
          <w:rFonts w:ascii="標楷體" w:eastAsia="標楷體" w:hAnsi="標楷體" w:hint="eastAsia"/>
          <w:snapToGrid w:val="0"/>
          <w:spacing w:val="4"/>
          <w:kern w:val="0"/>
          <w:szCs w:val="32"/>
        </w:rPr>
        <w:t>，即可發揮強化及檢視各項措施實施之效為由作成決議，請國家發展委員會檢討該任務編組之成效及存續之必要性。嗣經該會檢討後陳報行政院於107年8月21日核定裁撤專案小組，改善所得分配具體方案亦停止適用，該方案各項措施及重點工作項目，回歸各部會持續推動。鑑於該專案小組裁撤以來，107至111年無論是吉尼係數或五等分位所得差距倍數等</w:t>
      </w:r>
      <w:r w:rsidR="00A2675B" w:rsidRPr="008B2801">
        <w:rPr>
          <w:rFonts w:ascii="標楷體" w:eastAsia="標楷體" w:hAnsi="標楷體" w:hint="eastAsia"/>
          <w:snapToGrid w:val="0"/>
          <w:spacing w:val="4"/>
          <w:kern w:val="0"/>
          <w:szCs w:val="32"/>
        </w:rPr>
        <w:t>統計指標變動幅度，均未顯示我國所得分配不均程度有好轉跡象，</w:t>
      </w:r>
      <w:r w:rsidRPr="008B2801">
        <w:rPr>
          <w:rFonts w:ascii="標楷體" w:eastAsia="標楷體" w:hAnsi="標楷體" w:hint="eastAsia"/>
          <w:snapToGrid w:val="0"/>
          <w:spacing w:val="4"/>
          <w:kern w:val="0"/>
          <w:szCs w:val="32"/>
        </w:rPr>
        <w:t>行政院</w:t>
      </w:r>
      <w:r w:rsidR="00A2675B" w:rsidRPr="008B2801">
        <w:rPr>
          <w:rFonts w:ascii="標楷體" w:eastAsia="標楷體" w:hAnsi="標楷體" w:hint="eastAsia"/>
          <w:snapToGrid w:val="0"/>
          <w:spacing w:val="4"/>
          <w:kern w:val="0"/>
          <w:szCs w:val="32"/>
        </w:rPr>
        <w:t>允宜</w:t>
      </w:r>
      <w:r w:rsidRPr="008B2801">
        <w:rPr>
          <w:rFonts w:ascii="標楷體" w:eastAsia="標楷體" w:hAnsi="標楷體" w:hint="eastAsia"/>
          <w:snapToGrid w:val="0"/>
          <w:spacing w:val="4"/>
          <w:kern w:val="0"/>
          <w:szCs w:val="32"/>
        </w:rPr>
        <w:t>研議配合</w:t>
      </w:r>
      <w:r w:rsidRPr="008B2801">
        <w:rPr>
          <w:rFonts w:ascii="標楷體" w:eastAsia="標楷體" w:hAnsi="標楷體"/>
          <w:snapToGrid w:val="0"/>
          <w:spacing w:val="4"/>
          <w:kern w:val="0"/>
          <w:szCs w:val="32"/>
        </w:rPr>
        <w:t>113年5月20日內閣重新改組後之政策需要，衡酌重新恢復改善所得分配專案小組運作之可行性，以強化協調及督導各部會落實執行改善所得分配相關計畫，並輔以循證治理，推出改善對策。</w:t>
      </w:r>
    </w:p>
    <w:p w14:paraId="5F794D1C" w14:textId="4165FE47" w:rsidR="0031215D" w:rsidRPr="007672EF" w:rsidRDefault="0031215D" w:rsidP="00B06CA2">
      <w:pPr>
        <w:overflowPunct w:val="0"/>
        <w:spacing w:line="414" w:lineRule="exact"/>
        <w:ind w:firstLineChars="450" w:firstLine="1081"/>
        <w:jc w:val="both"/>
        <w:rPr>
          <w:rFonts w:ascii="標楷體" w:eastAsia="標楷體" w:hAnsi="標楷體"/>
          <w:snapToGrid w:val="0"/>
          <w:kern w:val="0"/>
          <w:szCs w:val="32"/>
        </w:rPr>
      </w:pPr>
      <w:r w:rsidRPr="0031215D">
        <w:rPr>
          <w:rFonts w:ascii="標楷體" w:eastAsia="標楷體" w:hAnsi="標楷體" w:hint="eastAsia"/>
          <w:b/>
          <w:snapToGrid w:val="0"/>
          <w:kern w:val="0"/>
          <w:szCs w:val="32"/>
        </w:rPr>
        <w:t>2.　政府為改善所得分配均度，持續推動改善所得分配相關方案，惟近年來所得分配不均程度未見緩解，為提高弱勢族群社會階層流動機會，突破貧窮世襲窘境，保障弱勢族群不受政策產生負面影響，允宜參考先進國家作法研議建立政策對弱勢族群之脆弱度評估或權益影</w:t>
      </w:r>
      <w:r w:rsidRPr="0031215D">
        <w:rPr>
          <w:rFonts w:ascii="標楷體" w:eastAsia="標楷體" w:hAnsi="標楷體" w:hint="eastAsia"/>
          <w:b/>
          <w:snapToGrid w:val="0"/>
          <w:kern w:val="0"/>
          <w:szCs w:val="32"/>
        </w:rPr>
        <w:lastRenderedPageBreak/>
        <w:t>響評估機制，並參照公正轉型作法，提出具體因應對策，以利政策推動及保障受影響對象權益：</w:t>
      </w:r>
      <w:r w:rsidRPr="0031215D">
        <w:rPr>
          <w:rFonts w:ascii="標楷體" w:eastAsia="標楷體" w:hAnsi="標楷體" w:hint="eastAsia"/>
          <w:snapToGrid w:val="0"/>
          <w:kern w:val="0"/>
          <w:szCs w:val="32"/>
        </w:rPr>
        <w:t>我國永續發展目標之核心目標1揭示「強化弱勢群體社會經濟安全照顧服務」，係以「消除貧窮」為目標，針對經濟弱勢、長者與兒少、受災弱勢團體等提供生活扶助與社會急難救助，促進包括弱勢群體在內之全體國民安居樂業，在住居與就業均受有保障。參據三百億元中央擴大租金補貼專案計畫作業規定附表三，對於具經濟或社會弱勢身分者之認定方式，包括：低收入戶或中低收入戶、身心障礙者、65歲以上之老人……因懷孕或生育而遭遇困境之未成年人等身</w:t>
      </w:r>
      <w:r w:rsidR="00B06CA2" w:rsidRPr="00EC283D">
        <w:rPr>
          <w:rFonts w:ascii="標楷體" w:eastAsia="標楷體" w:hAnsi="標楷體"/>
          <w:noProof/>
          <w:snapToGrid w:val="0"/>
          <w:szCs w:val="22"/>
        </w:rPr>
        <mc:AlternateContent>
          <mc:Choice Requires="wps">
            <w:drawing>
              <wp:anchor distT="45720" distB="45720" distL="114300" distR="114300" simplePos="0" relativeHeight="251657216" behindDoc="1" locked="0" layoutInCell="1" allowOverlap="1" wp14:anchorId="059DAC23" wp14:editId="216D8DB3">
                <wp:simplePos x="0" y="0"/>
                <wp:positionH relativeFrom="margin">
                  <wp:posOffset>2353310</wp:posOffset>
                </wp:positionH>
                <wp:positionV relativeFrom="paragraph">
                  <wp:posOffset>1559560</wp:posOffset>
                </wp:positionV>
                <wp:extent cx="3937000" cy="2203450"/>
                <wp:effectExtent l="0" t="0" r="6350" b="6350"/>
                <wp:wrapTight wrapText="bothSides">
                  <wp:wrapPolygon edited="0">
                    <wp:start x="0" y="0"/>
                    <wp:lineTo x="0" y="21476"/>
                    <wp:lineTo x="21530" y="21476"/>
                    <wp:lineTo x="21530" y="0"/>
                    <wp:lineTo x="0" y="0"/>
                  </wp:wrapPolygon>
                </wp:wrapTight>
                <wp:docPr id="464" name="文字方塊 4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7000" cy="2203450"/>
                        </a:xfrm>
                        <a:prstGeom prst="rect">
                          <a:avLst/>
                        </a:prstGeom>
                        <a:solidFill>
                          <a:srgbClr val="FFFFFF"/>
                        </a:solidFill>
                        <a:ln w="9525">
                          <a:noFill/>
                          <a:miter lim="800000"/>
                          <a:headEnd/>
                          <a:tailEnd/>
                        </a:ln>
                      </wps:spPr>
                      <wps:txbx>
                        <w:txbxContent>
                          <w:p w14:paraId="4690F784" w14:textId="77777777" w:rsidR="00A0212B" w:rsidRPr="00DF2AC1" w:rsidRDefault="00A0212B" w:rsidP="00B06CA2">
                            <w:pPr>
                              <w:jc w:val="center"/>
                              <w:rPr>
                                <w:rFonts w:ascii="標楷體" w:eastAsia="標楷體" w:hAnsi="標楷體"/>
                                <w:b/>
                                <w:szCs w:val="24"/>
                              </w:rPr>
                            </w:pPr>
                            <w:r w:rsidRPr="00DF2AC1">
                              <w:rPr>
                                <w:rFonts w:ascii="標楷體" w:eastAsia="標楷體" w:hAnsi="標楷體" w:hint="eastAsia"/>
                                <w:b/>
                                <w:szCs w:val="24"/>
                              </w:rPr>
                              <w:t>表</w:t>
                            </w:r>
                            <w:r>
                              <w:rPr>
                                <w:rFonts w:ascii="標楷體" w:eastAsia="標楷體" w:hAnsi="標楷體"/>
                                <w:b/>
                                <w:szCs w:val="24"/>
                              </w:rPr>
                              <w:t>3</w:t>
                            </w:r>
                            <w:r>
                              <w:rPr>
                                <w:rFonts w:ascii="標楷體" w:eastAsia="標楷體" w:hAnsi="標楷體" w:hint="eastAsia"/>
                                <w:b/>
                                <w:szCs w:val="24"/>
                              </w:rPr>
                              <w:t xml:space="preserve">　</w:t>
                            </w:r>
                            <w:r w:rsidRPr="00DF2AC1">
                              <w:rPr>
                                <w:rFonts w:ascii="標楷體" w:eastAsia="標楷體" w:hAnsi="標楷體" w:hint="eastAsia"/>
                                <w:b/>
                                <w:szCs w:val="24"/>
                              </w:rPr>
                              <w:t>經濟或社會弱勢身分認定方式</w:t>
                            </w:r>
                          </w:p>
                          <w:tbl>
                            <w:tblPr>
                              <w:tblStyle w:val="360"/>
                              <w:tblW w:w="5812" w:type="dxa"/>
                              <w:jc w:val="center"/>
                              <w:tblLook w:val="04A0" w:firstRow="1" w:lastRow="0" w:firstColumn="1" w:lastColumn="0" w:noHBand="0" w:noVBand="1"/>
                            </w:tblPr>
                            <w:tblGrid>
                              <w:gridCol w:w="1276"/>
                              <w:gridCol w:w="4536"/>
                            </w:tblGrid>
                            <w:tr w:rsidR="00A0212B" w:rsidRPr="00C565C9" w14:paraId="49D29545" w14:textId="77777777" w:rsidTr="00E31547">
                              <w:trPr>
                                <w:jc w:val="center"/>
                              </w:trPr>
                              <w:tc>
                                <w:tcPr>
                                  <w:tcW w:w="1276" w:type="dxa"/>
                                </w:tcPr>
                                <w:p w14:paraId="42744F15" w14:textId="77777777" w:rsidR="00A0212B" w:rsidRPr="00DF2AC1" w:rsidRDefault="00A0212B" w:rsidP="00037584">
                                  <w:pPr>
                                    <w:spacing w:line="280" w:lineRule="exact"/>
                                    <w:jc w:val="center"/>
                                    <w:rPr>
                                      <w:rFonts w:ascii="標楷體" w:eastAsia="標楷體" w:hAnsi="標楷體"/>
                                      <w:sz w:val="20"/>
                                      <w:szCs w:val="20"/>
                                    </w:rPr>
                                  </w:pPr>
                                  <w:r w:rsidRPr="00DF2AC1">
                                    <w:rPr>
                                      <w:rFonts w:ascii="標楷體" w:eastAsia="標楷體" w:hAnsi="標楷體" w:hint="eastAsia"/>
                                      <w:sz w:val="20"/>
                                      <w:szCs w:val="20"/>
                                    </w:rPr>
                                    <w:t>類別</w:t>
                                  </w:r>
                                </w:p>
                              </w:tc>
                              <w:tc>
                                <w:tcPr>
                                  <w:tcW w:w="4536" w:type="dxa"/>
                                </w:tcPr>
                                <w:p w14:paraId="030AA117" w14:textId="77777777" w:rsidR="00A0212B" w:rsidRPr="00DF2AC1" w:rsidRDefault="00A0212B" w:rsidP="00037584">
                                  <w:pPr>
                                    <w:spacing w:line="280" w:lineRule="exact"/>
                                    <w:jc w:val="center"/>
                                    <w:rPr>
                                      <w:rFonts w:ascii="標楷體" w:eastAsia="標楷體" w:hAnsi="標楷體"/>
                                      <w:sz w:val="20"/>
                                      <w:szCs w:val="20"/>
                                    </w:rPr>
                                  </w:pPr>
                                  <w:r w:rsidRPr="00DF2AC1">
                                    <w:rPr>
                                      <w:rFonts w:ascii="標楷體" w:eastAsia="標楷體" w:hAnsi="標楷體" w:hint="eastAsia"/>
                                      <w:sz w:val="20"/>
                                      <w:szCs w:val="20"/>
                                    </w:rPr>
                                    <w:t>身分別</w:t>
                                  </w:r>
                                </w:p>
                              </w:tc>
                            </w:tr>
                            <w:tr w:rsidR="00A0212B" w:rsidRPr="00C565C9" w14:paraId="368D955C" w14:textId="77777777" w:rsidTr="00E31547">
                              <w:trPr>
                                <w:jc w:val="center"/>
                              </w:trPr>
                              <w:tc>
                                <w:tcPr>
                                  <w:tcW w:w="1276" w:type="dxa"/>
                                </w:tcPr>
                                <w:p w14:paraId="2EB54E76" w14:textId="77777777" w:rsidR="00A0212B" w:rsidRPr="00DF2AC1" w:rsidRDefault="00A0212B" w:rsidP="00037584">
                                  <w:pPr>
                                    <w:spacing w:line="280" w:lineRule="exact"/>
                                    <w:jc w:val="center"/>
                                    <w:rPr>
                                      <w:rFonts w:ascii="標楷體" w:eastAsia="標楷體" w:hAnsi="標楷體"/>
                                      <w:sz w:val="20"/>
                                      <w:szCs w:val="20"/>
                                    </w:rPr>
                                  </w:pPr>
                                  <w:r w:rsidRPr="00DF2AC1">
                                    <w:rPr>
                                      <w:rFonts w:ascii="標楷體" w:eastAsia="標楷體" w:hAnsi="標楷體" w:hint="eastAsia"/>
                                      <w:sz w:val="20"/>
                                      <w:szCs w:val="20"/>
                                    </w:rPr>
                                    <w:t>經濟弱勢</w:t>
                                  </w:r>
                                </w:p>
                              </w:tc>
                              <w:tc>
                                <w:tcPr>
                                  <w:tcW w:w="4536" w:type="dxa"/>
                                </w:tcPr>
                                <w:p w14:paraId="7C8FDFE7" w14:textId="77777777" w:rsidR="00A0212B" w:rsidRPr="00DF2AC1" w:rsidRDefault="00A0212B" w:rsidP="00037584">
                                  <w:pPr>
                                    <w:spacing w:line="280" w:lineRule="exact"/>
                                    <w:rPr>
                                      <w:rFonts w:ascii="標楷體" w:eastAsia="標楷體" w:hAnsi="標楷體"/>
                                      <w:sz w:val="20"/>
                                      <w:szCs w:val="20"/>
                                    </w:rPr>
                                  </w:pPr>
                                  <w:r w:rsidRPr="00DF2AC1">
                                    <w:rPr>
                                      <w:rFonts w:ascii="標楷體" w:eastAsia="標楷體" w:hAnsi="標楷體" w:hint="eastAsia"/>
                                      <w:sz w:val="20"/>
                                      <w:szCs w:val="20"/>
                                    </w:rPr>
                                    <w:t>低收入戶或中低收入戶</w:t>
                                  </w:r>
                                </w:p>
                              </w:tc>
                            </w:tr>
                            <w:tr w:rsidR="00A0212B" w:rsidRPr="00C565C9" w14:paraId="241E3D4E" w14:textId="77777777" w:rsidTr="00B06CA2">
                              <w:trPr>
                                <w:jc w:val="center"/>
                              </w:trPr>
                              <w:tc>
                                <w:tcPr>
                                  <w:tcW w:w="1276" w:type="dxa"/>
                                  <w:vAlign w:val="center"/>
                                </w:tcPr>
                                <w:p w14:paraId="70A7A863" w14:textId="77777777" w:rsidR="00A0212B" w:rsidRPr="00DF2AC1" w:rsidRDefault="00A0212B" w:rsidP="00037584">
                                  <w:pPr>
                                    <w:spacing w:line="280" w:lineRule="exact"/>
                                    <w:jc w:val="center"/>
                                    <w:rPr>
                                      <w:rFonts w:ascii="標楷體" w:eastAsia="標楷體" w:hAnsi="標楷體"/>
                                      <w:sz w:val="20"/>
                                      <w:szCs w:val="20"/>
                                    </w:rPr>
                                  </w:pPr>
                                  <w:r w:rsidRPr="00DF2AC1">
                                    <w:rPr>
                                      <w:rFonts w:ascii="標楷體" w:eastAsia="標楷體" w:hAnsi="標楷體" w:hint="eastAsia"/>
                                      <w:sz w:val="20"/>
                                      <w:szCs w:val="20"/>
                                    </w:rPr>
                                    <w:t>社會弱勢</w:t>
                                  </w:r>
                                </w:p>
                              </w:tc>
                              <w:tc>
                                <w:tcPr>
                                  <w:tcW w:w="4536" w:type="dxa"/>
                                </w:tcPr>
                                <w:p w14:paraId="6AF3C01E" w14:textId="77777777" w:rsidR="00A0212B" w:rsidRPr="00DF2AC1" w:rsidRDefault="00A0212B" w:rsidP="00037584">
                                  <w:pPr>
                                    <w:spacing w:line="280" w:lineRule="exact"/>
                                    <w:jc w:val="both"/>
                                    <w:rPr>
                                      <w:rFonts w:ascii="標楷體" w:eastAsia="標楷體" w:hAnsi="標楷體"/>
                                      <w:sz w:val="20"/>
                                      <w:szCs w:val="20"/>
                                    </w:rPr>
                                  </w:pPr>
                                  <w:r w:rsidRPr="00DF2AC1">
                                    <w:rPr>
                                      <w:rFonts w:ascii="標楷體" w:eastAsia="標楷體" w:hAnsi="標楷體" w:hint="eastAsia"/>
                                      <w:sz w:val="20"/>
                                      <w:szCs w:val="20"/>
                                    </w:rPr>
                                    <w:t>一、身心障礙者。二、65歲以上之老人。三、原住民。四、遊民。五、育有未成年子女3人以上。六、特殊境遇家庭。七、災民。八、於安置教養機構或寄養家庭結束安置無法返家，未滿25歲。九、受家庭暴力或性侵害之受害者及其子女。十、感染人類免疫缺乏病毒者或罹患後天免疫缺乏症候群者。十一、因懷孕或生育而遭遇困境之未成年人。</w:t>
                                  </w:r>
                                </w:p>
                              </w:tc>
                            </w:tr>
                          </w:tbl>
                          <w:p w14:paraId="37229D4C" w14:textId="77777777" w:rsidR="00A0212B" w:rsidRPr="00DF2AC1" w:rsidRDefault="00A0212B" w:rsidP="00B06CA2">
                            <w:pPr>
                              <w:spacing w:line="300" w:lineRule="exact"/>
                              <w:ind w:left="880" w:hangingChars="489" w:hanging="880"/>
                              <w:jc w:val="both"/>
                              <w:rPr>
                                <w:sz w:val="18"/>
                                <w:szCs w:val="18"/>
                              </w:rPr>
                            </w:pPr>
                            <w:r w:rsidRPr="00DF2AC1">
                              <w:rPr>
                                <w:rFonts w:ascii="標楷體" w:eastAsia="標楷體" w:hAnsi="標楷體" w:hint="eastAsia"/>
                                <w:sz w:val="18"/>
                                <w:szCs w:val="18"/>
                              </w:rPr>
                              <w:t>資料來源：整理自三百億元中央擴大租金補貼專案計畫作業規定附表三。</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9DAC23" id="文字方塊 464" o:spid="_x0000_s1029" type="#_x0000_t202" style="position:absolute;left:0;text-align:left;margin-left:185.3pt;margin-top:122.8pt;width:310pt;height:173.5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" stroked="f">
                <v:textbox>
                  <w:txbxContent>
                    <w:p w14:paraId="4690F784" w14:textId="77777777" w:rsidR="00A0212B" w:rsidRPr="00DF2AC1" w:rsidRDefault="00A0212B" w:rsidP="00B06CA2">
                      <w:pPr>
                        <w:jc w:val="center"/>
                        <w:rPr>
                          <w:rFonts w:ascii="標楷體" w:eastAsia="標楷體" w:hAnsi="標楷體"/>
                          <w:b/>
                          <w:szCs w:val="24"/>
                        </w:rPr>
                      </w:pPr>
                      <w:r w:rsidRPr="00DF2AC1">
                        <w:rPr>
                          <w:rFonts w:ascii="標楷體" w:eastAsia="標楷體" w:hAnsi="標楷體" w:hint="eastAsia"/>
                          <w:b/>
                          <w:szCs w:val="24"/>
                        </w:rPr>
                        <w:t>表</w:t>
                      </w:r>
                      <w:r>
                        <w:rPr>
                          <w:rFonts w:ascii="標楷體" w:eastAsia="標楷體" w:hAnsi="標楷體"/>
                          <w:b/>
                          <w:szCs w:val="24"/>
                        </w:rPr>
                        <w:t>3</w:t>
                      </w:r>
                      <w:r>
                        <w:rPr>
                          <w:rFonts w:ascii="標楷體" w:eastAsia="標楷體" w:hAnsi="標楷體" w:hint="eastAsia"/>
                          <w:b/>
                          <w:szCs w:val="24"/>
                        </w:rPr>
                        <w:t xml:space="preserve">　</w:t>
                      </w:r>
                      <w:r w:rsidRPr="00DF2AC1">
                        <w:rPr>
                          <w:rFonts w:ascii="標楷體" w:eastAsia="標楷體" w:hAnsi="標楷體" w:hint="eastAsia"/>
                          <w:b/>
                          <w:szCs w:val="24"/>
                        </w:rPr>
                        <w:t>經濟或社會弱勢身分認定方式</w:t>
                      </w:r>
                    </w:p>
                    <w:tbl>
                      <w:tblPr>
                        <w:tblStyle w:val="360"/>
                        <w:tblW w:w="5812" w:type="dxa"/>
                        <w:jc w:val="center"/>
                        <w:tblLook w:val="04A0" w:firstRow="1" w:lastRow="0" w:firstColumn="1" w:lastColumn="0" w:noHBand="0" w:noVBand="1"/>
                      </w:tblPr>
                      <w:tblGrid>
                        <w:gridCol w:w="1276"/>
                        <w:gridCol w:w="4536"/>
                      </w:tblGrid>
                      <w:tr w:rsidR="00A0212B" w:rsidRPr="00C565C9" w14:paraId="49D29545" w14:textId="77777777" w:rsidTr="00E31547">
                        <w:trPr>
                          <w:jc w:val="center"/>
                        </w:trPr>
                        <w:tc>
                          <w:tcPr>
                            <w:tcW w:w="1276" w:type="dxa"/>
                          </w:tcPr>
                          <w:p w14:paraId="42744F15" w14:textId="77777777" w:rsidR="00A0212B" w:rsidRPr="00DF2AC1" w:rsidRDefault="00A0212B" w:rsidP="00037584">
                            <w:pPr>
                              <w:spacing w:line="280" w:lineRule="exact"/>
                              <w:jc w:val="center"/>
                              <w:rPr>
                                <w:rFonts w:ascii="標楷體" w:eastAsia="標楷體" w:hAnsi="標楷體"/>
                                <w:sz w:val="20"/>
                                <w:szCs w:val="20"/>
                              </w:rPr>
                            </w:pPr>
                            <w:r w:rsidRPr="00DF2AC1">
                              <w:rPr>
                                <w:rFonts w:ascii="標楷體" w:eastAsia="標楷體" w:hAnsi="標楷體" w:hint="eastAsia"/>
                                <w:sz w:val="20"/>
                                <w:szCs w:val="20"/>
                              </w:rPr>
                              <w:t>類別</w:t>
                            </w:r>
                          </w:p>
                        </w:tc>
                        <w:tc>
                          <w:tcPr>
                            <w:tcW w:w="4536" w:type="dxa"/>
                          </w:tcPr>
                          <w:p w14:paraId="030AA117" w14:textId="77777777" w:rsidR="00A0212B" w:rsidRPr="00DF2AC1" w:rsidRDefault="00A0212B" w:rsidP="00037584">
                            <w:pPr>
                              <w:spacing w:line="280" w:lineRule="exact"/>
                              <w:jc w:val="center"/>
                              <w:rPr>
                                <w:rFonts w:ascii="標楷體" w:eastAsia="標楷體" w:hAnsi="標楷體"/>
                                <w:sz w:val="20"/>
                                <w:szCs w:val="20"/>
                              </w:rPr>
                            </w:pPr>
                            <w:r w:rsidRPr="00DF2AC1">
                              <w:rPr>
                                <w:rFonts w:ascii="標楷體" w:eastAsia="標楷體" w:hAnsi="標楷體" w:hint="eastAsia"/>
                                <w:sz w:val="20"/>
                                <w:szCs w:val="20"/>
                              </w:rPr>
                              <w:t>身分別</w:t>
                            </w:r>
                          </w:p>
                        </w:tc>
                      </w:tr>
                      <w:tr w:rsidR="00A0212B" w:rsidRPr="00C565C9" w14:paraId="368D955C" w14:textId="77777777" w:rsidTr="00E31547">
                        <w:trPr>
                          <w:jc w:val="center"/>
                        </w:trPr>
                        <w:tc>
                          <w:tcPr>
                            <w:tcW w:w="1276" w:type="dxa"/>
                          </w:tcPr>
                          <w:p w14:paraId="2EB54E76" w14:textId="77777777" w:rsidR="00A0212B" w:rsidRPr="00DF2AC1" w:rsidRDefault="00A0212B" w:rsidP="00037584">
                            <w:pPr>
                              <w:spacing w:line="280" w:lineRule="exact"/>
                              <w:jc w:val="center"/>
                              <w:rPr>
                                <w:rFonts w:ascii="標楷體" w:eastAsia="標楷體" w:hAnsi="標楷體"/>
                                <w:sz w:val="20"/>
                                <w:szCs w:val="20"/>
                              </w:rPr>
                            </w:pPr>
                            <w:r w:rsidRPr="00DF2AC1">
                              <w:rPr>
                                <w:rFonts w:ascii="標楷體" w:eastAsia="標楷體" w:hAnsi="標楷體" w:hint="eastAsia"/>
                                <w:sz w:val="20"/>
                                <w:szCs w:val="20"/>
                              </w:rPr>
                              <w:t>經濟弱勢</w:t>
                            </w:r>
                          </w:p>
                        </w:tc>
                        <w:tc>
                          <w:tcPr>
                            <w:tcW w:w="4536" w:type="dxa"/>
                          </w:tcPr>
                          <w:p w14:paraId="7C8FDFE7" w14:textId="77777777" w:rsidR="00A0212B" w:rsidRPr="00DF2AC1" w:rsidRDefault="00A0212B" w:rsidP="00037584">
                            <w:pPr>
                              <w:spacing w:line="280" w:lineRule="exact"/>
                              <w:rPr>
                                <w:rFonts w:ascii="標楷體" w:eastAsia="標楷體" w:hAnsi="標楷體"/>
                                <w:sz w:val="20"/>
                                <w:szCs w:val="20"/>
                              </w:rPr>
                            </w:pPr>
                            <w:r w:rsidRPr="00DF2AC1">
                              <w:rPr>
                                <w:rFonts w:ascii="標楷體" w:eastAsia="標楷體" w:hAnsi="標楷體" w:hint="eastAsia"/>
                                <w:sz w:val="20"/>
                                <w:szCs w:val="20"/>
                              </w:rPr>
                              <w:t>低收入戶或中低收入戶</w:t>
                            </w:r>
                          </w:p>
                        </w:tc>
                      </w:tr>
                      <w:tr w:rsidR="00A0212B" w:rsidRPr="00C565C9" w14:paraId="241E3D4E" w14:textId="77777777" w:rsidTr="00B06CA2">
                        <w:trPr>
                          <w:jc w:val="center"/>
                        </w:trPr>
                        <w:tc>
                          <w:tcPr>
                            <w:tcW w:w="1276" w:type="dxa"/>
                            <w:vAlign w:val="center"/>
                          </w:tcPr>
                          <w:p w14:paraId="70A7A863" w14:textId="77777777" w:rsidR="00A0212B" w:rsidRPr="00DF2AC1" w:rsidRDefault="00A0212B" w:rsidP="00037584">
                            <w:pPr>
                              <w:spacing w:line="280" w:lineRule="exact"/>
                              <w:jc w:val="center"/>
                              <w:rPr>
                                <w:rFonts w:ascii="標楷體" w:eastAsia="標楷體" w:hAnsi="標楷體"/>
                                <w:sz w:val="20"/>
                                <w:szCs w:val="20"/>
                              </w:rPr>
                            </w:pPr>
                            <w:r w:rsidRPr="00DF2AC1">
                              <w:rPr>
                                <w:rFonts w:ascii="標楷體" w:eastAsia="標楷體" w:hAnsi="標楷體" w:hint="eastAsia"/>
                                <w:sz w:val="20"/>
                                <w:szCs w:val="20"/>
                              </w:rPr>
                              <w:t>社會弱勢</w:t>
                            </w:r>
                          </w:p>
                        </w:tc>
                        <w:tc>
                          <w:tcPr>
                            <w:tcW w:w="4536" w:type="dxa"/>
                          </w:tcPr>
                          <w:p w14:paraId="6AF3C01E" w14:textId="77777777" w:rsidR="00A0212B" w:rsidRPr="00DF2AC1" w:rsidRDefault="00A0212B" w:rsidP="00037584">
                            <w:pPr>
                              <w:spacing w:line="280" w:lineRule="exact"/>
                              <w:jc w:val="both"/>
                              <w:rPr>
                                <w:rFonts w:ascii="標楷體" w:eastAsia="標楷體" w:hAnsi="標楷體"/>
                                <w:sz w:val="20"/>
                                <w:szCs w:val="20"/>
                              </w:rPr>
                            </w:pPr>
                            <w:r w:rsidRPr="00DF2AC1">
                              <w:rPr>
                                <w:rFonts w:ascii="標楷體" w:eastAsia="標楷體" w:hAnsi="標楷體" w:hint="eastAsia"/>
                                <w:sz w:val="20"/>
                                <w:szCs w:val="20"/>
                              </w:rPr>
                              <w:t>一、身心障礙者。二、65歲以上之老人。三、原住民。四、遊民。五、育有未成年子女3人以上。六、特殊境遇家庭。七、災民。八、於安置教養機構或寄養家庭結束安置無法返家，未滿25歲。九、受家庭暴力或性侵害之受害者及其子女。十、感染人類免疫缺乏病毒者或罹患後天免疫缺乏症候群者。十一、因懷孕或生育而遭遇困境之未成年人。</w:t>
                            </w:r>
                          </w:p>
                        </w:tc>
                      </w:tr>
                    </w:tbl>
                    <w:p w14:paraId="37229D4C" w14:textId="77777777" w:rsidR="00A0212B" w:rsidRPr="00DF2AC1" w:rsidRDefault="00A0212B" w:rsidP="00B06CA2">
                      <w:pPr>
                        <w:spacing w:line="300" w:lineRule="exact"/>
                        <w:ind w:left="880" w:hangingChars="489" w:hanging="880"/>
                        <w:jc w:val="both"/>
                        <w:rPr>
                          <w:sz w:val="18"/>
                          <w:szCs w:val="18"/>
                        </w:rPr>
                      </w:pPr>
                      <w:r w:rsidRPr="00DF2AC1">
                        <w:rPr>
                          <w:rFonts w:ascii="標楷體" w:eastAsia="標楷體" w:hAnsi="標楷體" w:hint="eastAsia"/>
                          <w:sz w:val="18"/>
                          <w:szCs w:val="18"/>
                        </w:rPr>
                        <w:t>資料來源：整理自三百億元中央擴大租金補貼專案計畫作業規定附表三。</w:t>
                      </w:r>
                    </w:p>
                  </w:txbxContent>
                </v:textbox>
                <w10:wrap type="tight" anchorx="margin"/>
              </v:shape>
            </w:pict>
          </mc:Fallback>
        </mc:AlternateContent>
      </w:r>
      <w:r w:rsidRPr="0031215D">
        <w:rPr>
          <w:rFonts w:ascii="標楷體" w:eastAsia="標楷體" w:hAnsi="標楷體" w:hint="eastAsia"/>
          <w:snapToGrid w:val="0"/>
          <w:kern w:val="0"/>
          <w:szCs w:val="32"/>
        </w:rPr>
        <w:t>分別者（</w:t>
      </w:r>
      <w:r w:rsidRPr="006678C5">
        <w:rPr>
          <w:rFonts w:ascii="標楷體" w:eastAsia="標楷體" w:hAnsi="標楷體" w:hint="eastAsia"/>
          <w:snapToGrid w:val="0"/>
          <w:kern w:val="0"/>
          <w:szCs w:val="32"/>
        </w:rPr>
        <w:t>表</w:t>
      </w:r>
      <w:r w:rsidR="00204F2B" w:rsidRPr="006678C5">
        <w:rPr>
          <w:rFonts w:ascii="標楷體" w:eastAsia="標楷體" w:hAnsi="標楷體"/>
          <w:snapToGrid w:val="0"/>
          <w:kern w:val="0"/>
          <w:szCs w:val="32"/>
        </w:rPr>
        <w:t>3</w:t>
      </w:r>
      <w:r w:rsidRPr="0031215D">
        <w:rPr>
          <w:rFonts w:ascii="標楷體" w:eastAsia="標楷體" w:hAnsi="標楷體" w:hint="eastAsia"/>
          <w:snapToGrid w:val="0"/>
          <w:kern w:val="0"/>
          <w:szCs w:val="32"/>
        </w:rPr>
        <w:t>）。按弱勢族群係指社會上生活困難的群體，相對於優勢團體而言，弱勢族群往往因競爭力不足、適應力不佳、缺乏某些生活能力或環境因素，而遭受不同程度的壓抑、剝削或不平等的對待，以致較無創造財富的能力，社會地位低，甚或被標籤化及歧視。爰對弱勢族群之照顧，係政府責無旁貸之任務。經查政府保障弱勢族群權益情形，核有：（1）國際上為確保政府政策之擬訂與實施，對社會、環境或經濟的負面影響降至最低，部分先進國家已有針對政策之執行是否對弱勢族群產生不利影響進行評估之作法，如：聯合國政府間氣候變</w:t>
      </w:r>
      <w:r w:rsidRPr="0031215D">
        <w:rPr>
          <w:rFonts w:ascii="標楷體" w:eastAsia="標楷體" w:hAnsi="標楷體" w:hint="eastAsia"/>
          <w:snapToGrid w:val="0"/>
          <w:kern w:val="0"/>
          <w:szCs w:val="24"/>
        </w:rPr>
        <w:t>遷專門委員會（Intergovernmental Panel on Climate Change</w:t>
      </w:r>
      <w:r w:rsidRPr="0031215D">
        <w:rPr>
          <w:rFonts w:ascii="標楷體" w:eastAsia="標楷體" w:hAnsi="標楷體" w:hint="eastAsia"/>
          <w:snapToGrid w:val="0"/>
          <w:color w:val="000000"/>
          <w:kern w:val="0"/>
          <w:szCs w:val="24"/>
        </w:rPr>
        <w:t xml:space="preserve">, </w:t>
      </w:r>
      <w:r w:rsidRPr="0031215D">
        <w:rPr>
          <w:rFonts w:ascii="標楷體" w:eastAsia="標楷體" w:hAnsi="標楷體" w:hint="eastAsia"/>
          <w:snapToGrid w:val="0"/>
          <w:kern w:val="0"/>
          <w:szCs w:val="24"/>
        </w:rPr>
        <w:t>IPCC） 2002年發布調適規劃架構之技術性專文「氣候調適脆弱度評估」</w:t>
      </w:r>
      <w:r w:rsidR="00C2362F" w:rsidRPr="00C2362F">
        <w:rPr>
          <w:rFonts w:ascii="標楷體" w:eastAsia="標楷體" w:hAnsi="標楷體" w:hint="eastAsia"/>
          <w:snapToGrid w:val="0"/>
          <w:kern w:val="0"/>
          <w:szCs w:val="24"/>
        </w:rPr>
        <w:t>（</w:t>
      </w:r>
      <w:r w:rsidRPr="0031215D">
        <w:rPr>
          <w:rFonts w:ascii="標楷體" w:eastAsia="標楷體" w:hAnsi="標楷體" w:hint="eastAsia"/>
          <w:snapToGrid w:val="0"/>
          <w:kern w:val="0"/>
          <w:szCs w:val="24"/>
        </w:rPr>
        <w:t>Vulnerability assessment for climate adaptation）；美國國際開發署於其韌性氣候變遷發展架構補充氣候變遷脆弱度評估報告</w:t>
      </w:r>
      <w:r w:rsidR="00C2362F" w:rsidRPr="00C2362F">
        <w:rPr>
          <w:rFonts w:ascii="標楷體" w:eastAsia="標楷體" w:hAnsi="標楷體" w:hint="eastAsia"/>
          <w:snapToGrid w:val="0"/>
          <w:kern w:val="0"/>
          <w:szCs w:val="24"/>
        </w:rPr>
        <w:t>（</w:t>
      </w:r>
      <w:r w:rsidRPr="0031215D">
        <w:rPr>
          <w:rFonts w:ascii="標楷體" w:eastAsia="標楷體" w:hAnsi="標楷體" w:hint="eastAsia"/>
          <w:snapToGrid w:val="0"/>
          <w:kern w:val="0"/>
          <w:szCs w:val="24"/>
        </w:rPr>
        <w:t>climate vulnerability assessment）；加拿大安大略省衛生及長期醫療部門，開發健康權益影響評估決策支援工具（</w:t>
      </w:r>
      <w:r w:rsidRPr="0031215D">
        <w:rPr>
          <w:rFonts w:ascii="標楷體" w:eastAsia="標楷體" w:hAnsi="標楷體"/>
          <w:snapToGrid w:val="0"/>
          <w:kern w:val="0"/>
          <w:szCs w:val="24"/>
        </w:rPr>
        <w:t>Health</w:t>
      </w:r>
      <w:r w:rsidRPr="0031215D">
        <w:rPr>
          <w:rFonts w:ascii="標楷體" w:eastAsia="標楷體" w:hAnsi="標楷體" w:hint="eastAsia"/>
          <w:snapToGrid w:val="0"/>
          <w:kern w:val="0"/>
          <w:szCs w:val="24"/>
        </w:rPr>
        <w:t xml:space="preserve"> </w:t>
      </w:r>
      <w:r w:rsidRPr="0031215D">
        <w:rPr>
          <w:rFonts w:ascii="標楷體" w:eastAsia="標楷體" w:hAnsi="標楷體"/>
          <w:snapToGrid w:val="0"/>
          <w:kern w:val="0"/>
          <w:szCs w:val="24"/>
        </w:rPr>
        <w:t>Equity</w:t>
      </w:r>
      <w:r w:rsidRPr="0031215D">
        <w:rPr>
          <w:rFonts w:ascii="標楷體" w:eastAsia="標楷體" w:hAnsi="標楷體" w:hint="eastAsia"/>
          <w:snapToGrid w:val="0"/>
          <w:kern w:val="0"/>
          <w:szCs w:val="24"/>
        </w:rPr>
        <w:t xml:space="preserve"> </w:t>
      </w:r>
      <w:r w:rsidRPr="0031215D">
        <w:rPr>
          <w:rFonts w:ascii="標楷體" w:eastAsia="標楷體" w:hAnsi="標楷體"/>
          <w:snapToGrid w:val="0"/>
          <w:kern w:val="0"/>
          <w:szCs w:val="24"/>
        </w:rPr>
        <w:t>Impact</w:t>
      </w:r>
      <w:r w:rsidRPr="0031215D">
        <w:rPr>
          <w:rFonts w:ascii="標楷體" w:eastAsia="標楷體" w:hAnsi="標楷體" w:hint="eastAsia"/>
          <w:snapToGrid w:val="0"/>
          <w:kern w:val="0"/>
          <w:szCs w:val="24"/>
        </w:rPr>
        <w:t xml:space="preserve"> </w:t>
      </w:r>
      <w:r w:rsidR="00B06CA2" w:rsidRPr="00EC283D">
        <w:rPr>
          <w:rFonts w:ascii="標楷體" w:eastAsia="標楷體" w:hAnsi="標楷體"/>
          <w:noProof/>
          <w:snapToGrid w:val="0"/>
          <w:kern w:val="0"/>
          <w:szCs w:val="24"/>
        </w:rPr>
        <mc:AlternateContent>
          <mc:Choice Requires="wps">
            <w:drawing>
              <wp:anchor distT="45720" distB="45720" distL="114300" distR="114300" simplePos="0" relativeHeight="251659264" behindDoc="1" locked="0" layoutInCell="1" allowOverlap="1" wp14:anchorId="7A043B0D" wp14:editId="1BBB121A">
                <wp:simplePos x="0" y="0"/>
                <wp:positionH relativeFrom="page">
                  <wp:posOffset>2131150</wp:posOffset>
                </wp:positionH>
                <wp:positionV relativeFrom="page">
                  <wp:posOffset>7034349</wp:posOffset>
                </wp:positionV>
                <wp:extent cx="4870800" cy="2743200"/>
                <wp:effectExtent l="0" t="0" r="6350" b="0"/>
                <wp:wrapTight wrapText="bothSides">
                  <wp:wrapPolygon edited="0">
                    <wp:start x="0" y="0"/>
                    <wp:lineTo x="0" y="21450"/>
                    <wp:lineTo x="21544" y="21450"/>
                    <wp:lineTo x="21544" y="0"/>
                    <wp:lineTo x="0" y="0"/>
                  </wp:wrapPolygon>
                </wp:wrapTight>
                <wp:docPr id="4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0800" cy="2743200"/>
                        </a:xfrm>
                        <a:prstGeom prst="rect">
                          <a:avLst/>
                        </a:prstGeom>
                        <a:solidFill>
                          <a:srgbClr val="FFFFFF"/>
                        </a:solidFill>
                        <a:ln w="9525">
                          <a:noFill/>
                          <a:miter lim="800000"/>
                          <a:headEnd/>
                          <a:tailEnd/>
                        </a:ln>
                      </wps:spPr>
                      <wps:txbx>
                        <w:txbxContent>
                          <w:p w14:paraId="7AA7B188" w14:textId="77777777" w:rsidR="00A0212B" w:rsidRPr="00BF6CDD" w:rsidRDefault="00A0212B" w:rsidP="00B06CA2">
                            <w:pPr>
                              <w:spacing w:line="400" w:lineRule="exact"/>
                              <w:jc w:val="center"/>
                              <w:rPr>
                                <w:rFonts w:ascii="標楷體" w:eastAsia="標楷體" w:hAnsi="標楷體"/>
                                <w:b/>
                                <w:szCs w:val="24"/>
                              </w:rPr>
                            </w:pPr>
                            <w:r w:rsidRPr="00BF6CDD">
                              <w:rPr>
                                <w:rFonts w:ascii="標楷體" w:eastAsia="標楷體" w:hAnsi="標楷體" w:hint="eastAsia"/>
                                <w:b/>
                                <w:szCs w:val="24"/>
                              </w:rPr>
                              <w:t>表</w:t>
                            </w:r>
                            <w:r>
                              <w:rPr>
                                <w:rFonts w:ascii="標楷體" w:eastAsia="標楷體" w:hAnsi="標楷體"/>
                                <w:b/>
                                <w:szCs w:val="24"/>
                              </w:rPr>
                              <w:t>4</w:t>
                            </w:r>
                            <w:r>
                              <w:rPr>
                                <w:rFonts w:ascii="標楷體" w:eastAsia="標楷體" w:hAnsi="標楷體" w:hint="eastAsia"/>
                                <w:b/>
                                <w:szCs w:val="24"/>
                              </w:rPr>
                              <w:t xml:space="preserve">　</w:t>
                            </w:r>
                            <w:r w:rsidRPr="00BF6CDD">
                              <w:rPr>
                                <w:rFonts w:ascii="標楷體" w:eastAsia="標楷體" w:hAnsi="標楷體" w:hint="eastAsia"/>
                                <w:b/>
                                <w:szCs w:val="24"/>
                              </w:rPr>
                              <w:t>國際間「弱勢影響評估」</w:t>
                            </w:r>
                            <w:r>
                              <w:rPr>
                                <w:rFonts w:ascii="標楷體" w:eastAsia="標楷體" w:hAnsi="標楷體" w:hint="eastAsia"/>
                                <w:b/>
                                <w:szCs w:val="24"/>
                              </w:rPr>
                              <w:t>相關</w:t>
                            </w:r>
                            <w:r w:rsidRPr="00BF6CDD">
                              <w:rPr>
                                <w:rFonts w:ascii="標楷體" w:eastAsia="標楷體" w:hAnsi="標楷體" w:hint="eastAsia"/>
                                <w:b/>
                                <w:szCs w:val="24"/>
                              </w:rPr>
                              <w:t>作法</w:t>
                            </w:r>
                          </w:p>
                          <w:tbl>
                            <w:tblPr>
                              <w:tblStyle w:val="370"/>
                              <w:tblW w:w="0" w:type="auto"/>
                              <w:jc w:val="center"/>
                              <w:tblLook w:val="04A0" w:firstRow="1" w:lastRow="0" w:firstColumn="1" w:lastColumn="0" w:noHBand="0" w:noVBand="1"/>
                            </w:tblPr>
                            <w:tblGrid>
                              <w:gridCol w:w="1542"/>
                              <w:gridCol w:w="2952"/>
                              <w:gridCol w:w="2797"/>
                            </w:tblGrid>
                            <w:tr w:rsidR="00A0212B" w:rsidRPr="00FA1E96" w14:paraId="12BEBAA2" w14:textId="77777777" w:rsidTr="00E31547">
                              <w:trPr>
                                <w:tblHeader/>
                                <w:jc w:val="center"/>
                              </w:trPr>
                              <w:tc>
                                <w:tcPr>
                                  <w:tcW w:w="1542" w:type="dxa"/>
                                  <w:vAlign w:val="center"/>
                                </w:tcPr>
                                <w:p w14:paraId="0E529B6E"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組織/部門</w:t>
                                  </w:r>
                                </w:p>
                              </w:tc>
                              <w:tc>
                                <w:tcPr>
                                  <w:tcW w:w="2952" w:type="dxa"/>
                                  <w:vAlign w:val="center"/>
                                </w:tcPr>
                                <w:p w14:paraId="12218987"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文件</w:t>
                                  </w:r>
                                  <w:r w:rsidRPr="00BF6CDD">
                                    <w:rPr>
                                      <w:rFonts w:ascii="標楷體" w:eastAsia="標楷體" w:hAnsi="標楷體"/>
                                      <w:sz w:val="20"/>
                                      <w:szCs w:val="20"/>
                                    </w:rPr>
                                    <w:t>/</w:t>
                                  </w:r>
                                  <w:r w:rsidRPr="00BF6CDD">
                                    <w:rPr>
                                      <w:rFonts w:ascii="標楷體" w:eastAsia="標楷體" w:hAnsi="標楷體" w:hint="eastAsia"/>
                                      <w:sz w:val="20"/>
                                      <w:szCs w:val="20"/>
                                    </w:rPr>
                                    <w:t>報告</w:t>
                                  </w:r>
                                </w:p>
                              </w:tc>
                              <w:tc>
                                <w:tcPr>
                                  <w:tcW w:w="2797" w:type="dxa"/>
                                  <w:vAlign w:val="center"/>
                                </w:tcPr>
                                <w:p w14:paraId="2BA5CD38"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具體論述/作法</w:t>
                                  </w:r>
                                </w:p>
                              </w:tc>
                            </w:tr>
                            <w:tr w:rsidR="00A0212B" w:rsidRPr="00FA1E96" w14:paraId="4002780B" w14:textId="77777777" w:rsidTr="00E31547">
                              <w:trPr>
                                <w:jc w:val="center"/>
                              </w:trPr>
                              <w:tc>
                                <w:tcPr>
                                  <w:tcW w:w="1542" w:type="dxa"/>
                                  <w:vAlign w:val="center"/>
                                </w:tcPr>
                                <w:p w14:paraId="3A0A91CC"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聯合國政府間氣候變遷專門委員會(IPCC)</w:t>
                                  </w:r>
                                </w:p>
                              </w:tc>
                              <w:tc>
                                <w:tcPr>
                                  <w:tcW w:w="2952" w:type="dxa"/>
                                  <w:vAlign w:val="center"/>
                                </w:tcPr>
                                <w:p w14:paraId="42881ABF"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2002年發布調適規劃架構之技術性專文「氣候調適脆弱度評估」</w:t>
                                  </w:r>
                                  <w:r w:rsidRPr="004F7BD1">
                                    <w:rPr>
                                      <w:rFonts w:ascii="標楷體" w:eastAsia="標楷體" w:hAnsi="標楷體" w:hint="eastAsia"/>
                                      <w:snapToGrid w:val="0"/>
                                      <w:spacing w:val="-10"/>
                                      <w:kern w:val="0"/>
                                      <w:sz w:val="20"/>
                                      <w:szCs w:val="20"/>
                                    </w:rPr>
                                    <w:t>(Vulnerability assessment for climate adaptation)</w:t>
                                  </w:r>
                                </w:p>
                              </w:tc>
                              <w:tc>
                                <w:tcPr>
                                  <w:tcW w:w="2797" w:type="dxa"/>
                                  <w:vAlign w:val="center"/>
                                </w:tcPr>
                                <w:p w14:paraId="7A76F0D8"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強調脆弱度評估的核心關注點是應保護當前受氣候變遷不利後果影響的人，如：幼兒、貧民或疾病高風險者。</w:t>
                                  </w:r>
                                </w:p>
                              </w:tc>
                            </w:tr>
                            <w:tr w:rsidR="00A0212B" w:rsidRPr="00FA1E96" w14:paraId="66E03BE2" w14:textId="77777777" w:rsidTr="00E31547">
                              <w:trPr>
                                <w:jc w:val="center"/>
                              </w:trPr>
                              <w:tc>
                                <w:tcPr>
                                  <w:tcW w:w="1542" w:type="dxa"/>
                                  <w:vAlign w:val="center"/>
                                </w:tcPr>
                                <w:p w14:paraId="39C4154A" w14:textId="77777777" w:rsidR="00A0212B" w:rsidRPr="004F7BD1" w:rsidRDefault="00A0212B" w:rsidP="00037584">
                                  <w:pPr>
                                    <w:spacing w:line="240" w:lineRule="exact"/>
                                    <w:jc w:val="both"/>
                                    <w:rPr>
                                      <w:rFonts w:ascii="標楷體" w:eastAsia="標楷體" w:hAnsi="標楷體"/>
                                      <w:snapToGrid w:val="0"/>
                                      <w:spacing w:val="-10"/>
                                      <w:kern w:val="0"/>
                                      <w:sz w:val="20"/>
                                      <w:szCs w:val="20"/>
                                    </w:rPr>
                                  </w:pPr>
                                  <w:r w:rsidRPr="004F7BD1">
                                    <w:rPr>
                                      <w:rFonts w:ascii="標楷體" w:eastAsia="標楷體" w:hAnsi="標楷體" w:hint="eastAsia"/>
                                      <w:snapToGrid w:val="0"/>
                                      <w:spacing w:val="-10"/>
                                      <w:kern w:val="0"/>
                                      <w:sz w:val="20"/>
                                      <w:szCs w:val="20"/>
                                    </w:rPr>
                                    <w:t>美國國際開發署</w:t>
                                  </w:r>
                                </w:p>
                              </w:tc>
                              <w:tc>
                                <w:tcPr>
                                  <w:tcW w:w="2952" w:type="dxa"/>
                                  <w:vAlign w:val="center"/>
                                </w:tcPr>
                                <w:p w14:paraId="327182D0"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韌性氣候變遷發展架構補充氣候變遷脆弱度評估報告(climate vulnerability assessment)</w:t>
                                  </w:r>
                                  <w:r w:rsidRPr="002F5C42">
                                    <w:rPr>
                                      <w:rFonts w:ascii="標楷體" w:eastAsia="標楷體" w:hAnsi="標楷體"/>
                                      <w:snapToGrid w:val="0"/>
                                      <w:kern w:val="0"/>
                                      <w:sz w:val="20"/>
                                      <w:szCs w:val="20"/>
                                    </w:rPr>
                                    <w:t xml:space="preserve"> </w:t>
                                  </w:r>
                                </w:p>
                              </w:tc>
                              <w:tc>
                                <w:tcPr>
                                  <w:tcW w:w="2797" w:type="dxa"/>
                                  <w:vAlign w:val="center"/>
                                </w:tcPr>
                                <w:p w14:paraId="47B4319D"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脆弱度評估有助於解決誰或什麼容易受到氣候壓力因素的影響等。</w:t>
                                  </w:r>
                                </w:p>
                              </w:tc>
                            </w:tr>
                            <w:tr w:rsidR="00A0212B" w:rsidRPr="00FA1E96" w14:paraId="534C3493" w14:textId="77777777" w:rsidTr="00E31547">
                              <w:trPr>
                                <w:jc w:val="center"/>
                              </w:trPr>
                              <w:tc>
                                <w:tcPr>
                                  <w:tcW w:w="1542" w:type="dxa"/>
                                  <w:vAlign w:val="center"/>
                                </w:tcPr>
                                <w:p w14:paraId="436643DD"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加拿大安大略省衛生及長期醫療部門</w:t>
                                  </w:r>
                                </w:p>
                              </w:tc>
                              <w:tc>
                                <w:tcPr>
                                  <w:tcW w:w="2952" w:type="dxa"/>
                                  <w:vAlign w:val="center"/>
                                </w:tcPr>
                                <w:p w14:paraId="45464B4E" w14:textId="77777777" w:rsidR="00A0212B" w:rsidRPr="002F5C42" w:rsidRDefault="00A0212B">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 xml:space="preserve">健康權益影響評估決策支援工具（HEIA </w:t>
                                  </w:r>
                                  <w:r>
                                    <w:rPr>
                                      <w:rFonts w:ascii="標楷體" w:eastAsia="標楷體" w:hAnsi="標楷體"/>
                                      <w:snapToGrid w:val="0"/>
                                      <w:kern w:val="0"/>
                                      <w:sz w:val="20"/>
                                      <w:szCs w:val="20"/>
                                    </w:rPr>
                                    <w:t>T</w:t>
                                  </w:r>
                                  <w:r w:rsidRPr="002F5C42">
                                    <w:rPr>
                                      <w:rFonts w:ascii="標楷體" w:eastAsia="標楷體" w:hAnsi="標楷體" w:hint="eastAsia"/>
                                      <w:snapToGrid w:val="0"/>
                                      <w:kern w:val="0"/>
                                      <w:sz w:val="20"/>
                                      <w:szCs w:val="20"/>
                                    </w:rPr>
                                    <w:t>ool）</w:t>
                                  </w:r>
                                </w:p>
                              </w:tc>
                              <w:tc>
                                <w:tcPr>
                                  <w:tcW w:w="2797" w:type="dxa"/>
                                  <w:vAlign w:val="center"/>
                                </w:tcPr>
                                <w:p w14:paraId="34C3B6E5"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該工具有利於擬訂政</w:t>
                                  </w:r>
                                  <w:r w:rsidRPr="002F5C42">
                                    <w:rPr>
                                      <w:rFonts w:ascii="標楷體" w:eastAsia="標楷體" w:hAnsi="標楷體"/>
                                      <w:snapToGrid w:val="0"/>
                                      <w:kern w:val="0"/>
                                      <w:sz w:val="20"/>
                                      <w:szCs w:val="20"/>
                                    </w:rPr>
                                    <w:t>策、</w:t>
                                  </w:r>
                                  <w:r w:rsidRPr="002F5C42">
                                    <w:rPr>
                                      <w:rFonts w:ascii="標楷體" w:eastAsia="標楷體" w:hAnsi="標楷體" w:hint="eastAsia"/>
                                      <w:snapToGrid w:val="0"/>
                                      <w:kern w:val="0"/>
                                      <w:sz w:val="20"/>
                                      <w:szCs w:val="20"/>
                                    </w:rPr>
                                    <w:t>計畫或措施時，考量對弱勢或邊緣化人群健康所造成影響。</w:t>
                                  </w:r>
                                </w:p>
                              </w:tc>
                            </w:tr>
                            <w:tr w:rsidR="00A0212B" w:rsidRPr="00FA1E96" w14:paraId="26787A7F" w14:textId="77777777" w:rsidTr="00E31547">
                              <w:trPr>
                                <w:jc w:val="center"/>
                              </w:trPr>
                              <w:tc>
                                <w:tcPr>
                                  <w:tcW w:w="1542" w:type="dxa"/>
                                  <w:vAlign w:val="center"/>
                                </w:tcPr>
                                <w:p w14:paraId="2D89CCE3"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美國紐約州</w:t>
                                  </w:r>
                                </w:p>
                              </w:tc>
                              <w:tc>
                                <w:tcPr>
                                  <w:tcW w:w="2952" w:type="dxa"/>
                                  <w:vAlign w:val="center"/>
                                </w:tcPr>
                                <w:p w14:paraId="1A85E002"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立法要求對醫療機構提出之計畫進行潛在健康權益影響評估</w:t>
                                  </w:r>
                                </w:p>
                              </w:tc>
                              <w:tc>
                                <w:tcPr>
                                  <w:tcW w:w="2797" w:type="dxa"/>
                                  <w:vAlign w:val="center"/>
                                </w:tcPr>
                                <w:p w14:paraId="1CEF6167" w14:textId="77777777" w:rsidR="00A0212B" w:rsidRPr="004F7BD1" w:rsidRDefault="00A0212B" w:rsidP="00037584">
                                  <w:pPr>
                                    <w:spacing w:line="240" w:lineRule="exact"/>
                                    <w:jc w:val="both"/>
                                    <w:rPr>
                                      <w:rFonts w:ascii="標楷體" w:eastAsia="標楷體" w:hAnsi="標楷體"/>
                                      <w:snapToGrid w:val="0"/>
                                      <w:spacing w:val="-6"/>
                                      <w:kern w:val="0"/>
                                      <w:sz w:val="20"/>
                                      <w:szCs w:val="20"/>
                                    </w:rPr>
                                  </w:pPr>
                                  <w:r w:rsidRPr="004F7BD1">
                                    <w:rPr>
                                      <w:rFonts w:ascii="標楷體" w:eastAsia="標楷體" w:hAnsi="標楷體" w:hint="eastAsia"/>
                                      <w:snapToGrid w:val="0"/>
                                      <w:spacing w:val="-6"/>
                                      <w:kern w:val="0"/>
                                      <w:sz w:val="20"/>
                                      <w:szCs w:val="20"/>
                                    </w:rPr>
                                    <w:t>作為計畫需求證明核發之依據。</w:t>
                                  </w:r>
                                </w:p>
                              </w:tc>
                            </w:tr>
                          </w:tbl>
                          <w:p w14:paraId="770017F3" w14:textId="77777777" w:rsidR="00A0212B" w:rsidRPr="00BF6CDD" w:rsidRDefault="00A0212B" w:rsidP="00B06CA2">
                            <w:pPr>
                              <w:spacing w:line="300" w:lineRule="exact"/>
                              <w:ind w:firstLineChars="100" w:firstLine="180"/>
                              <w:rPr>
                                <w:sz w:val="18"/>
                                <w:szCs w:val="18"/>
                              </w:rPr>
                            </w:pPr>
                            <w:r w:rsidRPr="00BF6CDD">
                              <w:rPr>
                                <w:rFonts w:ascii="標楷體" w:eastAsia="標楷體" w:hAnsi="標楷體" w:hint="eastAsia"/>
                                <w:sz w:val="18"/>
                                <w:szCs w:val="18"/>
                              </w:rPr>
                              <w:t>資料來源：整理自上揭組織/部門之網站資料。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043B0D" id="_x0000_s1030" type="#_x0000_t202" style="position:absolute;left:0;text-align:left;margin-left:167.8pt;margin-top:553.9pt;width:383.55pt;height:3in;z-index:-25165721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" stroked="f">
                <v:textbox>
                  <w:txbxContent>
                    <w:p w14:paraId="7AA7B188" w14:textId="77777777" w:rsidR="00A0212B" w:rsidRPr="00BF6CDD" w:rsidRDefault="00A0212B" w:rsidP="00B06CA2">
                      <w:pPr>
                        <w:spacing w:line="400" w:lineRule="exact"/>
                        <w:jc w:val="center"/>
                        <w:rPr>
                          <w:rFonts w:ascii="標楷體" w:eastAsia="標楷體" w:hAnsi="標楷體"/>
                          <w:b/>
                          <w:szCs w:val="24"/>
                        </w:rPr>
                      </w:pPr>
                      <w:r w:rsidRPr="00BF6CDD">
                        <w:rPr>
                          <w:rFonts w:ascii="標楷體" w:eastAsia="標楷體" w:hAnsi="標楷體" w:hint="eastAsia"/>
                          <w:b/>
                          <w:szCs w:val="24"/>
                        </w:rPr>
                        <w:t>表</w:t>
                      </w:r>
                      <w:r>
                        <w:rPr>
                          <w:rFonts w:ascii="標楷體" w:eastAsia="標楷體" w:hAnsi="標楷體"/>
                          <w:b/>
                          <w:szCs w:val="24"/>
                        </w:rPr>
                        <w:t>4</w:t>
                      </w:r>
                      <w:r>
                        <w:rPr>
                          <w:rFonts w:ascii="標楷體" w:eastAsia="標楷體" w:hAnsi="標楷體" w:hint="eastAsia"/>
                          <w:b/>
                          <w:szCs w:val="24"/>
                        </w:rPr>
                        <w:t xml:space="preserve">　</w:t>
                      </w:r>
                      <w:r w:rsidRPr="00BF6CDD">
                        <w:rPr>
                          <w:rFonts w:ascii="標楷體" w:eastAsia="標楷體" w:hAnsi="標楷體" w:hint="eastAsia"/>
                          <w:b/>
                          <w:szCs w:val="24"/>
                        </w:rPr>
                        <w:t>國際間「弱勢影響評估」</w:t>
                      </w:r>
                      <w:r>
                        <w:rPr>
                          <w:rFonts w:ascii="標楷體" w:eastAsia="標楷體" w:hAnsi="標楷體" w:hint="eastAsia"/>
                          <w:b/>
                          <w:szCs w:val="24"/>
                        </w:rPr>
                        <w:t>相關</w:t>
                      </w:r>
                      <w:r w:rsidRPr="00BF6CDD">
                        <w:rPr>
                          <w:rFonts w:ascii="標楷體" w:eastAsia="標楷體" w:hAnsi="標楷體" w:hint="eastAsia"/>
                          <w:b/>
                          <w:szCs w:val="24"/>
                        </w:rPr>
                        <w:t>作法</w:t>
                      </w:r>
                    </w:p>
                    <w:tbl>
                      <w:tblPr>
                        <w:tblStyle w:val="370"/>
                        <w:tblW w:w="0" w:type="auto"/>
                        <w:jc w:val="center"/>
                        <w:tblLook w:val="04A0" w:firstRow="1" w:lastRow="0" w:firstColumn="1" w:lastColumn="0" w:noHBand="0" w:noVBand="1"/>
                      </w:tblPr>
                      <w:tblGrid>
                        <w:gridCol w:w="1542"/>
                        <w:gridCol w:w="2952"/>
                        <w:gridCol w:w="2797"/>
                      </w:tblGrid>
                      <w:tr w:rsidR="00A0212B" w:rsidRPr="00FA1E96" w14:paraId="12BEBAA2" w14:textId="77777777" w:rsidTr="00E31547">
                        <w:trPr>
                          <w:tblHeader/>
                          <w:jc w:val="center"/>
                        </w:trPr>
                        <w:tc>
                          <w:tcPr>
                            <w:tcW w:w="1542" w:type="dxa"/>
                            <w:vAlign w:val="center"/>
                          </w:tcPr>
                          <w:p w14:paraId="0E529B6E"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組織/部門</w:t>
                            </w:r>
                          </w:p>
                        </w:tc>
                        <w:tc>
                          <w:tcPr>
                            <w:tcW w:w="2952" w:type="dxa"/>
                            <w:vAlign w:val="center"/>
                          </w:tcPr>
                          <w:p w14:paraId="12218987"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文件</w:t>
                            </w:r>
                            <w:r w:rsidRPr="00BF6CDD">
                              <w:rPr>
                                <w:rFonts w:ascii="標楷體" w:eastAsia="標楷體" w:hAnsi="標楷體"/>
                                <w:sz w:val="20"/>
                                <w:szCs w:val="20"/>
                              </w:rPr>
                              <w:t>/</w:t>
                            </w:r>
                            <w:r w:rsidRPr="00BF6CDD">
                              <w:rPr>
                                <w:rFonts w:ascii="標楷體" w:eastAsia="標楷體" w:hAnsi="標楷體" w:hint="eastAsia"/>
                                <w:sz w:val="20"/>
                                <w:szCs w:val="20"/>
                              </w:rPr>
                              <w:t>報告</w:t>
                            </w:r>
                          </w:p>
                        </w:tc>
                        <w:tc>
                          <w:tcPr>
                            <w:tcW w:w="2797" w:type="dxa"/>
                            <w:vAlign w:val="center"/>
                          </w:tcPr>
                          <w:p w14:paraId="2BA5CD38"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具體論述/作法</w:t>
                            </w:r>
                          </w:p>
                        </w:tc>
                      </w:tr>
                      <w:tr w:rsidR="00A0212B" w:rsidRPr="00FA1E96" w14:paraId="4002780B" w14:textId="77777777" w:rsidTr="00E31547">
                        <w:trPr>
                          <w:jc w:val="center"/>
                        </w:trPr>
                        <w:tc>
                          <w:tcPr>
                            <w:tcW w:w="1542" w:type="dxa"/>
                            <w:vAlign w:val="center"/>
                          </w:tcPr>
                          <w:p w14:paraId="3A0A91CC"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聯合國政府間氣候變遷專門委員會(IPCC)</w:t>
                            </w:r>
                          </w:p>
                        </w:tc>
                        <w:tc>
                          <w:tcPr>
                            <w:tcW w:w="2952" w:type="dxa"/>
                            <w:vAlign w:val="center"/>
                          </w:tcPr>
                          <w:p w14:paraId="42881ABF"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2002年發布調適規劃架構之技術性專文「氣候調適脆弱度評估」</w:t>
                            </w:r>
                            <w:r w:rsidRPr="004F7BD1">
                              <w:rPr>
                                <w:rFonts w:ascii="標楷體" w:eastAsia="標楷體" w:hAnsi="標楷體" w:hint="eastAsia"/>
                                <w:snapToGrid w:val="0"/>
                                <w:spacing w:val="-10"/>
                                <w:kern w:val="0"/>
                                <w:sz w:val="20"/>
                                <w:szCs w:val="20"/>
                              </w:rPr>
                              <w:t>(Vulnerability assessment for climate adaptation)</w:t>
                            </w:r>
                          </w:p>
                        </w:tc>
                        <w:tc>
                          <w:tcPr>
                            <w:tcW w:w="2797" w:type="dxa"/>
                            <w:vAlign w:val="center"/>
                          </w:tcPr>
                          <w:p w14:paraId="7A76F0D8"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強調脆弱度評估的核心關注點是應保護當前受氣候變遷不利後果影響的人，如：幼兒、貧民或疾病高風險者。</w:t>
                            </w:r>
                          </w:p>
                        </w:tc>
                      </w:tr>
                      <w:tr w:rsidR="00A0212B" w:rsidRPr="00FA1E96" w14:paraId="66E03BE2" w14:textId="77777777" w:rsidTr="00E31547">
                        <w:trPr>
                          <w:jc w:val="center"/>
                        </w:trPr>
                        <w:tc>
                          <w:tcPr>
                            <w:tcW w:w="1542" w:type="dxa"/>
                            <w:vAlign w:val="center"/>
                          </w:tcPr>
                          <w:p w14:paraId="39C4154A" w14:textId="77777777" w:rsidR="00A0212B" w:rsidRPr="004F7BD1" w:rsidRDefault="00A0212B" w:rsidP="00037584">
                            <w:pPr>
                              <w:spacing w:line="240" w:lineRule="exact"/>
                              <w:jc w:val="both"/>
                              <w:rPr>
                                <w:rFonts w:ascii="標楷體" w:eastAsia="標楷體" w:hAnsi="標楷體"/>
                                <w:snapToGrid w:val="0"/>
                                <w:spacing w:val="-10"/>
                                <w:kern w:val="0"/>
                                <w:sz w:val="20"/>
                                <w:szCs w:val="20"/>
                              </w:rPr>
                            </w:pPr>
                            <w:r w:rsidRPr="004F7BD1">
                              <w:rPr>
                                <w:rFonts w:ascii="標楷體" w:eastAsia="標楷體" w:hAnsi="標楷體" w:hint="eastAsia"/>
                                <w:snapToGrid w:val="0"/>
                                <w:spacing w:val="-10"/>
                                <w:kern w:val="0"/>
                                <w:sz w:val="20"/>
                                <w:szCs w:val="20"/>
                              </w:rPr>
                              <w:t>美國國際開發署</w:t>
                            </w:r>
                          </w:p>
                        </w:tc>
                        <w:tc>
                          <w:tcPr>
                            <w:tcW w:w="2952" w:type="dxa"/>
                            <w:vAlign w:val="center"/>
                          </w:tcPr>
                          <w:p w14:paraId="327182D0"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韌性氣候變遷發展架構補充氣候變遷脆弱度評估報告(climate vulnerability assessment)</w:t>
                            </w:r>
                            <w:r w:rsidRPr="002F5C42">
                              <w:rPr>
                                <w:rFonts w:ascii="標楷體" w:eastAsia="標楷體" w:hAnsi="標楷體"/>
                                <w:snapToGrid w:val="0"/>
                                <w:kern w:val="0"/>
                                <w:sz w:val="20"/>
                                <w:szCs w:val="20"/>
                              </w:rPr>
                              <w:t xml:space="preserve"> </w:t>
                            </w:r>
                          </w:p>
                        </w:tc>
                        <w:tc>
                          <w:tcPr>
                            <w:tcW w:w="2797" w:type="dxa"/>
                            <w:vAlign w:val="center"/>
                          </w:tcPr>
                          <w:p w14:paraId="47B4319D"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脆弱度評估有助於解決誰或什麼容易受到氣候壓力因素的影響等。</w:t>
                            </w:r>
                          </w:p>
                        </w:tc>
                      </w:tr>
                      <w:tr w:rsidR="00A0212B" w:rsidRPr="00FA1E96" w14:paraId="534C3493" w14:textId="77777777" w:rsidTr="00E31547">
                        <w:trPr>
                          <w:jc w:val="center"/>
                        </w:trPr>
                        <w:tc>
                          <w:tcPr>
                            <w:tcW w:w="1542" w:type="dxa"/>
                            <w:vAlign w:val="center"/>
                          </w:tcPr>
                          <w:p w14:paraId="436643DD"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加拿大安大略省衛生及長期醫療部門</w:t>
                            </w:r>
                          </w:p>
                        </w:tc>
                        <w:tc>
                          <w:tcPr>
                            <w:tcW w:w="2952" w:type="dxa"/>
                            <w:vAlign w:val="center"/>
                          </w:tcPr>
                          <w:p w14:paraId="45464B4E" w14:textId="77777777" w:rsidR="00A0212B" w:rsidRPr="002F5C42" w:rsidRDefault="00A0212B">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 xml:space="preserve">健康權益影響評估決策支援工具（HEIA </w:t>
                            </w:r>
                            <w:r>
                              <w:rPr>
                                <w:rFonts w:ascii="標楷體" w:eastAsia="標楷體" w:hAnsi="標楷體"/>
                                <w:snapToGrid w:val="0"/>
                                <w:kern w:val="0"/>
                                <w:sz w:val="20"/>
                                <w:szCs w:val="20"/>
                              </w:rPr>
                              <w:t>T</w:t>
                            </w:r>
                            <w:r w:rsidRPr="002F5C42">
                              <w:rPr>
                                <w:rFonts w:ascii="標楷體" w:eastAsia="標楷體" w:hAnsi="標楷體" w:hint="eastAsia"/>
                                <w:snapToGrid w:val="0"/>
                                <w:kern w:val="0"/>
                                <w:sz w:val="20"/>
                                <w:szCs w:val="20"/>
                              </w:rPr>
                              <w:t>ool）</w:t>
                            </w:r>
                          </w:p>
                        </w:tc>
                        <w:tc>
                          <w:tcPr>
                            <w:tcW w:w="2797" w:type="dxa"/>
                            <w:vAlign w:val="center"/>
                          </w:tcPr>
                          <w:p w14:paraId="34C3B6E5"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該工具有利於擬訂政</w:t>
                            </w:r>
                            <w:r w:rsidRPr="002F5C42">
                              <w:rPr>
                                <w:rFonts w:ascii="標楷體" w:eastAsia="標楷體" w:hAnsi="標楷體"/>
                                <w:snapToGrid w:val="0"/>
                                <w:kern w:val="0"/>
                                <w:sz w:val="20"/>
                                <w:szCs w:val="20"/>
                              </w:rPr>
                              <w:t>策、</w:t>
                            </w:r>
                            <w:r w:rsidRPr="002F5C42">
                              <w:rPr>
                                <w:rFonts w:ascii="標楷體" w:eastAsia="標楷體" w:hAnsi="標楷體" w:hint="eastAsia"/>
                                <w:snapToGrid w:val="0"/>
                                <w:kern w:val="0"/>
                                <w:sz w:val="20"/>
                                <w:szCs w:val="20"/>
                              </w:rPr>
                              <w:t>計畫或措施時，考量對弱勢或邊緣化人群健康所造成影響。</w:t>
                            </w:r>
                          </w:p>
                        </w:tc>
                      </w:tr>
                      <w:tr w:rsidR="00A0212B" w:rsidRPr="00FA1E96" w14:paraId="26787A7F" w14:textId="77777777" w:rsidTr="00E31547">
                        <w:trPr>
                          <w:jc w:val="center"/>
                        </w:trPr>
                        <w:tc>
                          <w:tcPr>
                            <w:tcW w:w="1542" w:type="dxa"/>
                            <w:vAlign w:val="center"/>
                          </w:tcPr>
                          <w:p w14:paraId="2D89CCE3"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美國紐約州</w:t>
                            </w:r>
                          </w:p>
                        </w:tc>
                        <w:tc>
                          <w:tcPr>
                            <w:tcW w:w="2952" w:type="dxa"/>
                            <w:vAlign w:val="center"/>
                          </w:tcPr>
                          <w:p w14:paraId="1A85E002"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立法要求對醫療機構提出之計畫進行潛在健康權益影響評估</w:t>
                            </w:r>
                          </w:p>
                        </w:tc>
                        <w:tc>
                          <w:tcPr>
                            <w:tcW w:w="2797" w:type="dxa"/>
                            <w:vAlign w:val="center"/>
                          </w:tcPr>
                          <w:p w14:paraId="1CEF6167" w14:textId="77777777" w:rsidR="00A0212B" w:rsidRPr="004F7BD1" w:rsidRDefault="00A0212B" w:rsidP="00037584">
                            <w:pPr>
                              <w:spacing w:line="240" w:lineRule="exact"/>
                              <w:jc w:val="both"/>
                              <w:rPr>
                                <w:rFonts w:ascii="標楷體" w:eastAsia="標楷體" w:hAnsi="標楷體"/>
                                <w:snapToGrid w:val="0"/>
                                <w:spacing w:val="-6"/>
                                <w:kern w:val="0"/>
                                <w:sz w:val="20"/>
                                <w:szCs w:val="20"/>
                              </w:rPr>
                            </w:pPr>
                            <w:r w:rsidRPr="004F7BD1">
                              <w:rPr>
                                <w:rFonts w:ascii="標楷體" w:eastAsia="標楷體" w:hAnsi="標楷體" w:hint="eastAsia"/>
                                <w:snapToGrid w:val="0"/>
                                <w:spacing w:val="-6"/>
                                <w:kern w:val="0"/>
                                <w:sz w:val="20"/>
                                <w:szCs w:val="20"/>
                              </w:rPr>
                              <w:t>作為計畫需求證明核發之依據。</w:t>
                            </w:r>
                          </w:p>
                        </w:tc>
                      </w:tr>
                    </w:tbl>
                    <w:p w14:paraId="770017F3" w14:textId="77777777" w:rsidR="00A0212B" w:rsidRPr="00BF6CDD" w:rsidRDefault="00A0212B" w:rsidP="00B06CA2">
                      <w:pPr>
                        <w:spacing w:line="300" w:lineRule="exact"/>
                        <w:ind w:firstLineChars="100" w:firstLine="180"/>
                        <w:rPr>
                          <w:sz w:val="18"/>
                          <w:szCs w:val="18"/>
                        </w:rPr>
                      </w:pPr>
                      <w:r w:rsidRPr="00BF6CDD">
                        <w:rPr>
                          <w:rFonts w:ascii="標楷體" w:eastAsia="標楷體" w:hAnsi="標楷體" w:hint="eastAsia"/>
                          <w:sz w:val="18"/>
                          <w:szCs w:val="18"/>
                        </w:rPr>
                        <w:t>資料來源：整理自上揭組織/部門之網站資料。</w:t>
                      </w:r>
                    </w:p>
                  </w:txbxContent>
                </v:textbox>
                <w10:wrap type="tight" anchorx="page" anchory="page"/>
              </v:shape>
            </w:pict>
          </mc:Fallback>
        </mc:AlternateContent>
      </w:r>
      <w:r w:rsidRPr="0031215D">
        <w:rPr>
          <w:rFonts w:ascii="標楷體" w:eastAsia="標楷體" w:hAnsi="標楷體"/>
          <w:snapToGrid w:val="0"/>
          <w:kern w:val="0"/>
          <w:szCs w:val="24"/>
        </w:rPr>
        <w:t>Assessment</w:t>
      </w:r>
      <w:r w:rsidRPr="0031215D">
        <w:rPr>
          <w:rFonts w:ascii="標楷體" w:eastAsia="標楷體" w:hAnsi="標楷體" w:hint="eastAsia"/>
          <w:snapToGrid w:val="0"/>
          <w:color w:val="000000"/>
          <w:spacing w:val="-4"/>
          <w:kern w:val="0"/>
          <w:szCs w:val="24"/>
        </w:rPr>
        <w:t xml:space="preserve">, </w:t>
      </w:r>
      <w:r w:rsidRPr="0031215D">
        <w:rPr>
          <w:rFonts w:ascii="標楷體" w:eastAsia="標楷體" w:hAnsi="標楷體"/>
          <w:snapToGrid w:val="0"/>
          <w:kern w:val="0"/>
          <w:szCs w:val="24"/>
        </w:rPr>
        <w:t>HEIA</w:t>
      </w:r>
      <w:r w:rsidRPr="0031215D">
        <w:rPr>
          <w:rFonts w:ascii="標楷體" w:eastAsia="標楷體" w:hAnsi="標楷體" w:hint="eastAsia"/>
          <w:snapToGrid w:val="0"/>
          <w:kern w:val="0"/>
          <w:szCs w:val="24"/>
        </w:rPr>
        <w:t xml:space="preserve"> </w:t>
      </w:r>
      <w:r w:rsidR="003E7D28">
        <w:rPr>
          <w:rFonts w:ascii="標楷體" w:eastAsia="標楷體" w:hAnsi="標楷體" w:hint="eastAsia"/>
          <w:snapToGrid w:val="0"/>
          <w:kern w:val="0"/>
          <w:szCs w:val="24"/>
        </w:rPr>
        <w:t>T</w:t>
      </w:r>
      <w:r w:rsidRPr="0031215D">
        <w:rPr>
          <w:rFonts w:ascii="標楷體" w:eastAsia="標楷體" w:hAnsi="標楷體" w:hint="eastAsia"/>
          <w:snapToGrid w:val="0"/>
          <w:kern w:val="0"/>
          <w:szCs w:val="24"/>
        </w:rPr>
        <w:t>ool）；美國紐約州立</w:t>
      </w:r>
      <w:r w:rsidRPr="0031215D">
        <w:rPr>
          <w:rFonts w:ascii="標楷體" w:eastAsia="標楷體" w:hAnsi="標楷體" w:hint="eastAsia"/>
          <w:kern w:val="0"/>
          <w:szCs w:val="32"/>
        </w:rPr>
        <w:t>法要求對醫療機</w:t>
      </w:r>
      <w:r w:rsidRPr="0031215D">
        <w:rPr>
          <w:rFonts w:ascii="標楷體" w:eastAsia="標楷體" w:hAnsi="標楷體" w:hint="eastAsia"/>
          <w:snapToGrid w:val="0"/>
          <w:kern w:val="0"/>
          <w:szCs w:val="24"/>
        </w:rPr>
        <w:t>構提出之計畫，進行潛在健康權益影響評估等（</w:t>
      </w:r>
      <w:r w:rsidRPr="006678C5">
        <w:rPr>
          <w:rFonts w:ascii="標楷體" w:eastAsia="標楷體" w:hAnsi="標楷體" w:hint="eastAsia"/>
          <w:snapToGrid w:val="0"/>
          <w:kern w:val="0"/>
          <w:szCs w:val="24"/>
        </w:rPr>
        <w:t>表</w:t>
      </w:r>
      <w:r w:rsidR="00204F2B" w:rsidRPr="006678C5">
        <w:rPr>
          <w:rFonts w:ascii="標楷體" w:eastAsia="標楷體" w:hAnsi="標楷體"/>
          <w:snapToGrid w:val="0"/>
          <w:kern w:val="0"/>
          <w:szCs w:val="24"/>
        </w:rPr>
        <w:t>4</w:t>
      </w:r>
      <w:r w:rsidRPr="0031215D">
        <w:rPr>
          <w:rFonts w:ascii="標楷體" w:eastAsia="標楷體" w:hAnsi="標楷體" w:hint="eastAsia"/>
          <w:snapToGrid w:val="0"/>
          <w:kern w:val="0"/>
          <w:szCs w:val="24"/>
        </w:rPr>
        <w:t>）。另隨全球淨零轉型過程中對既有的經濟結構與社會分配造成影響，致使受轉型負面影響之對象產生相對剝奪感，部</w:t>
      </w:r>
      <w:r w:rsidRPr="0031215D">
        <w:rPr>
          <w:rFonts w:ascii="標楷體" w:eastAsia="標楷體" w:hAnsi="標楷體" w:hint="eastAsia"/>
          <w:snapToGrid w:val="0"/>
          <w:kern w:val="0"/>
          <w:szCs w:val="24"/>
        </w:rPr>
        <w:lastRenderedPageBreak/>
        <w:t>分國家紛紛推行「公正轉型」機制，如：美國聯邦政府於2021年成立白宮環境正義跨機關委員會，推動氣候變遷之環境正義；美國環境部為維護環境正義，設有環境正義及境外公民權利辦公室</w:t>
      </w:r>
      <w:r w:rsidR="00C2362F" w:rsidRPr="00C2362F">
        <w:rPr>
          <w:rFonts w:ascii="標楷體" w:eastAsia="標楷體" w:hAnsi="標楷體" w:hint="eastAsia"/>
          <w:snapToGrid w:val="0"/>
          <w:kern w:val="0"/>
          <w:szCs w:val="24"/>
        </w:rPr>
        <w:t>（</w:t>
      </w:r>
      <w:r w:rsidRPr="0031215D">
        <w:rPr>
          <w:rFonts w:ascii="標楷體" w:eastAsia="標楷體" w:hAnsi="標楷體" w:hint="eastAsia"/>
          <w:snapToGrid w:val="0"/>
          <w:kern w:val="0"/>
          <w:szCs w:val="24"/>
        </w:rPr>
        <w:t>Office of Environmental Justice and External Civil Rights</w:t>
      </w:r>
      <w:r w:rsidRPr="0031215D">
        <w:rPr>
          <w:rFonts w:ascii="標楷體" w:eastAsia="標楷體" w:hAnsi="標楷體" w:hint="eastAsia"/>
          <w:snapToGrid w:val="0"/>
          <w:color w:val="000000"/>
          <w:kern w:val="0"/>
          <w:szCs w:val="24"/>
        </w:rPr>
        <w:t xml:space="preserve">, </w:t>
      </w:r>
      <w:r w:rsidRPr="0031215D">
        <w:rPr>
          <w:rFonts w:ascii="標楷體" w:eastAsia="標楷體" w:hAnsi="標楷體" w:hint="eastAsia"/>
          <w:snapToGrid w:val="0"/>
          <w:kern w:val="0"/>
          <w:szCs w:val="24"/>
        </w:rPr>
        <w:t>OEJECR）；芬蘭氣候政策圓桌會議第19次會議主要議題，即是氣候行動和計畫正義；蘇格蘭政府2019年成立公正轉型委員會</w:t>
      </w:r>
      <w:r w:rsidRPr="0031215D">
        <w:rPr>
          <w:rFonts w:ascii="標楷體" w:eastAsia="標楷體" w:hAnsi="標楷體" w:hint="eastAsia"/>
          <w:snapToGrid w:val="0"/>
          <w:spacing w:val="-14"/>
          <w:kern w:val="0"/>
          <w:szCs w:val="24"/>
        </w:rPr>
        <w:t>（Just Transition Commission</w:t>
      </w:r>
      <w:r w:rsidRPr="0031215D">
        <w:rPr>
          <w:rFonts w:ascii="標楷體" w:eastAsia="標楷體" w:hAnsi="標楷體" w:hint="eastAsia"/>
          <w:snapToGrid w:val="0"/>
          <w:color w:val="000000"/>
          <w:spacing w:val="-14"/>
          <w:kern w:val="0"/>
          <w:szCs w:val="24"/>
        </w:rPr>
        <w:t xml:space="preserve">, </w:t>
      </w:r>
      <w:r w:rsidRPr="0031215D">
        <w:rPr>
          <w:rFonts w:ascii="標楷體" w:eastAsia="標楷體" w:hAnsi="標楷體" w:hint="eastAsia"/>
          <w:snapToGrid w:val="0"/>
          <w:spacing w:val="-14"/>
          <w:kern w:val="0"/>
          <w:szCs w:val="24"/>
        </w:rPr>
        <w:t>JT</w:t>
      </w:r>
      <w:r w:rsidRPr="0031215D">
        <w:rPr>
          <w:rFonts w:ascii="標楷體" w:eastAsia="標楷體" w:hAnsi="標楷體"/>
          <w:snapToGrid w:val="0"/>
          <w:spacing w:val="-14"/>
          <w:kern w:val="0"/>
          <w:szCs w:val="24"/>
        </w:rPr>
        <w:t>C</w:t>
      </w:r>
      <w:r w:rsidRPr="0031215D">
        <w:rPr>
          <w:rFonts w:ascii="標楷體" w:eastAsia="標楷體" w:hAnsi="標楷體" w:hint="eastAsia"/>
          <w:snapToGrid w:val="0"/>
          <w:spacing w:val="-14"/>
          <w:kern w:val="0"/>
          <w:szCs w:val="24"/>
        </w:rPr>
        <w:t>）</w:t>
      </w:r>
      <w:r w:rsidRPr="0031215D">
        <w:rPr>
          <w:rFonts w:ascii="標楷體" w:eastAsia="標楷體" w:hAnsi="標楷體" w:hint="eastAsia"/>
          <w:snapToGrid w:val="0"/>
          <w:kern w:val="0"/>
          <w:szCs w:val="24"/>
        </w:rPr>
        <w:t>；歐盟設立「公正轉型基金」（Just Transition Fund</w:t>
      </w:r>
      <w:r w:rsidRPr="0031215D">
        <w:rPr>
          <w:rFonts w:ascii="標楷體" w:eastAsia="標楷體" w:hAnsi="標楷體" w:hint="eastAsia"/>
          <w:snapToGrid w:val="0"/>
          <w:color w:val="000000"/>
          <w:kern w:val="0"/>
          <w:szCs w:val="24"/>
        </w:rPr>
        <w:t xml:space="preserve">, </w:t>
      </w:r>
      <w:r w:rsidRPr="0031215D">
        <w:rPr>
          <w:rFonts w:ascii="標楷體" w:eastAsia="標楷體" w:hAnsi="標楷體" w:hint="eastAsia"/>
          <w:snapToGrid w:val="0"/>
          <w:kern w:val="0"/>
          <w:szCs w:val="24"/>
        </w:rPr>
        <w:t>JTF）提供必要資金，補助歐盟國家綠色轉型過程中的脆弱族群等（</w:t>
      </w:r>
      <w:r w:rsidRPr="006678C5">
        <w:rPr>
          <w:rFonts w:ascii="標楷體" w:eastAsia="標楷體" w:hAnsi="標楷體" w:hint="eastAsia"/>
          <w:snapToGrid w:val="0"/>
          <w:kern w:val="0"/>
          <w:szCs w:val="24"/>
        </w:rPr>
        <w:t>表</w:t>
      </w:r>
      <w:r w:rsidR="00204F2B" w:rsidRPr="006678C5">
        <w:rPr>
          <w:rFonts w:ascii="標楷體" w:eastAsia="標楷體" w:hAnsi="標楷體"/>
          <w:snapToGrid w:val="0"/>
          <w:kern w:val="0"/>
          <w:szCs w:val="24"/>
        </w:rPr>
        <w:t>5</w:t>
      </w:r>
      <w:r w:rsidRPr="0031215D">
        <w:rPr>
          <w:rFonts w:ascii="標楷體" w:eastAsia="標楷體" w:hAnsi="標楷體" w:hint="eastAsia"/>
          <w:snapToGrid w:val="0"/>
          <w:kern w:val="0"/>
          <w:szCs w:val="24"/>
        </w:rPr>
        <w:t>）。茲以教育部推動高中職學習歷程檔案之政策為例，據本部教育農林審計處查核發現，該政策實施後，高級中等學校適用108課綱之第一屆及第二屆經濟弱勢學生提交「課程學習成果」及「多元表現」平均件數，均較一般學生為低，未提交比率亦較一般學生為高，分別高出6.8個、12.88個百分點</w:t>
      </w:r>
      <w:r w:rsidR="00C2362F" w:rsidRPr="00C2362F">
        <w:rPr>
          <w:rFonts w:ascii="標楷體" w:eastAsia="標楷體" w:hAnsi="標楷體" w:hint="eastAsia"/>
          <w:snapToGrid w:val="0"/>
          <w:kern w:val="0"/>
          <w:szCs w:val="24"/>
        </w:rPr>
        <w:t>（</w:t>
      </w:r>
      <w:r w:rsidRPr="0031215D">
        <w:rPr>
          <w:rFonts w:ascii="標楷體" w:eastAsia="標楷體" w:hAnsi="標楷體" w:hint="eastAsia"/>
          <w:snapToGrid w:val="0"/>
          <w:kern w:val="0"/>
          <w:szCs w:val="24"/>
        </w:rPr>
        <w:t>第二屆則高出10.58個、14.75個百分點）。此</w:t>
      </w:r>
      <w:r w:rsidRPr="0031215D">
        <w:rPr>
          <w:rFonts w:ascii="標楷體" w:eastAsia="標楷體" w:hAnsi="標楷體" w:hint="eastAsia"/>
          <w:snapToGrid w:val="0"/>
          <w:kern w:val="0"/>
          <w:szCs w:val="32"/>
        </w:rPr>
        <w:t>外，第二屆經濟弱勢學生於就讀高級中學3年期間，超逾半數</w:t>
      </w:r>
      <w:r w:rsidR="00C2362F" w:rsidRPr="00C2362F">
        <w:rPr>
          <w:rFonts w:ascii="標楷體" w:eastAsia="標楷體" w:hAnsi="標楷體" w:hint="eastAsia"/>
          <w:snapToGrid w:val="0"/>
          <w:kern w:val="0"/>
          <w:szCs w:val="32"/>
        </w:rPr>
        <w:t>（</w:t>
      </w:r>
      <w:r w:rsidRPr="0031215D">
        <w:rPr>
          <w:rFonts w:ascii="標楷體" w:eastAsia="標楷體" w:hAnsi="標楷體" w:hint="eastAsia"/>
          <w:snapToGrid w:val="0"/>
          <w:kern w:val="0"/>
          <w:szCs w:val="32"/>
        </w:rPr>
        <w:t>達57.45％）均未提交「多元表現」資料上傳資料庫。凸顯因家庭經濟資源不利因素，造成教育資源落差，已影響其進入高等教育機會，亟待教育部就上揭學習歷程檔案政策對經濟弱勢學生之負面影響提出因應對策。為期政府之政策執行對於弱勢族群不致產生負面影響，讓弱勢族群更趨弱勢，影響社會階層流動，造成貧窮世襲之窘境，允宜參考先進國家作法，研議要求各部會於政策規劃期間，須就政策執行對於弱勢族群是否產生負面影響，建立對弱勢族群之脆弱度或權益影響評估機制，以保障弱勢族群之權益及福祉；（2）我國為呼應全球淨零轉型趨勢，於111年3月30日公布2050淨零排放路徑，然而因</w:t>
      </w:r>
      <w:r w:rsidRPr="0031215D">
        <w:rPr>
          <w:rFonts w:ascii="標楷體" w:eastAsia="標楷體" w:hAnsi="標楷體"/>
          <w:snapToGrid w:val="0"/>
          <w:kern w:val="0"/>
          <w:szCs w:val="32"/>
        </w:rPr>
        <w:t>淨零轉型過程必</w:t>
      </w:r>
      <w:r w:rsidRPr="0031215D">
        <w:rPr>
          <w:rFonts w:ascii="標楷體" w:eastAsia="標楷體" w:hAnsi="標楷體" w:hint="eastAsia"/>
          <w:snapToGrid w:val="0"/>
          <w:kern w:val="0"/>
          <w:szCs w:val="32"/>
        </w:rPr>
        <w:t>然</w:t>
      </w:r>
      <w:r w:rsidRPr="0031215D">
        <w:rPr>
          <w:rFonts w:ascii="標楷體" w:eastAsia="標楷體" w:hAnsi="標楷體"/>
          <w:snapToGrid w:val="0"/>
          <w:kern w:val="0"/>
          <w:szCs w:val="32"/>
        </w:rPr>
        <w:t>對既有的經濟結構與社</w:t>
      </w:r>
      <w:r w:rsidR="00B06CA2" w:rsidRPr="00EC283D">
        <w:rPr>
          <w:rFonts w:ascii="標楷體" w:eastAsia="標楷體" w:hAnsi="標楷體"/>
          <w:noProof/>
          <w:snapToGrid w:val="0"/>
          <w:color w:val="FF0000"/>
          <w:kern w:val="0"/>
          <w:szCs w:val="24"/>
        </w:rPr>
        <mc:AlternateContent>
          <mc:Choice Requires="wps">
            <w:drawing>
              <wp:anchor distT="45720" distB="45720" distL="114300" distR="114300" simplePos="0" relativeHeight="251661312" behindDoc="1" locked="0" layoutInCell="1" allowOverlap="1" wp14:anchorId="195E3C13" wp14:editId="72B2247E">
                <wp:simplePos x="0" y="0"/>
                <wp:positionH relativeFrom="margin">
                  <wp:posOffset>2079171</wp:posOffset>
                </wp:positionH>
                <wp:positionV relativeFrom="page">
                  <wp:posOffset>2880360</wp:posOffset>
                </wp:positionV>
                <wp:extent cx="4215600" cy="1404620"/>
                <wp:effectExtent l="0" t="0" r="0" b="1270"/>
                <wp:wrapTight wrapText="bothSides">
                  <wp:wrapPolygon edited="0">
                    <wp:start x="0" y="0"/>
                    <wp:lineTo x="0" y="21468"/>
                    <wp:lineTo x="21476" y="21468"/>
                    <wp:lineTo x="21476" y="0"/>
                    <wp:lineTo x="0" y="0"/>
                  </wp:wrapPolygon>
                </wp:wrapTight>
                <wp:docPr id="4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600" cy="1404620"/>
                        </a:xfrm>
                        <a:prstGeom prst="rect">
                          <a:avLst/>
                        </a:prstGeom>
                        <a:solidFill>
                          <a:srgbClr val="FFFFFF"/>
                        </a:solidFill>
                        <a:ln w="9525">
                          <a:noFill/>
                          <a:miter lim="800000"/>
                          <a:headEnd/>
                          <a:tailEnd/>
                        </a:ln>
                      </wps:spPr>
                      <wps:txbx>
                        <w:txbxContent>
                          <w:p w14:paraId="3D03A378" w14:textId="77777777" w:rsidR="00A0212B" w:rsidRPr="00BF6CDD" w:rsidRDefault="00A0212B" w:rsidP="00B06CA2">
                            <w:pPr>
                              <w:spacing w:line="400" w:lineRule="exact"/>
                              <w:jc w:val="center"/>
                              <w:rPr>
                                <w:rFonts w:ascii="標楷體" w:eastAsia="標楷體" w:hAnsi="標楷體"/>
                                <w:b/>
                                <w:szCs w:val="24"/>
                              </w:rPr>
                            </w:pPr>
                            <w:r w:rsidRPr="00BF6CDD">
                              <w:rPr>
                                <w:rFonts w:ascii="標楷體" w:eastAsia="標楷體" w:hAnsi="標楷體" w:hint="eastAsia"/>
                                <w:b/>
                                <w:szCs w:val="24"/>
                              </w:rPr>
                              <w:t>表</w:t>
                            </w:r>
                            <w:r>
                              <w:rPr>
                                <w:rFonts w:ascii="標楷體" w:eastAsia="標楷體" w:hAnsi="標楷體"/>
                                <w:b/>
                                <w:szCs w:val="24"/>
                              </w:rPr>
                              <w:t>5</w:t>
                            </w:r>
                            <w:r>
                              <w:rPr>
                                <w:rFonts w:ascii="標楷體" w:eastAsia="標楷體" w:hAnsi="標楷體" w:hint="eastAsia"/>
                                <w:b/>
                                <w:szCs w:val="24"/>
                              </w:rPr>
                              <w:t xml:space="preserve">　</w:t>
                            </w:r>
                            <w:r w:rsidRPr="00BF6CDD">
                              <w:rPr>
                                <w:rFonts w:ascii="標楷體" w:eastAsia="標楷體" w:hAnsi="標楷體" w:hint="eastAsia"/>
                                <w:b/>
                                <w:szCs w:val="24"/>
                              </w:rPr>
                              <w:t>國</w:t>
                            </w:r>
                            <w:r>
                              <w:rPr>
                                <w:rFonts w:ascii="標楷體" w:eastAsia="標楷體" w:hAnsi="標楷體" w:hint="eastAsia"/>
                                <w:b/>
                                <w:szCs w:val="24"/>
                              </w:rPr>
                              <w:t>際間</w:t>
                            </w:r>
                            <w:r w:rsidRPr="00BF6CDD">
                              <w:rPr>
                                <w:rFonts w:ascii="標楷體" w:eastAsia="標楷體" w:hAnsi="標楷體" w:hint="eastAsia"/>
                                <w:b/>
                                <w:szCs w:val="24"/>
                              </w:rPr>
                              <w:t>「公正轉型」</w:t>
                            </w:r>
                            <w:r>
                              <w:rPr>
                                <w:rFonts w:ascii="標楷體" w:eastAsia="標楷體" w:hAnsi="標楷體" w:hint="eastAsia"/>
                                <w:b/>
                                <w:szCs w:val="24"/>
                              </w:rPr>
                              <w:t>機制</w:t>
                            </w:r>
                            <w:r w:rsidRPr="00BF6CDD">
                              <w:rPr>
                                <w:rFonts w:ascii="標楷體" w:eastAsia="標楷體" w:hAnsi="標楷體" w:hint="eastAsia"/>
                                <w:b/>
                                <w:szCs w:val="24"/>
                              </w:rPr>
                              <w:t>相關作法</w:t>
                            </w:r>
                          </w:p>
                          <w:tbl>
                            <w:tblPr>
                              <w:tblStyle w:val="38"/>
                              <w:tblW w:w="6463" w:type="dxa"/>
                              <w:jc w:val="center"/>
                              <w:tblLook w:val="04A0" w:firstRow="1" w:lastRow="0" w:firstColumn="1" w:lastColumn="0" w:noHBand="0" w:noVBand="1"/>
                            </w:tblPr>
                            <w:tblGrid>
                              <w:gridCol w:w="2069"/>
                              <w:gridCol w:w="4394"/>
                            </w:tblGrid>
                            <w:tr w:rsidR="00A0212B" w:rsidRPr="00D04A13" w14:paraId="5619375F" w14:textId="77777777" w:rsidTr="00E31547">
                              <w:trPr>
                                <w:tblHeader/>
                                <w:jc w:val="center"/>
                              </w:trPr>
                              <w:tc>
                                <w:tcPr>
                                  <w:tcW w:w="2069" w:type="dxa"/>
                                  <w:vAlign w:val="center"/>
                                </w:tcPr>
                                <w:p w14:paraId="4FA311AD"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組織/部門/政策</w:t>
                                  </w:r>
                                </w:p>
                              </w:tc>
                              <w:tc>
                                <w:tcPr>
                                  <w:tcW w:w="4394" w:type="dxa"/>
                                  <w:vAlign w:val="center"/>
                                </w:tcPr>
                                <w:p w14:paraId="3DEA06F2"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具體論述/作法</w:t>
                                  </w:r>
                                </w:p>
                              </w:tc>
                            </w:tr>
                            <w:tr w:rsidR="00A0212B" w:rsidRPr="00D04A13" w14:paraId="42D84738" w14:textId="77777777" w:rsidTr="00E31547">
                              <w:trPr>
                                <w:jc w:val="center"/>
                              </w:trPr>
                              <w:tc>
                                <w:tcPr>
                                  <w:tcW w:w="2069" w:type="dxa"/>
                                  <w:vAlign w:val="center"/>
                                </w:tcPr>
                                <w:p w14:paraId="206E1FF7"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美國白宮環境正義跨機關委員會</w:t>
                                  </w:r>
                                </w:p>
                              </w:tc>
                              <w:tc>
                                <w:tcPr>
                                  <w:tcW w:w="4394" w:type="dxa"/>
                                  <w:vAlign w:val="center"/>
                                </w:tcPr>
                                <w:p w14:paraId="3BCD0226"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發布「正義40倡議」，訂定弱勢群體辨識指引及發展辨識工具。</w:t>
                                  </w:r>
                                </w:p>
                              </w:tc>
                            </w:tr>
                            <w:tr w:rsidR="00A0212B" w:rsidRPr="00D04A13" w14:paraId="0311143C" w14:textId="77777777" w:rsidTr="00E31547">
                              <w:trPr>
                                <w:jc w:val="center"/>
                              </w:trPr>
                              <w:tc>
                                <w:tcPr>
                                  <w:tcW w:w="2069" w:type="dxa"/>
                                  <w:vAlign w:val="center"/>
                                </w:tcPr>
                                <w:p w14:paraId="7E30F9E5"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美國環境部</w:t>
                                  </w:r>
                                </w:p>
                              </w:tc>
                              <w:tc>
                                <w:tcPr>
                                  <w:tcW w:w="4394" w:type="dxa"/>
                                  <w:vAlign w:val="center"/>
                                </w:tcPr>
                                <w:p w14:paraId="37EFBC21"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設有環境正義及境外公民權利辦公室(OEJECR)，當聯邦政府推動之政策等對其健康和環境層面有所影響時，能被公正對待和有意義的參與。</w:t>
                                  </w:r>
                                </w:p>
                              </w:tc>
                            </w:tr>
                            <w:tr w:rsidR="00A0212B" w:rsidRPr="00D04A13" w14:paraId="358D6003" w14:textId="77777777" w:rsidTr="00E31547">
                              <w:trPr>
                                <w:jc w:val="center"/>
                              </w:trPr>
                              <w:tc>
                                <w:tcPr>
                                  <w:tcW w:w="2069" w:type="dxa"/>
                                  <w:vAlign w:val="center"/>
                                </w:tcPr>
                                <w:p w14:paraId="4141F7E5"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芬蘭氣候政策</w:t>
                                  </w:r>
                                </w:p>
                              </w:tc>
                              <w:tc>
                                <w:tcPr>
                                  <w:tcW w:w="4394" w:type="dxa"/>
                                  <w:vAlign w:val="center"/>
                                </w:tcPr>
                                <w:p w14:paraId="1ACFEB94"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在氣候政策的制定和決策過程中，強調公正轉型，聚焦其對公正和平等面向所造成之影響、廣泛的參與，以及對造成的損害進行補償等。</w:t>
                                  </w:r>
                                </w:p>
                              </w:tc>
                            </w:tr>
                            <w:tr w:rsidR="00A0212B" w:rsidRPr="00D04A13" w14:paraId="1EA367C6" w14:textId="77777777" w:rsidTr="00E31547">
                              <w:trPr>
                                <w:jc w:val="center"/>
                              </w:trPr>
                              <w:tc>
                                <w:tcPr>
                                  <w:tcW w:w="2069" w:type="dxa"/>
                                  <w:vAlign w:val="center"/>
                                </w:tcPr>
                                <w:p w14:paraId="0BA9255D" w14:textId="77777777" w:rsidR="00A0212B" w:rsidRDefault="00A0212B" w:rsidP="00037584">
                                  <w:pPr>
                                    <w:spacing w:line="240" w:lineRule="exact"/>
                                    <w:jc w:val="both"/>
                                    <w:rPr>
                                      <w:rFonts w:ascii="標楷體" w:eastAsia="標楷體" w:hAnsi="標楷體"/>
                                      <w:snapToGrid w:val="0"/>
                                      <w:spacing w:val="-8"/>
                                      <w:kern w:val="0"/>
                                      <w:sz w:val="20"/>
                                      <w:szCs w:val="20"/>
                                    </w:rPr>
                                  </w:pPr>
                                  <w:r w:rsidRPr="002F5C42">
                                    <w:rPr>
                                      <w:rFonts w:ascii="標楷體" w:eastAsia="標楷體" w:hAnsi="標楷體" w:hint="eastAsia"/>
                                      <w:snapToGrid w:val="0"/>
                                      <w:spacing w:val="-8"/>
                                      <w:kern w:val="0"/>
                                      <w:sz w:val="20"/>
                                      <w:szCs w:val="20"/>
                                    </w:rPr>
                                    <w:t>蘇格蘭公正轉型委員會</w:t>
                                  </w:r>
                                </w:p>
                                <w:p w14:paraId="730B2531" w14:textId="77777777" w:rsidR="00A0212B" w:rsidRPr="002F5C42" w:rsidRDefault="00A0212B" w:rsidP="00037584">
                                  <w:pPr>
                                    <w:spacing w:line="240" w:lineRule="exact"/>
                                    <w:jc w:val="both"/>
                                    <w:rPr>
                                      <w:rFonts w:ascii="標楷體" w:eastAsia="標楷體" w:hAnsi="標楷體"/>
                                      <w:snapToGrid w:val="0"/>
                                      <w:spacing w:val="-8"/>
                                      <w:kern w:val="0"/>
                                      <w:sz w:val="20"/>
                                      <w:szCs w:val="20"/>
                                    </w:rPr>
                                  </w:pPr>
                                  <w:r w:rsidRPr="002F5C42">
                                    <w:rPr>
                                      <w:rFonts w:ascii="標楷體" w:eastAsia="標楷體" w:hAnsi="標楷體" w:hint="eastAsia"/>
                                      <w:snapToGrid w:val="0"/>
                                      <w:spacing w:val="-8"/>
                                      <w:kern w:val="0"/>
                                      <w:sz w:val="20"/>
                                      <w:szCs w:val="20"/>
                                    </w:rPr>
                                    <w:t>（JT</w:t>
                                  </w:r>
                                  <w:r w:rsidRPr="002F5C42">
                                    <w:rPr>
                                      <w:rFonts w:ascii="標楷體" w:eastAsia="標楷體" w:hAnsi="標楷體"/>
                                      <w:snapToGrid w:val="0"/>
                                      <w:spacing w:val="-8"/>
                                      <w:kern w:val="0"/>
                                      <w:sz w:val="20"/>
                                      <w:szCs w:val="20"/>
                                    </w:rPr>
                                    <w:t>C</w:t>
                                  </w:r>
                                  <w:r w:rsidRPr="002F5C42">
                                    <w:rPr>
                                      <w:rFonts w:ascii="標楷體" w:eastAsia="標楷體" w:hAnsi="標楷體" w:hint="eastAsia"/>
                                      <w:snapToGrid w:val="0"/>
                                      <w:spacing w:val="-8"/>
                                      <w:kern w:val="0"/>
                                      <w:sz w:val="20"/>
                                      <w:szCs w:val="20"/>
                                    </w:rPr>
                                    <w:t>）</w:t>
                                  </w:r>
                                </w:p>
                              </w:tc>
                              <w:tc>
                                <w:tcPr>
                                  <w:tcW w:w="4394" w:type="dxa"/>
                                  <w:vAlign w:val="center"/>
                                </w:tcPr>
                                <w:p w14:paraId="0D9EC2CA"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由官民合作的公正轉型委員會及內閣公正轉型</w:t>
                                  </w:r>
                                  <w:r>
                                    <w:rPr>
                                      <w:rFonts w:ascii="標楷體" w:eastAsia="標楷體" w:hAnsi="標楷體" w:hint="eastAsia"/>
                                      <w:snapToGrid w:val="0"/>
                                      <w:kern w:val="0"/>
                                      <w:sz w:val="20"/>
                                      <w:szCs w:val="20"/>
                                    </w:rPr>
                                    <w:t>、</w:t>
                                  </w:r>
                                  <w:r>
                                    <w:rPr>
                                      <w:rFonts w:ascii="標楷體" w:eastAsia="標楷體" w:hAnsi="標楷體"/>
                                      <w:snapToGrid w:val="0"/>
                                      <w:kern w:val="0"/>
                                      <w:sz w:val="20"/>
                                      <w:szCs w:val="20"/>
                                    </w:rPr>
                                    <w:t>就業與公平工作次官</w:t>
                                  </w:r>
                                  <w:r w:rsidRPr="002F5C42">
                                    <w:rPr>
                                      <w:rFonts w:ascii="標楷體" w:eastAsia="標楷體" w:hAnsi="標楷體" w:hint="eastAsia"/>
                                      <w:snapToGrid w:val="0"/>
                                      <w:kern w:val="0"/>
                                      <w:sz w:val="20"/>
                                      <w:szCs w:val="20"/>
                                    </w:rPr>
                                    <w:t>合作推動。</w:t>
                                  </w:r>
                                </w:p>
                              </w:tc>
                            </w:tr>
                            <w:tr w:rsidR="00A0212B" w:rsidRPr="00D04A13" w14:paraId="7B81F590" w14:textId="77777777" w:rsidTr="00E31547">
                              <w:trPr>
                                <w:jc w:val="center"/>
                              </w:trPr>
                              <w:tc>
                                <w:tcPr>
                                  <w:tcW w:w="2069" w:type="dxa"/>
                                  <w:vAlign w:val="center"/>
                                </w:tcPr>
                                <w:p w14:paraId="7DD0C6BB" w14:textId="77777777" w:rsidR="00A0212B"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歐盟公正轉型基金</w:t>
                                  </w:r>
                                </w:p>
                                <w:p w14:paraId="4D64EFCA"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（JTF）</w:t>
                                  </w:r>
                                </w:p>
                              </w:tc>
                              <w:tc>
                                <w:tcPr>
                                  <w:tcW w:w="4394" w:type="dxa"/>
                                  <w:vAlign w:val="center"/>
                                </w:tcPr>
                                <w:p w14:paraId="344FFBF7"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提供必要資金，補助歐盟國家綠色轉型過程中的脆弱族群（如協助失業者轉業、地區發展補償措施等）及勞工的技能再培訓與包容性。</w:t>
                                  </w:r>
                                </w:p>
                              </w:tc>
                            </w:tr>
                          </w:tbl>
                          <w:p w14:paraId="43B6966A" w14:textId="77777777" w:rsidR="00A0212B" w:rsidRPr="00BF6CDD" w:rsidRDefault="00A0212B" w:rsidP="00B06CA2">
                            <w:pPr>
                              <w:spacing w:line="300" w:lineRule="exact"/>
                              <w:rPr>
                                <w:rFonts w:ascii="標楷體" w:eastAsia="標楷體" w:hAnsi="標楷體"/>
                                <w:b/>
                                <w:sz w:val="18"/>
                                <w:szCs w:val="18"/>
                              </w:rPr>
                            </w:pPr>
                            <w:r w:rsidRPr="00BF6CDD">
                              <w:rPr>
                                <w:rFonts w:ascii="標楷體" w:eastAsia="標楷體" w:hAnsi="標楷體" w:hint="eastAsia"/>
                                <w:sz w:val="18"/>
                                <w:szCs w:val="18"/>
                              </w:rPr>
                              <w:t>資料來源：整理自上揭組織/部門之網站資料。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5E3C13" id="_x0000_s1031" type="#_x0000_t202" style="position:absolute;left:0;text-align:left;margin-left:163.7pt;margin-top:226.8pt;width:331.95pt;height:110.6pt;z-index:-2516551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" stroked="f">
                <v:textbox style="mso-fit-shape-to-text:t">
                  <w:txbxContent>
                    <w:p w14:paraId="3D03A378" w14:textId="77777777" w:rsidR="00A0212B" w:rsidRPr="00BF6CDD" w:rsidRDefault="00A0212B" w:rsidP="00B06CA2">
                      <w:pPr>
                        <w:spacing w:line="400" w:lineRule="exact"/>
                        <w:jc w:val="center"/>
                        <w:rPr>
                          <w:rFonts w:ascii="標楷體" w:eastAsia="標楷體" w:hAnsi="標楷體"/>
                          <w:b/>
                          <w:szCs w:val="24"/>
                        </w:rPr>
                      </w:pPr>
                      <w:r w:rsidRPr="00BF6CDD">
                        <w:rPr>
                          <w:rFonts w:ascii="標楷體" w:eastAsia="標楷體" w:hAnsi="標楷體" w:hint="eastAsia"/>
                          <w:b/>
                          <w:szCs w:val="24"/>
                        </w:rPr>
                        <w:t>表</w:t>
                      </w:r>
                      <w:r>
                        <w:rPr>
                          <w:rFonts w:ascii="標楷體" w:eastAsia="標楷體" w:hAnsi="標楷體"/>
                          <w:b/>
                          <w:szCs w:val="24"/>
                        </w:rPr>
                        <w:t>5</w:t>
                      </w:r>
                      <w:r>
                        <w:rPr>
                          <w:rFonts w:ascii="標楷體" w:eastAsia="標楷體" w:hAnsi="標楷體" w:hint="eastAsia"/>
                          <w:b/>
                          <w:szCs w:val="24"/>
                        </w:rPr>
                        <w:t xml:space="preserve">　</w:t>
                      </w:r>
                      <w:r w:rsidRPr="00BF6CDD">
                        <w:rPr>
                          <w:rFonts w:ascii="標楷體" w:eastAsia="標楷體" w:hAnsi="標楷體" w:hint="eastAsia"/>
                          <w:b/>
                          <w:szCs w:val="24"/>
                        </w:rPr>
                        <w:t>國</w:t>
                      </w:r>
                      <w:r>
                        <w:rPr>
                          <w:rFonts w:ascii="標楷體" w:eastAsia="標楷體" w:hAnsi="標楷體" w:hint="eastAsia"/>
                          <w:b/>
                          <w:szCs w:val="24"/>
                        </w:rPr>
                        <w:t>際間</w:t>
                      </w:r>
                      <w:r w:rsidRPr="00BF6CDD">
                        <w:rPr>
                          <w:rFonts w:ascii="標楷體" w:eastAsia="標楷體" w:hAnsi="標楷體" w:hint="eastAsia"/>
                          <w:b/>
                          <w:szCs w:val="24"/>
                        </w:rPr>
                        <w:t>「公正轉型」</w:t>
                      </w:r>
                      <w:r>
                        <w:rPr>
                          <w:rFonts w:ascii="標楷體" w:eastAsia="標楷體" w:hAnsi="標楷體" w:hint="eastAsia"/>
                          <w:b/>
                          <w:szCs w:val="24"/>
                        </w:rPr>
                        <w:t>機制</w:t>
                      </w:r>
                      <w:r w:rsidRPr="00BF6CDD">
                        <w:rPr>
                          <w:rFonts w:ascii="標楷體" w:eastAsia="標楷體" w:hAnsi="標楷體" w:hint="eastAsia"/>
                          <w:b/>
                          <w:szCs w:val="24"/>
                        </w:rPr>
                        <w:t>相關作法</w:t>
                      </w:r>
                    </w:p>
                    <w:tbl>
                      <w:tblPr>
                        <w:tblStyle w:val="38"/>
                        <w:tblW w:w="6463" w:type="dxa"/>
                        <w:jc w:val="center"/>
                        <w:tblLook w:val="04A0" w:firstRow="1" w:lastRow="0" w:firstColumn="1" w:lastColumn="0" w:noHBand="0" w:noVBand="1"/>
                      </w:tblPr>
                      <w:tblGrid>
                        <w:gridCol w:w="2069"/>
                        <w:gridCol w:w="4394"/>
                      </w:tblGrid>
                      <w:tr w:rsidR="00A0212B" w:rsidRPr="00D04A13" w14:paraId="5619375F" w14:textId="77777777" w:rsidTr="00E31547">
                        <w:trPr>
                          <w:tblHeader/>
                          <w:jc w:val="center"/>
                        </w:trPr>
                        <w:tc>
                          <w:tcPr>
                            <w:tcW w:w="2069" w:type="dxa"/>
                            <w:vAlign w:val="center"/>
                          </w:tcPr>
                          <w:p w14:paraId="4FA311AD"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組織/部門/政策</w:t>
                            </w:r>
                          </w:p>
                        </w:tc>
                        <w:tc>
                          <w:tcPr>
                            <w:tcW w:w="4394" w:type="dxa"/>
                            <w:vAlign w:val="center"/>
                          </w:tcPr>
                          <w:p w14:paraId="3DEA06F2" w14:textId="77777777" w:rsidR="00A0212B" w:rsidRPr="00BF6CDD" w:rsidRDefault="00A0212B" w:rsidP="00037584">
                            <w:pPr>
                              <w:spacing w:line="300" w:lineRule="exact"/>
                              <w:jc w:val="center"/>
                              <w:rPr>
                                <w:rFonts w:ascii="標楷體" w:eastAsia="標楷體" w:hAnsi="標楷體"/>
                                <w:sz w:val="20"/>
                                <w:szCs w:val="20"/>
                              </w:rPr>
                            </w:pPr>
                            <w:r w:rsidRPr="00BF6CDD">
                              <w:rPr>
                                <w:rFonts w:ascii="標楷體" w:eastAsia="標楷體" w:hAnsi="標楷體" w:hint="eastAsia"/>
                                <w:sz w:val="20"/>
                                <w:szCs w:val="20"/>
                              </w:rPr>
                              <w:t>具體論述/作法</w:t>
                            </w:r>
                          </w:p>
                        </w:tc>
                      </w:tr>
                      <w:tr w:rsidR="00A0212B" w:rsidRPr="00D04A13" w14:paraId="42D84738" w14:textId="77777777" w:rsidTr="00E31547">
                        <w:trPr>
                          <w:jc w:val="center"/>
                        </w:trPr>
                        <w:tc>
                          <w:tcPr>
                            <w:tcW w:w="2069" w:type="dxa"/>
                            <w:vAlign w:val="center"/>
                          </w:tcPr>
                          <w:p w14:paraId="206E1FF7"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美國白宮環境正義跨機關委員會</w:t>
                            </w:r>
                          </w:p>
                        </w:tc>
                        <w:tc>
                          <w:tcPr>
                            <w:tcW w:w="4394" w:type="dxa"/>
                            <w:vAlign w:val="center"/>
                          </w:tcPr>
                          <w:p w14:paraId="3BCD0226"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發布「正義40倡議」，訂定弱勢群體辨識指引及發展辨識工具。</w:t>
                            </w:r>
                          </w:p>
                        </w:tc>
                      </w:tr>
                      <w:tr w:rsidR="00A0212B" w:rsidRPr="00D04A13" w14:paraId="0311143C" w14:textId="77777777" w:rsidTr="00E31547">
                        <w:trPr>
                          <w:jc w:val="center"/>
                        </w:trPr>
                        <w:tc>
                          <w:tcPr>
                            <w:tcW w:w="2069" w:type="dxa"/>
                            <w:vAlign w:val="center"/>
                          </w:tcPr>
                          <w:p w14:paraId="7E30F9E5"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美國環境部</w:t>
                            </w:r>
                          </w:p>
                        </w:tc>
                        <w:tc>
                          <w:tcPr>
                            <w:tcW w:w="4394" w:type="dxa"/>
                            <w:vAlign w:val="center"/>
                          </w:tcPr>
                          <w:p w14:paraId="37EFBC21"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設有環境正義及境外公民權利辦公室(OEJECR)，當聯邦政府推動之政策等對其健康和環境層面有所影響時，能被公正對待和有意義的參與。</w:t>
                            </w:r>
                          </w:p>
                        </w:tc>
                      </w:tr>
                      <w:tr w:rsidR="00A0212B" w:rsidRPr="00D04A13" w14:paraId="358D6003" w14:textId="77777777" w:rsidTr="00E31547">
                        <w:trPr>
                          <w:jc w:val="center"/>
                        </w:trPr>
                        <w:tc>
                          <w:tcPr>
                            <w:tcW w:w="2069" w:type="dxa"/>
                            <w:vAlign w:val="center"/>
                          </w:tcPr>
                          <w:p w14:paraId="4141F7E5"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芬蘭氣候政策</w:t>
                            </w:r>
                          </w:p>
                        </w:tc>
                        <w:tc>
                          <w:tcPr>
                            <w:tcW w:w="4394" w:type="dxa"/>
                            <w:vAlign w:val="center"/>
                          </w:tcPr>
                          <w:p w14:paraId="1ACFEB94" w14:textId="77777777" w:rsidR="00A0212B" w:rsidRPr="002F5C42" w:rsidRDefault="00A0212B" w:rsidP="00037584">
                            <w:pPr>
                              <w:spacing w:line="240" w:lineRule="exact"/>
                              <w:jc w:val="both"/>
                              <w:rPr>
                                <w:rFonts w:ascii="標楷體" w:eastAsia="標楷體" w:hAnsi="標楷體"/>
                                <w:snapToGrid w:val="0"/>
                                <w:color w:val="FF0000"/>
                                <w:kern w:val="0"/>
                                <w:sz w:val="20"/>
                                <w:szCs w:val="20"/>
                              </w:rPr>
                            </w:pPr>
                            <w:r w:rsidRPr="002F5C42">
                              <w:rPr>
                                <w:rFonts w:ascii="標楷體" w:eastAsia="標楷體" w:hAnsi="標楷體" w:hint="eastAsia"/>
                                <w:snapToGrid w:val="0"/>
                                <w:kern w:val="0"/>
                                <w:sz w:val="20"/>
                                <w:szCs w:val="20"/>
                              </w:rPr>
                              <w:t>在氣候政策的制定和決策過程中，強調公正轉型，聚焦其對公正和平等面向所造成之影響、廣泛的參與，以及對造成的損害進行補償等。</w:t>
                            </w:r>
                          </w:p>
                        </w:tc>
                      </w:tr>
                      <w:tr w:rsidR="00A0212B" w:rsidRPr="00D04A13" w14:paraId="1EA367C6" w14:textId="77777777" w:rsidTr="00E31547">
                        <w:trPr>
                          <w:jc w:val="center"/>
                        </w:trPr>
                        <w:tc>
                          <w:tcPr>
                            <w:tcW w:w="2069" w:type="dxa"/>
                            <w:vAlign w:val="center"/>
                          </w:tcPr>
                          <w:p w14:paraId="0BA9255D" w14:textId="77777777" w:rsidR="00A0212B" w:rsidRDefault="00A0212B" w:rsidP="00037584">
                            <w:pPr>
                              <w:spacing w:line="240" w:lineRule="exact"/>
                              <w:jc w:val="both"/>
                              <w:rPr>
                                <w:rFonts w:ascii="標楷體" w:eastAsia="標楷體" w:hAnsi="標楷體"/>
                                <w:snapToGrid w:val="0"/>
                                <w:spacing w:val="-8"/>
                                <w:kern w:val="0"/>
                                <w:sz w:val="20"/>
                                <w:szCs w:val="20"/>
                              </w:rPr>
                            </w:pPr>
                            <w:r w:rsidRPr="002F5C42">
                              <w:rPr>
                                <w:rFonts w:ascii="標楷體" w:eastAsia="標楷體" w:hAnsi="標楷體" w:hint="eastAsia"/>
                                <w:snapToGrid w:val="0"/>
                                <w:spacing w:val="-8"/>
                                <w:kern w:val="0"/>
                                <w:sz w:val="20"/>
                                <w:szCs w:val="20"/>
                              </w:rPr>
                              <w:t>蘇格蘭公正轉型委員會</w:t>
                            </w:r>
                          </w:p>
                          <w:p w14:paraId="730B2531" w14:textId="77777777" w:rsidR="00A0212B" w:rsidRPr="002F5C42" w:rsidRDefault="00A0212B" w:rsidP="00037584">
                            <w:pPr>
                              <w:spacing w:line="240" w:lineRule="exact"/>
                              <w:jc w:val="both"/>
                              <w:rPr>
                                <w:rFonts w:ascii="標楷體" w:eastAsia="標楷體" w:hAnsi="標楷體"/>
                                <w:snapToGrid w:val="0"/>
                                <w:spacing w:val="-8"/>
                                <w:kern w:val="0"/>
                                <w:sz w:val="20"/>
                                <w:szCs w:val="20"/>
                              </w:rPr>
                            </w:pPr>
                            <w:r w:rsidRPr="002F5C42">
                              <w:rPr>
                                <w:rFonts w:ascii="標楷體" w:eastAsia="標楷體" w:hAnsi="標楷體" w:hint="eastAsia"/>
                                <w:snapToGrid w:val="0"/>
                                <w:spacing w:val="-8"/>
                                <w:kern w:val="0"/>
                                <w:sz w:val="20"/>
                                <w:szCs w:val="20"/>
                              </w:rPr>
                              <w:t>（JT</w:t>
                            </w:r>
                            <w:r w:rsidRPr="002F5C42">
                              <w:rPr>
                                <w:rFonts w:ascii="標楷體" w:eastAsia="標楷體" w:hAnsi="標楷體"/>
                                <w:snapToGrid w:val="0"/>
                                <w:spacing w:val="-8"/>
                                <w:kern w:val="0"/>
                                <w:sz w:val="20"/>
                                <w:szCs w:val="20"/>
                              </w:rPr>
                              <w:t>C</w:t>
                            </w:r>
                            <w:r w:rsidRPr="002F5C42">
                              <w:rPr>
                                <w:rFonts w:ascii="標楷體" w:eastAsia="標楷體" w:hAnsi="標楷體" w:hint="eastAsia"/>
                                <w:snapToGrid w:val="0"/>
                                <w:spacing w:val="-8"/>
                                <w:kern w:val="0"/>
                                <w:sz w:val="20"/>
                                <w:szCs w:val="20"/>
                              </w:rPr>
                              <w:t>）</w:t>
                            </w:r>
                          </w:p>
                        </w:tc>
                        <w:tc>
                          <w:tcPr>
                            <w:tcW w:w="4394" w:type="dxa"/>
                            <w:vAlign w:val="center"/>
                          </w:tcPr>
                          <w:p w14:paraId="0D9EC2CA"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由官民合作的公正轉型委員會及內閣公正轉型</w:t>
                            </w:r>
                            <w:r>
                              <w:rPr>
                                <w:rFonts w:ascii="標楷體" w:eastAsia="標楷體" w:hAnsi="標楷體" w:hint="eastAsia"/>
                                <w:snapToGrid w:val="0"/>
                                <w:kern w:val="0"/>
                                <w:sz w:val="20"/>
                                <w:szCs w:val="20"/>
                              </w:rPr>
                              <w:t>、</w:t>
                            </w:r>
                            <w:r>
                              <w:rPr>
                                <w:rFonts w:ascii="標楷體" w:eastAsia="標楷體" w:hAnsi="標楷體"/>
                                <w:snapToGrid w:val="0"/>
                                <w:kern w:val="0"/>
                                <w:sz w:val="20"/>
                                <w:szCs w:val="20"/>
                              </w:rPr>
                              <w:t>就業與公平工作次官</w:t>
                            </w:r>
                            <w:r w:rsidRPr="002F5C42">
                              <w:rPr>
                                <w:rFonts w:ascii="標楷體" w:eastAsia="標楷體" w:hAnsi="標楷體" w:hint="eastAsia"/>
                                <w:snapToGrid w:val="0"/>
                                <w:kern w:val="0"/>
                                <w:sz w:val="20"/>
                                <w:szCs w:val="20"/>
                              </w:rPr>
                              <w:t>合作推動。</w:t>
                            </w:r>
                          </w:p>
                        </w:tc>
                      </w:tr>
                      <w:tr w:rsidR="00A0212B" w:rsidRPr="00D04A13" w14:paraId="7B81F590" w14:textId="77777777" w:rsidTr="00E31547">
                        <w:trPr>
                          <w:jc w:val="center"/>
                        </w:trPr>
                        <w:tc>
                          <w:tcPr>
                            <w:tcW w:w="2069" w:type="dxa"/>
                            <w:vAlign w:val="center"/>
                          </w:tcPr>
                          <w:p w14:paraId="7DD0C6BB" w14:textId="77777777" w:rsidR="00A0212B"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歐盟公正轉型基金</w:t>
                            </w:r>
                          </w:p>
                          <w:p w14:paraId="4D64EFCA"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（JTF）</w:t>
                            </w:r>
                          </w:p>
                        </w:tc>
                        <w:tc>
                          <w:tcPr>
                            <w:tcW w:w="4394" w:type="dxa"/>
                            <w:vAlign w:val="center"/>
                          </w:tcPr>
                          <w:p w14:paraId="344FFBF7" w14:textId="77777777" w:rsidR="00A0212B" w:rsidRPr="002F5C42" w:rsidRDefault="00A0212B" w:rsidP="00037584">
                            <w:pPr>
                              <w:spacing w:line="240" w:lineRule="exact"/>
                              <w:jc w:val="both"/>
                              <w:rPr>
                                <w:rFonts w:ascii="標楷體" w:eastAsia="標楷體" w:hAnsi="標楷體"/>
                                <w:snapToGrid w:val="0"/>
                                <w:kern w:val="0"/>
                                <w:sz w:val="20"/>
                                <w:szCs w:val="20"/>
                              </w:rPr>
                            </w:pPr>
                            <w:r w:rsidRPr="002F5C42">
                              <w:rPr>
                                <w:rFonts w:ascii="標楷體" w:eastAsia="標楷體" w:hAnsi="標楷體" w:hint="eastAsia"/>
                                <w:snapToGrid w:val="0"/>
                                <w:kern w:val="0"/>
                                <w:sz w:val="20"/>
                                <w:szCs w:val="20"/>
                              </w:rPr>
                              <w:t>提供必要資金，補助歐盟國家綠色轉型過程中的脆弱族群（如協助失業者轉業、地區發展補償措施等）及勞工的技能再培訓與包容性。</w:t>
                            </w:r>
                          </w:p>
                        </w:tc>
                      </w:tr>
                    </w:tbl>
                    <w:p w14:paraId="43B6966A" w14:textId="77777777" w:rsidR="00A0212B" w:rsidRPr="00BF6CDD" w:rsidRDefault="00A0212B" w:rsidP="00B06CA2">
                      <w:pPr>
                        <w:spacing w:line="300" w:lineRule="exact"/>
                        <w:rPr>
                          <w:rFonts w:ascii="標楷體" w:eastAsia="標楷體" w:hAnsi="標楷體"/>
                          <w:b/>
                          <w:sz w:val="18"/>
                          <w:szCs w:val="18"/>
                        </w:rPr>
                      </w:pPr>
                      <w:r w:rsidRPr="00BF6CDD">
                        <w:rPr>
                          <w:rFonts w:ascii="標楷體" w:eastAsia="標楷體" w:hAnsi="標楷體" w:hint="eastAsia"/>
                          <w:sz w:val="18"/>
                          <w:szCs w:val="18"/>
                        </w:rPr>
                        <w:t>資料來源：整理自上揭組織/部門之網站資料。</w:t>
                      </w:r>
                    </w:p>
                  </w:txbxContent>
                </v:textbox>
                <w10:wrap type="tight" anchorx="margin" anchory="page"/>
              </v:shape>
            </w:pict>
          </mc:Fallback>
        </mc:AlternateContent>
      </w:r>
      <w:r w:rsidRPr="0031215D">
        <w:rPr>
          <w:rFonts w:ascii="標楷體" w:eastAsia="標楷體" w:hAnsi="標楷體"/>
          <w:snapToGrid w:val="0"/>
          <w:kern w:val="0"/>
          <w:szCs w:val="32"/>
        </w:rPr>
        <w:t>會分配造成影響，</w:t>
      </w:r>
      <w:r w:rsidRPr="0031215D">
        <w:rPr>
          <w:rFonts w:ascii="標楷體" w:eastAsia="標楷體" w:hAnsi="標楷體" w:hint="eastAsia"/>
          <w:snapToGrid w:val="0"/>
          <w:kern w:val="0"/>
          <w:szCs w:val="32"/>
        </w:rPr>
        <w:t>爰</w:t>
      </w:r>
      <w:r w:rsidRPr="0031215D">
        <w:rPr>
          <w:rFonts w:ascii="標楷體" w:eastAsia="標楷體" w:hAnsi="標楷體"/>
          <w:snapToGrid w:val="0"/>
          <w:kern w:val="0"/>
          <w:szCs w:val="32"/>
        </w:rPr>
        <w:t>必須打造具公正性與包容性的轉型機制，支持受轉型負面影響的對象，避免相對剝奪感受</w:t>
      </w:r>
      <w:r w:rsidRPr="0031215D">
        <w:rPr>
          <w:rFonts w:ascii="標楷體" w:eastAsia="標楷體" w:hAnsi="標楷體" w:hint="eastAsia"/>
          <w:snapToGrid w:val="0"/>
          <w:kern w:val="0"/>
          <w:szCs w:val="32"/>
        </w:rPr>
        <w:t>，</w:t>
      </w:r>
      <w:r w:rsidRPr="0031215D">
        <w:rPr>
          <w:rFonts w:ascii="標楷體" w:eastAsia="標楷體" w:hAnsi="標楷體"/>
          <w:snapToGrid w:val="0"/>
          <w:kern w:val="0"/>
          <w:szCs w:val="32"/>
        </w:rPr>
        <w:t>導致積極或消極阻礙轉型推動。</w:t>
      </w:r>
      <w:r w:rsidRPr="0031215D">
        <w:rPr>
          <w:rFonts w:ascii="標楷體" w:eastAsia="標楷體" w:hAnsi="標楷體" w:hint="eastAsia"/>
          <w:snapToGrid w:val="0"/>
          <w:kern w:val="0"/>
          <w:szCs w:val="32"/>
        </w:rPr>
        <w:t>按政府推動2050淨零轉型已將公正轉型列為12項關鍵戰略之一，其目的即在確保淨零轉型推動過程能落實「盡力不遺落任何人」之核心價值。又國家發展委員會依照上揭淨零公正轉型關鍵戰略，已於112年6月間成立「公正轉型委員會」，並於同年6月16日召開第1次會議，該委員會由國家發展委員會主任委員擔任召集人，政府機關與民間代表各半共同組成，共同就我國淨零公正轉型關鍵戰略及相關計畫措施提供建言，確保公正轉型政策規劃過程符合公平、公正與透明公開原則。</w:t>
      </w:r>
      <w:r w:rsidRPr="00E31547">
        <w:rPr>
          <w:rFonts w:ascii="標楷體" w:eastAsia="標楷體" w:hAnsi="標楷體" w:hint="eastAsia"/>
          <w:snapToGrid w:val="0"/>
          <w:kern w:val="0"/>
          <w:szCs w:val="32"/>
        </w:rPr>
        <w:t>嗣後政府推動各項政策</w:t>
      </w:r>
      <w:r w:rsidR="00B06CA2">
        <w:rPr>
          <w:rFonts w:ascii="標楷體" w:eastAsia="標楷體" w:hAnsi="標楷體" w:hint="eastAsia"/>
          <w:snapToGrid w:val="0"/>
          <w:kern w:val="0"/>
          <w:szCs w:val="32"/>
        </w:rPr>
        <w:t>，</w:t>
      </w:r>
      <w:r w:rsidRPr="00E31547">
        <w:rPr>
          <w:rFonts w:ascii="標楷體" w:eastAsia="標楷體" w:hAnsi="標楷體" w:hint="eastAsia"/>
          <w:snapToGrid w:val="0"/>
          <w:kern w:val="0"/>
          <w:szCs w:val="32"/>
        </w:rPr>
        <w:t>允宜參考上述概念，若</w:t>
      </w:r>
      <w:r w:rsidRPr="00B06CA2">
        <w:rPr>
          <w:rFonts w:ascii="標楷體" w:eastAsia="標楷體" w:hAnsi="標楷體" w:hint="eastAsia"/>
          <w:snapToGrid w:val="0"/>
          <w:kern w:val="0"/>
          <w:szCs w:val="32"/>
        </w:rPr>
        <w:t>評估其執行將對特定族</w:t>
      </w:r>
      <w:r w:rsidRPr="00B06CA2">
        <w:rPr>
          <w:rFonts w:ascii="標楷體" w:eastAsia="標楷體" w:hAnsi="標楷體" w:hint="eastAsia"/>
          <w:snapToGrid w:val="0"/>
          <w:kern w:val="0"/>
          <w:szCs w:val="32"/>
        </w:rPr>
        <w:lastRenderedPageBreak/>
        <w:t>群造成影響或衝擊時，宜參照「</w:t>
      </w:r>
      <w:r w:rsidRPr="00B06CA2">
        <w:rPr>
          <w:rFonts w:ascii="標楷體" w:eastAsia="標楷體" w:hAnsi="標楷體"/>
          <w:snapToGrid w:val="0"/>
          <w:kern w:val="0"/>
          <w:szCs w:val="32"/>
        </w:rPr>
        <w:t>2050淨零轉型」成立公正轉型委員會之</w:t>
      </w:r>
      <w:r w:rsidRPr="00E31547">
        <w:rPr>
          <w:rFonts w:ascii="標楷體" w:eastAsia="標楷體" w:hAnsi="標楷體" w:hint="eastAsia"/>
          <w:snapToGrid w:val="0"/>
          <w:kern w:val="0"/>
          <w:szCs w:val="32"/>
        </w:rPr>
        <w:t>作法，落實公正轉型，並適時研議提出公正轉型之具體因應對策，以利政策推動及保障受影響對象權益等情事。</w:t>
      </w:r>
    </w:p>
    <w:p w14:paraId="3E149F43" w14:textId="568F1DF2" w:rsidR="00CE759A" w:rsidRPr="005B596A" w:rsidRDefault="00CE759A" w:rsidP="00E31547">
      <w:pPr>
        <w:overflowPunct w:val="0"/>
        <w:spacing w:line="410" w:lineRule="exact"/>
        <w:ind w:firstLineChars="200" w:firstLine="561"/>
        <w:jc w:val="both"/>
        <w:outlineLvl w:val="1"/>
        <w:rPr>
          <w:rFonts w:ascii="標楷體" w:eastAsia="標楷體" w:hAnsi="標楷體"/>
          <w:b/>
          <w:color w:val="000000" w:themeColor="text1"/>
          <w:sz w:val="28"/>
          <w:szCs w:val="28"/>
        </w:rPr>
      </w:pPr>
      <w:r w:rsidRPr="005B596A">
        <w:rPr>
          <w:rFonts w:ascii="標楷體" w:eastAsia="標楷體" w:hAnsi="標楷體" w:hint="eastAsia"/>
          <w:b/>
          <w:color w:val="000000" w:themeColor="text1"/>
          <w:sz w:val="28"/>
          <w:szCs w:val="28"/>
        </w:rPr>
        <w:t>（</w:t>
      </w:r>
      <w:r w:rsidR="00E87AEE">
        <w:rPr>
          <w:rFonts w:ascii="標楷體" w:eastAsia="標楷體" w:hAnsi="標楷體" w:hint="eastAsia"/>
          <w:b/>
          <w:color w:val="000000" w:themeColor="text1"/>
          <w:sz w:val="28"/>
          <w:szCs w:val="28"/>
        </w:rPr>
        <w:t>三</w:t>
      </w:r>
      <w:r w:rsidRPr="005B596A">
        <w:rPr>
          <w:rFonts w:ascii="標楷體" w:eastAsia="標楷體" w:hAnsi="標楷體" w:hint="eastAsia"/>
          <w:b/>
          <w:color w:val="000000" w:themeColor="text1"/>
          <w:sz w:val="28"/>
          <w:szCs w:val="28"/>
        </w:rPr>
        <w:t xml:space="preserve">）　</w:t>
      </w:r>
      <w:r w:rsidRPr="005B596A">
        <w:rPr>
          <w:rFonts w:ascii="標楷體" w:eastAsia="標楷體" w:hAnsi="標楷體"/>
          <w:b/>
          <w:color w:val="000000" w:themeColor="text1"/>
          <w:sz w:val="28"/>
          <w:szCs w:val="28"/>
        </w:rPr>
        <w:t>政府移轉收支已</w:t>
      </w:r>
      <w:r w:rsidRPr="005B596A">
        <w:rPr>
          <w:rFonts w:ascii="標楷體" w:eastAsia="標楷體" w:hAnsi="標楷體" w:hint="eastAsia"/>
          <w:b/>
          <w:color w:val="000000" w:themeColor="text1"/>
          <w:sz w:val="28"/>
          <w:szCs w:val="28"/>
        </w:rPr>
        <w:t>縮減</w:t>
      </w:r>
      <w:r w:rsidRPr="005B596A">
        <w:rPr>
          <w:rFonts w:ascii="標楷體" w:eastAsia="標楷體" w:hAnsi="標楷體"/>
          <w:b/>
          <w:color w:val="000000" w:themeColor="text1"/>
          <w:sz w:val="28"/>
          <w:szCs w:val="28"/>
        </w:rPr>
        <w:t>所得</w:t>
      </w:r>
      <w:r w:rsidRPr="005B596A">
        <w:rPr>
          <w:rFonts w:ascii="標楷體" w:eastAsia="標楷體" w:hAnsi="標楷體" w:hint="eastAsia"/>
          <w:b/>
          <w:color w:val="000000" w:themeColor="text1"/>
          <w:sz w:val="28"/>
          <w:szCs w:val="28"/>
        </w:rPr>
        <w:t>差距</w:t>
      </w:r>
      <w:r w:rsidRPr="005B596A">
        <w:rPr>
          <w:rFonts w:ascii="標楷體" w:eastAsia="標楷體" w:hAnsi="標楷體"/>
          <w:b/>
          <w:color w:val="000000" w:themeColor="text1"/>
          <w:sz w:val="28"/>
          <w:szCs w:val="28"/>
        </w:rPr>
        <w:t>，惟</w:t>
      </w:r>
      <w:r w:rsidRPr="005B596A">
        <w:rPr>
          <w:rFonts w:ascii="標楷體" w:eastAsia="標楷體" w:hAnsi="標楷體" w:hint="eastAsia"/>
          <w:b/>
          <w:color w:val="000000" w:themeColor="text1"/>
          <w:sz w:val="28"/>
          <w:szCs w:val="28"/>
        </w:rPr>
        <w:t>長期以來，政府為達成特定政策目標，實施各項租稅減免措施，致我國租稅負擔率持續偏低，且</w:t>
      </w:r>
      <w:r w:rsidRPr="005B596A">
        <w:rPr>
          <w:rFonts w:ascii="標楷體" w:eastAsia="標楷體" w:hAnsi="標楷體"/>
          <w:b/>
          <w:color w:val="000000" w:themeColor="text1"/>
          <w:sz w:val="28"/>
          <w:szCs w:val="28"/>
        </w:rPr>
        <w:t>薪資所得占綜合所得稅比重</w:t>
      </w:r>
      <w:r w:rsidRPr="005B596A">
        <w:rPr>
          <w:rFonts w:ascii="標楷體" w:eastAsia="標楷體" w:hAnsi="標楷體" w:hint="eastAsia"/>
          <w:b/>
          <w:color w:val="000000" w:themeColor="text1"/>
          <w:sz w:val="28"/>
          <w:szCs w:val="28"/>
        </w:rPr>
        <w:t>偏</w:t>
      </w:r>
      <w:r w:rsidRPr="005B596A">
        <w:rPr>
          <w:rFonts w:ascii="標楷體" w:eastAsia="標楷體" w:hAnsi="標楷體"/>
          <w:b/>
          <w:color w:val="000000" w:themeColor="text1"/>
          <w:sz w:val="28"/>
          <w:szCs w:val="28"/>
        </w:rPr>
        <w:t>高</w:t>
      </w:r>
      <w:r w:rsidRPr="005B596A">
        <w:rPr>
          <w:rFonts w:ascii="標楷體" w:eastAsia="標楷體" w:hAnsi="標楷體" w:hint="eastAsia"/>
          <w:b/>
          <w:color w:val="000000" w:themeColor="text1"/>
          <w:sz w:val="28"/>
          <w:szCs w:val="28"/>
        </w:rPr>
        <w:t>，部分資本利得未列入課稅，租稅制度改善所得分配效果有限，允宜督促檢討各項稅式支出之必要性及合宜性，持續精進稅制，俾維租稅公平，並</w:t>
      </w:r>
      <w:r w:rsidRPr="005B596A">
        <w:rPr>
          <w:rFonts w:ascii="標楷體" w:eastAsia="標楷體" w:hAnsi="標楷體"/>
          <w:b/>
          <w:color w:val="000000" w:themeColor="text1"/>
          <w:sz w:val="28"/>
          <w:szCs w:val="28"/>
        </w:rPr>
        <w:t>逐步減緩</w:t>
      </w:r>
      <w:r w:rsidRPr="005B596A">
        <w:rPr>
          <w:rFonts w:ascii="標楷體" w:eastAsia="標楷體" w:hAnsi="標楷體" w:hint="eastAsia"/>
          <w:b/>
          <w:color w:val="000000" w:themeColor="text1"/>
          <w:sz w:val="28"/>
          <w:szCs w:val="28"/>
        </w:rPr>
        <w:t>所得分配不均</w:t>
      </w:r>
      <w:r w:rsidRPr="005B596A">
        <w:rPr>
          <w:rFonts w:ascii="標楷體" w:eastAsia="標楷體" w:hAnsi="標楷體"/>
          <w:b/>
          <w:color w:val="000000" w:themeColor="text1"/>
          <w:sz w:val="28"/>
          <w:szCs w:val="28"/>
        </w:rPr>
        <w:t>。</w:t>
      </w:r>
    </w:p>
    <w:p w14:paraId="382EA588" w14:textId="1A253E8C" w:rsidR="00CE759A" w:rsidRPr="006E388E" w:rsidRDefault="00F37B63" w:rsidP="00E31547">
      <w:pPr>
        <w:pStyle w:val="affb"/>
        <w:kinsoku/>
        <w:overflowPunct w:val="0"/>
        <w:adjustRightInd/>
        <w:snapToGrid w:val="0"/>
        <w:spacing w:line="400" w:lineRule="exact"/>
        <w:ind w:left="0" w:firstLineChars="200" w:firstLine="480"/>
        <w:jc w:val="both"/>
        <w:rPr>
          <w:rFonts w:hAnsi="標楷體"/>
          <w:color w:val="000000" w:themeColor="text1"/>
          <w:sz w:val="24"/>
          <w:szCs w:val="24"/>
          <w:shd w:val="pct15" w:color="auto" w:fill="FFFFFF"/>
        </w:rPr>
      </w:pPr>
      <w:r w:rsidRPr="00CE759A">
        <w:rPr>
          <w:rFonts w:ascii="Calibri" w:eastAsia="新細明體" w:hAnsi="標楷體"/>
          <w:noProof/>
          <w:color w:val="000000"/>
          <w:kern w:val="2"/>
          <w:sz w:val="24"/>
          <w:szCs w:val="32"/>
        </w:rPr>
        <mc:AlternateContent>
          <mc:Choice Requires="wps">
            <w:drawing>
              <wp:anchor distT="0" distB="0" distL="114300" distR="114300" simplePos="0" relativeHeight="251685888" behindDoc="0" locked="0" layoutInCell="1" allowOverlap="1" wp14:anchorId="5D960772" wp14:editId="372EE6B1">
                <wp:simplePos x="0" y="0"/>
                <wp:positionH relativeFrom="margin">
                  <wp:posOffset>101600</wp:posOffset>
                </wp:positionH>
                <wp:positionV relativeFrom="paragraph">
                  <wp:posOffset>4730115</wp:posOffset>
                </wp:positionV>
                <wp:extent cx="6187440" cy="2339340"/>
                <wp:effectExtent l="0" t="0" r="3810" b="3810"/>
                <wp:wrapTopAndBottom/>
                <wp:docPr id="101" name="文字方塊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7440" cy="2339340"/>
                        </a:xfrm>
                        <a:prstGeom prst="rect">
                          <a:avLst/>
                        </a:prstGeom>
                        <a:solidFill>
                          <a:srgbClr val="FFFFFF"/>
                        </a:solidFill>
                        <a:ln w="9525">
                          <a:noFill/>
                          <a:miter lim="800000"/>
                          <a:headEnd/>
                          <a:tailEnd/>
                        </a:ln>
                      </wps:spPr>
                      <wps:txbx>
                        <w:txbxContent>
                          <w:p w14:paraId="0B0EDE4A" w14:textId="2805467D" w:rsidR="00A0212B" w:rsidRPr="0071279E" w:rsidRDefault="00A0212B" w:rsidP="00F37B63">
                            <w:pPr>
                              <w:snapToGrid w:val="0"/>
                              <w:spacing w:line="28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4</w:t>
                            </w:r>
                            <w:r w:rsidRPr="005F4D64">
                              <w:rPr>
                                <w:rFonts w:ascii="標楷體" w:eastAsia="標楷體" w:hAnsi="標楷體" w:hint="eastAsia"/>
                                <w:b/>
                              </w:rPr>
                              <w:t xml:space="preserve">　</w:t>
                            </w:r>
                            <w:r>
                              <w:rPr>
                                <w:rFonts w:ascii="標楷體" w:eastAsia="標楷體" w:hAnsi="標楷體" w:hint="eastAsia"/>
                                <w:b/>
                              </w:rPr>
                              <w:t>薪資所得稅收及占比</w:t>
                            </w:r>
                          </w:p>
                          <w:p w14:paraId="54726B56" w14:textId="77777777" w:rsidR="00A0212B" w:rsidRDefault="00A0212B" w:rsidP="00F37B63">
                            <w:pPr>
                              <w:snapToGrid w:val="0"/>
                              <w:ind w:left="240" w:hangingChars="100" w:hanging="240"/>
                              <w:rPr>
                                <w:rFonts w:eastAsia="標楷體"/>
                                <w:sz w:val="18"/>
                                <w:szCs w:val="18"/>
                              </w:rPr>
                            </w:pPr>
                            <w:r>
                              <w:rPr>
                                <w:noProof/>
                              </w:rPr>
                              <w:drawing>
                                <wp:inline distT="0" distB="0" distL="0" distR="0" wp14:anchorId="64D8FA6F" wp14:editId="5EFACFB5">
                                  <wp:extent cx="5752465" cy="1897380"/>
                                  <wp:effectExtent l="0" t="0" r="635" b="7620"/>
                                  <wp:docPr id="105" name="圖表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48CB3C2" w14:textId="77777777" w:rsidR="00A0212B" w:rsidRPr="00BC3199" w:rsidRDefault="00A0212B" w:rsidP="00F37B63">
                            <w:pPr>
                              <w:snapToGrid w:val="0"/>
                              <w:ind w:left="180" w:hangingChars="100" w:hanging="180"/>
                              <w:rPr>
                                <w:rFonts w:eastAsia="標楷體"/>
                                <w:sz w:val="18"/>
                                <w:szCs w:val="18"/>
                              </w:rPr>
                            </w:pPr>
                            <w:r w:rsidRPr="00BC3199">
                              <w:rPr>
                                <w:rFonts w:eastAsia="標楷體" w:hint="eastAsia"/>
                                <w:sz w:val="18"/>
                                <w:szCs w:val="18"/>
                              </w:rPr>
                              <w:t>資料來源：整理自財政部統計處、綜合所得稅申報核定統計專冊資料。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960772" id="文字方塊 101" o:spid="_x0000_s1032" type="#_x0000_t202" style="position:absolute;left:0;text-align:left;margin-left:8pt;margin-top:372.45pt;width:487.2pt;height:184.2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" stroked="f">
                <v:textbox>
                  <w:txbxContent>
                    <w:p w14:paraId="0B0EDE4A" w14:textId="2805467D" w:rsidR="00A0212B" w:rsidRPr="0071279E" w:rsidRDefault="00A0212B" w:rsidP="00F37B63">
                      <w:pPr>
                        <w:snapToGrid w:val="0"/>
                        <w:spacing w:line="28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4</w:t>
                      </w:r>
                      <w:r w:rsidRPr="005F4D64">
                        <w:rPr>
                          <w:rFonts w:ascii="標楷體" w:eastAsia="標楷體" w:hAnsi="標楷體" w:hint="eastAsia"/>
                          <w:b/>
                        </w:rPr>
                        <w:t xml:space="preserve">　</w:t>
                      </w:r>
                      <w:r>
                        <w:rPr>
                          <w:rFonts w:ascii="標楷體" w:eastAsia="標楷體" w:hAnsi="標楷體" w:hint="eastAsia"/>
                          <w:b/>
                        </w:rPr>
                        <w:t>薪資所得稅收及占比</w:t>
                      </w:r>
                    </w:p>
                    <w:p w14:paraId="54726B56" w14:textId="77777777" w:rsidR="00A0212B" w:rsidRDefault="00A0212B" w:rsidP="00F37B63">
                      <w:pPr>
                        <w:snapToGrid w:val="0"/>
                        <w:ind w:left="240" w:hangingChars="100" w:hanging="240"/>
                        <w:rPr>
                          <w:rFonts w:eastAsia="標楷體"/>
                          <w:sz w:val="18"/>
                          <w:szCs w:val="18"/>
                        </w:rPr>
                      </w:pPr>
                      <w:r>
                        <w:rPr>
                          <w:noProof/>
                        </w:rPr>
                        <w:drawing>
                          <wp:inline distT="0" distB="0" distL="0" distR="0" wp14:anchorId="64D8FA6F" wp14:editId="5EFACFB5">
                            <wp:extent cx="5752465" cy="1897380"/>
                            <wp:effectExtent l="0" t="0" r="635" b="7620"/>
                            <wp:docPr id="105" name="圖表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48CB3C2" w14:textId="77777777" w:rsidR="00A0212B" w:rsidRPr="00BC3199" w:rsidRDefault="00A0212B" w:rsidP="00F37B63">
                      <w:pPr>
                        <w:snapToGrid w:val="0"/>
                        <w:ind w:left="180" w:hangingChars="100" w:hanging="180"/>
                        <w:rPr>
                          <w:rFonts w:eastAsia="標楷體"/>
                          <w:sz w:val="18"/>
                          <w:szCs w:val="18"/>
                        </w:rPr>
                      </w:pPr>
                      <w:r w:rsidRPr="00BC3199">
                        <w:rPr>
                          <w:rFonts w:eastAsia="標楷體" w:hint="eastAsia"/>
                          <w:sz w:val="18"/>
                          <w:szCs w:val="18"/>
                        </w:rPr>
                        <w:t>資料來源：整理自財政部統計處、綜合所得稅申報核定統計專冊資料。</w:t>
                      </w:r>
                    </w:p>
                  </w:txbxContent>
                </v:textbox>
                <w10:wrap type="topAndBottom" anchorx="margin"/>
              </v:shape>
            </w:pict>
          </mc:Fallback>
        </mc:AlternateContent>
      </w:r>
      <w:r w:rsidR="00CE759A" w:rsidRPr="005B596A">
        <w:rPr>
          <w:rFonts w:hAnsi="標楷體" w:hint="eastAsia"/>
          <w:color w:val="000000" w:themeColor="text1"/>
          <w:sz w:val="24"/>
          <w:szCs w:val="24"/>
        </w:rPr>
        <w:t>政府為改善所得分配狀況，對家戶進行收支移轉，包含對政府移轉支出（直接稅、規費等）及從政府移轉收入（社福補助等）。</w:t>
      </w:r>
      <w:r w:rsidR="00CE759A" w:rsidRPr="005B596A">
        <w:rPr>
          <w:rFonts w:hAnsi="標楷體"/>
          <w:color w:val="000000" w:themeColor="text1"/>
          <w:sz w:val="24"/>
          <w:szCs w:val="24"/>
        </w:rPr>
        <w:t>依</w:t>
      </w:r>
      <w:r w:rsidR="003D708B">
        <w:rPr>
          <w:rFonts w:hAnsi="標楷體" w:hint="eastAsia"/>
          <w:color w:val="000000" w:themeColor="text1"/>
          <w:sz w:val="24"/>
          <w:szCs w:val="24"/>
        </w:rPr>
        <w:t>行政院</w:t>
      </w:r>
      <w:r w:rsidR="00CE759A" w:rsidRPr="005B596A">
        <w:rPr>
          <w:rFonts w:hAnsi="標楷體"/>
          <w:color w:val="000000" w:themeColor="text1"/>
          <w:sz w:val="24"/>
          <w:szCs w:val="24"/>
        </w:rPr>
        <w:t>主計總處公布之11</w:t>
      </w:r>
      <w:r w:rsidR="00CE759A" w:rsidRPr="005B596A">
        <w:rPr>
          <w:rFonts w:hAnsi="標楷體" w:hint="eastAsia"/>
          <w:color w:val="000000" w:themeColor="text1"/>
          <w:sz w:val="24"/>
          <w:szCs w:val="24"/>
        </w:rPr>
        <w:t>1</w:t>
      </w:r>
      <w:r w:rsidR="00CE759A" w:rsidRPr="005B596A">
        <w:rPr>
          <w:rFonts w:hAnsi="標楷體"/>
          <w:color w:val="000000" w:themeColor="text1"/>
          <w:sz w:val="24"/>
          <w:szCs w:val="24"/>
        </w:rPr>
        <w:t>年家庭收支調查報告，政府移轉收支前</w:t>
      </w:r>
      <w:r w:rsidR="00CE759A" w:rsidRPr="005B596A">
        <w:rPr>
          <w:rFonts w:hAnsi="標楷體" w:hint="eastAsia"/>
          <w:color w:val="000000" w:themeColor="text1"/>
          <w:sz w:val="24"/>
          <w:szCs w:val="24"/>
        </w:rPr>
        <w:t>之五</w:t>
      </w:r>
      <w:r w:rsidR="00CE759A" w:rsidRPr="005B596A">
        <w:rPr>
          <w:rFonts w:hAnsi="標楷體"/>
          <w:color w:val="000000" w:themeColor="text1"/>
          <w:sz w:val="24"/>
          <w:szCs w:val="24"/>
        </w:rPr>
        <w:t>等分位</w:t>
      </w:r>
      <w:r w:rsidR="00CE759A" w:rsidRPr="005B596A">
        <w:rPr>
          <w:rFonts w:hAnsi="標楷體" w:hint="eastAsia"/>
          <w:color w:val="000000" w:themeColor="text1"/>
          <w:sz w:val="24"/>
          <w:szCs w:val="24"/>
        </w:rPr>
        <w:t>所得</w:t>
      </w:r>
      <w:r w:rsidR="00CE759A" w:rsidRPr="005B596A">
        <w:rPr>
          <w:rFonts w:hAnsi="標楷體"/>
          <w:color w:val="000000" w:themeColor="text1"/>
          <w:sz w:val="24"/>
          <w:szCs w:val="24"/>
        </w:rPr>
        <w:t>差距倍數7.</w:t>
      </w:r>
      <w:r w:rsidR="00CE759A" w:rsidRPr="005B596A">
        <w:rPr>
          <w:rFonts w:hAnsi="標楷體" w:hint="eastAsia"/>
          <w:color w:val="000000" w:themeColor="text1"/>
          <w:sz w:val="24"/>
          <w:szCs w:val="24"/>
        </w:rPr>
        <w:t>50</w:t>
      </w:r>
      <w:r w:rsidR="00CE759A" w:rsidRPr="005B596A">
        <w:rPr>
          <w:rFonts w:hAnsi="標楷體"/>
          <w:color w:val="000000" w:themeColor="text1"/>
          <w:sz w:val="24"/>
          <w:szCs w:val="24"/>
        </w:rPr>
        <w:t>倍</w:t>
      </w:r>
      <w:r w:rsidR="00CE759A" w:rsidRPr="005B596A">
        <w:rPr>
          <w:rFonts w:hAnsi="標楷體" w:hint="eastAsia"/>
          <w:color w:val="000000" w:themeColor="text1"/>
          <w:sz w:val="24"/>
          <w:szCs w:val="24"/>
        </w:rPr>
        <w:t>，</w:t>
      </w:r>
      <w:r w:rsidR="00CE759A" w:rsidRPr="005B596A">
        <w:rPr>
          <w:rFonts w:hAnsi="標楷體"/>
          <w:color w:val="000000" w:themeColor="text1"/>
          <w:sz w:val="24"/>
          <w:szCs w:val="24"/>
        </w:rPr>
        <w:t>經加計來自政府移轉收支重分配效果</w:t>
      </w:r>
      <w:r w:rsidR="00CE759A" w:rsidRPr="005B596A">
        <w:rPr>
          <w:rFonts w:hAnsi="標楷體" w:hint="eastAsia"/>
          <w:color w:val="000000" w:themeColor="text1"/>
          <w:sz w:val="24"/>
          <w:szCs w:val="24"/>
        </w:rPr>
        <w:t>1</w:t>
      </w:r>
      <w:r w:rsidR="00CE759A" w:rsidRPr="005B596A">
        <w:rPr>
          <w:rFonts w:hAnsi="標楷體"/>
          <w:color w:val="000000" w:themeColor="text1"/>
          <w:sz w:val="24"/>
          <w:szCs w:val="24"/>
        </w:rPr>
        <w:t>.</w:t>
      </w:r>
      <w:r w:rsidR="00CE759A" w:rsidRPr="005B596A">
        <w:rPr>
          <w:rFonts w:hAnsi="標楷體" w:hint="eastAsia"/>
          <w:color w:val="000000" w:themeColor="text1"/>
          <w:sz w:val="24"/>
          <w:szCs w:val="24"/>
        </w:rPr>
        <w:t>34</w:t>
      </w:r>
      <w:r w:rsidR="00CE759A" w:rsidRPr="005B596A">
        <w:rPr>
          <w:rFonts w:hAnsi="標楷體"/>
          <w:color w:val="000000" w:themeColor="text1"/>
          <w:sz w:val="24"/>
          <w:szCs w:val="24"/>
        </w:rPr>
        <w:t>倍後，下降至6.15</w:t>
      </w:r>
      <w:r w:rsidR="00CE759A" w:rsidRPr="005B596A">
        <w:rPr>
          <w:rFonts w:hAnsi="標楷體" w:hint="eastAsia"/>
          <w:color w:val="000000" w:themeColor="text1"/>
          <w:sz w:val="24"/>
          <w:szCs w:val="24"/>
        </w:rPr>
        <w:t>倍</w:t>
      </w:r>
      <w:r w:rsidR="00CE759A" w:rsidRPr="005B596A">
        <w:rPr>
          <w:rFonts w:hAnsi="標楷體"/>
          <w:color w:val="000000" w:themeColor="text1"/>
          <w:sz w:val="24"/>
          <w:szCs w:val="24"/>
        </w:rPr>
        <w:t>，</w:t>
      </w:r>
      <w:r w:rsidR="00CE759A" w:rsidRPr="005B596A">
        <w:rPr>
          <w:rFonts w:hAnsi="標楷體" w:hint="eastAsia"/>
          <w:color w:val="000000" w:themeColor="text1"/>
          <w:sz w:val="24"/>
          <w:szCs w:val="24"/>
        </w:rPr>
        <w:t>仍</w:t>
      </w:r>
      <w:r w:rsidR="00CE759A" w:rsidRPr="005B596A">
        <w:rPr>
          <w:rFonts w:hAnsi="標楷體"/>
          <w:color w:val="000000" w:themeColor="text1"/>
          <w:sz w:val="24"/>
          <w:szCs w:val="24"/>
        </w:rPr>
        <w:t>創</w:t>
      </w:r>
      <w:r w:rsidR="00CE759A" w:rsidRPr="005B596A">
        <w:rPr>
          <w:rFonts w:hAnsi="標楷體" w:hint="eastAsia"/>
          <w:color w:val="000000" w:themeColor="text1"/>
          <w:sz w:val="24"/>
          <w:szCs w:val="24"/>
        </w:rPr>
        <w:t>101至111年間之</w:t>
      </w:r>
      <w:r w:rsidR="00CE759A" w:rsidRPr="005B596A">
        <w:rPr>
          <w:rFonts w:hAnsi="標楷體"/>
          <w:color w:val="000000" w:themeColor="text1"/>
          <w:sz w:val="24"/>
          <w:szCs w:val="24"/>
        </w:rPr>
        <w:t>新高</w:t>
      </w:r>
      <w:r w:rsidR="00CE759A" w:rsidRPr="005B596A">
        <w:rPr>
          <w:rFonts w:hAnsi="標楷體" w:hint="eastAsia"/>
          <w:color w:val="000000" w:themeColor="text1"/>
          <w:sz w:val="24"/>
          <w:szCs w:val="24"/>
        </w:rPr>
        <w:t>，其中「對政府移轉支出」之所得重分配效果，僅降低所得差距0.14至0.15倍，顯示以直接稅、規費等對政府移轉支出，未如從政府移轉收入之所得重分配效果，現行租稅制度對發揮改善所得分配之功能尚屬有限。復據財政統計年報資料，我國國民租稅負擔率（不含社會安全捐）109至111年度分別為12％、13.3％及14.3％，較世界主要國家美國</w:t>
      </w:r>
      <w:r w:rsidR="00CE759A" w:rsidRPr="005B596A">
        <w:rPr>
          <w:rFonts w:hAnsi="標楷體"/>
          <w:color w:val="000000" w:themeColor="text1"/>
          <w:sz w:val="24"/>
          <w:szCs w:val="24"/>
        </w:rPr>
        <w:t>20.</w:t>
      </w:r>
      <w:r w:rsidR="00CE759A" w:rsidRPr="005B596A">
        <w:rPr>
          <w:rFonts w:hAnsi="標楷體" w:hint="eastAsia"/>
          <w:color w:val="000000" w:themeColor="text1"/>
          <w:sz w:val="24"/>
          <w:szCs w:val="24"/>
        </w:rPr>
        <w:t>4％、英國27.6％、韓國</w:t>
      </w:r>
      <w:r w:rsidR="00CE759A" w:rsidRPr="005B596A">
        <w:rPr>
          <w:rFonts w:hAnsi="標楷體"/>
          <w:color w:val="000000" w:themeColor="text1"/>
          <w:sz w:val="24"/>
          <w:szCs w:val="24"/>
        </w:rPr>
        <w:t>22.</w:t>
      </w:r>
      <w:r w:rsidR="00CE759A" w:rsidRPr="005B596A">
        <w:rPr>
          <w:rFonts w:hAnsi="標楷體" w:hint="eastAsia"/>
          <w:color w:val="000000" w:themeColor="text1"/>
          <w:sz w:val="24"/>
          <w:szCs w:val="24"/>
        </w:rPr>
        <w:t>0％、德國</w:t>
      </w:r>
      <w:r w:rsidR="00CE759A" w:rsidRPr="005B596A">
        <w:rPr>
          <w:rFonts w:hAnsi="標楷體"/>
          <w:color w:val="000000" w:themeColor="text1"/>
          <w:sz w:val="24"/>
          <w:szCs w:val="24"/>
        </w:rPr>
        <w:t>24.</w:t>
      </w:r>
      <w:r w:rsidR="00CE759A" w:rsidRPr="005B596A">
        <w:rPr>
          <w:rFonts w:hAnsi="標楷體" w:hint="eastAsia"/>
          <w:color w:val="000000" w:themeColor="text1"/>
          <w:sz w:val="24"/>
          <w:szCs w:val="24"/>
        </w:rPr>
        <w:t>5％、法國</w:t>
      </w:r>
      <w:r w:rsidR="00CE759A" w:rsidRPr="005B596A">
        <w:rPr>
          <w:rFonts w:hAnsi="標楷體"/>
          <w:color w:val="000000" w:themeColor="text1"/>
          <w:sz w:val="24"/>
          <w:szCs w:val="24"/>
        </w:rPr>
        <w:t>30.</w:t>
      </w:r>
      <w:r w:rsidR="00CE759A" w:rsidRPr="005B596A">
        <w:rPr>
          <w:rFonts w:hAnsi="標楷體" w:hint="eastAsia"/>
          <w:color w:val="000000" w:themeColor="text1"/>
          <w:sz w:val="24"/>
          <w:szCs w:val="24"/>
        </w:rPr>
        <w:t>4％比較（以110年為例），仍屬偏低；經財政部108年9月《財稅研究》刊載文章分析，</w:t>
      </w:r>
      <w:r w:rsidR="002166F7">
        <w:rPr>
          <w:rFonts w:hAnsi="標楷體" w:hint="eastAsia"/>
          <w:color w:val="000000" w:themeColor="text1"/>
          <w:sz w:val="24"/>
          <w:szCs w:val="24"/>
        </w:rPr>
        <w:t>89</w:t>
      </w:r>
      <w:r w:rsidR="00CE759A" w:rsidRPr="005B596A">
        <w:rPr>
          <w:rFonts w:hAnsi="標楷體" w:hint="eastAsia"/>
          <w:color w:val="000000" w:themeColor="text1"/>
          <w:sz w:val="24"/>
          <w:szCs w:val="24"/>
        </w:rPr>
        <w:t>年1月至</w:t>
      </w:r>
      <w:r w:rsidR="002166F7">
        <w:rPr>
          <w:rFonts w:hAnsi="標楷體" w:hint="eastAsia"/>
          <w:color w:val="000000" w:themeColor="text1"/>
          <w:sz w:val="24"/>
          <w:szCs w:val="24"/>
        </w:rPr>
        <w:t>108</w:t>
      </w:r>
      <w:r w:rsidR="00CE759A" w:rsidRPr="005B596A">
        <w:rPr>
          <w:rFonts w:hAnsi="標楷體" w:hint="eastAsia"/>
          <w:color w:val="000000" w:themeColor="text1"/>
          <w:sz w:val="24"/>
          <w:szCs w:val="24"/>
        </w:rPr>
        <w:t>年5月立法院三讀通過涉及租稅功能之法律案計201項，為協助達成其他政策目標者計147案（73.13％</w:t>
      </w:r>
      <w:r w:rsidR="00CE759A" w:rsidRPr="005B596A">
        <w:rPr>
          <w:rFonts w:hAnsi="標楷體"/>
          <w:color w:val="000000" w:themeColor="text1"/>
          <w:sz w:val="24"/>
          <w:szCs w:val="24"/>
        </w:rPr>
        <w:t>）</w:t>
      </w:r>
      <w:r w:rsidR="00CE759A" w:rsidRPr="005B596A">
        <w:rPr>
          <w:rFonts w:hAnsi="標楷體" w:hint="eastAsia"/>
          <w:color w:val="000000" w:themeColor="text1"/>
          <w:sz w:val="24"/>
          <w:szCs w:val="24"/>
        </w:rPr>
        <w:t>、促進社會公平（具有改善所得分配功能）者計37案（18.41％），政府長期運用租稅減免措施以協助達成各種「經濟性」及「非經濟性」之政策目標，致我國租稅負擔率持續偏低，又依中央政府總預算案</w:t>
      </w:r>
      <w:r w:rsidR="00CE759A" w:rsidRPr="005B596A">
        <w:rPr>
          <w:rFonts w:hAnsi="標楷體"/>
          <w:color w:val="000000" w:themeColor="text1"/>
          <w:sz w:val="24"/>
          <w:szCs w:val="24"/>
        </w:rPr>
        <w:t>稅式支出報告</w:t>
      </w:r>
      <w:r w:rsidR="00CE759A" w:rsidRPr="005B596A">
        <w:rPr>
          <w:rFonts w:hAnsi="標楷體" w:hint="eastAsia"/>
          <w:color w:val="000000" w:themeColor="text1"/>
          <w:sz w:val="24"/>
          <w:szCs w:val="24"/>
        </w:rPr>
        <w:t>，配合各主管機關政策目標之租稅減免項目計213項，經推估113年度減免金額逾3千億元，均造成稅基侵蝕及稅收損失。另就薪資所得及資本利得稅收情形分析，據</w:t>
      </w:r>
      <w:r w:rsidR="00CE759A" w:rsidRPr="005B596A">
        <w:rPr>
          <w:rFonts w:hAnsi="標楷體"/>
          <w:color w:val="000000" w:themeColor="text1"/>
          <w:sz w:val="24"/>
          <w:szCs w:val="24"/>
        </w:rPr>
        <w:t>財政部綜合所得稅申報核定統計專冊</w:t>
      </w:r>
      <w:r w:rsidR="00CE759A" w:rsidRPr="005B596A">
        <w:rPr>
          <w:rFonts w:hAnsi="標楷體" w:hint="eastAsia"/>
          <w:color w:val="000000" w:themeColor="text1"/>
          <w:sz w:val="24"/>
          <w:szCs w:val="24"/>
        </w:rPr>
        <w:t>所載，</w:t>
      </w:r>
      <w:r w:rsidR="00CE759A" w:rsidRPr="005B596A">
        <w:rPr>
          <w:rFonts w:hAnsi="標楷體"/>
          <w:color w:val="000000" w:themeColor="text1"/>
          <w:sz w:val="24"/>
          <w:szCs w:val="24"/>
        </w:rPr>
        <w:t>102至110年度薪資所得稅收由1,567億餘元增加至1,969億餘元，薪資所得稅收占綜</w:t>
      </w:r>
      <w:r w:rsidR="002166F7">
        <w:rPr>
          <w:rFonts w:hAnsi="標楷體" w:hint="eastAsia"/>
          <w:color w:val="000000" w:themeColor="text1"/>
          <w:sz w:val="24"/>
          <w:szCs w:val="24"/>
        </w:rPr>
        <w:t>合</w:t>
      </w:r>
      <w:r w:rsidR="00CE759A" w:rsidRPr="005B596A">
        <w:rPr>
          <w:rFonts w:hAnsi="標楷體"/>
          <w:color w:val="000000" w:themeColor="text1"/>
          <w:sz w:val="24"/>
          <w:szCs w:val="24"/>
        </w:rPr>
        <w:t>所</w:t>
      </w:r>
      <w:r w:rsidR="002166F7">
        <w:rPr>
          <w:rFonts w:hAnsi="標楷體" w:hint="eastAsia"/>
          <w:color w:val="000000" w:themeColor="text1"/>
          <w:sz w:val="24"/>
          <w:szCs w:val="24"/>
        </w:rPr>
        <w:t>得</w:t>
      </w:r>
      <w:r w:rsidR="00CE759A" w:rsidRPr="005B596A">
        <w:rPr>
          <w:rFonts w:hAnsi="標楷體"/>
          <w:color w:val="000000" w:themeColor="text1"/>
          <w:sz w:val="24"/>
          <w:szCs w:val="24"/>
        </w:rPr>
        <w:t>稅收比率介於45.86％至57.62％之間</w:t>
      </w:r>
      <w:r w:rsidR="00CE759A" w:rsidRPr="005B596A">
        <w:rPr>
          <w:rFonts w:hAnsi="標楷體" w:hint="eastAsia"/>
          <w:color w:val="000000" w:themeColor="text1"/>
          <w:sz w:val="24"/>
          <w:szCs w:val="24"/>
        </w:rPr>
        <w:t>（</w:t>
      </w:r>
      <w:r w:rsidR="00CE759A" w:rsidRPr="00855CF4">
        <w:rPr>
          <w:rFonts w:hAnsi="標楷體" w:hint="eastAsia"/>
          <w:color w:val="000000" w:themeColor="text1"/>
          <w:sz w:val="24"/>
          <w:szCs w:val="24"/>
        </w:rPr>
        <w:t>圖</w:t>
      </w:r>
      <w:r w:rsidR="0062329C" w:rsidRPr="00855CF4">
        <w:rPr>
          <w:rFonts w:hAnsi="標楷體" w:hint="eastAsia"/>
          <w:color w:val="000000" w:themeColor="text1"/>
          <w:sz w:val="24"/>
          <w:szCs w:val="24"/>
        </w:rPr>
        <w:t>4</w:t>
      </w:r>
      <w:r w:rsidR="00CE759A" w:rsidRPr="005B596A">
        <w:rPr>
          <w:rFonts w:hAnsi="標楷體" w:hint="eastAsia"/>
          <w:color w:val="000000" w:themeColor="text1"/>
          <w:sz w:val="24"/>
          <w:szCs w:val="24"/>
        </w:rPr>
        <w:t>），</w:t>
      </w:r>
      <w:r w:rsidR="002166F7">
        <w:rPr>
          <w:rFonts w:hAnsi="標楷體" w:hint="eastAsia"/>
          <w:color w:val="000000" w:themeColor="text1"/>
          <w:sz w:val="24"/>
          <w:szCs w:val="24"/>
        </w:rPr>
        <w:t>近年</w:t>
      </w:r>
      <w:r w:rsidR="00CE759A" w:rsidRPr="005B596A">
        <w:rPr>
          <w:rFonts w:hAnsi="標楷體"/>
          <w:color w:val="000000" w:themeColor="text1"/>
          <w:sz w:val="24"/>
          <w:szCs w:val="24"/>
        </w:rPr>
        <w:t>貢獻度</w:t>
      </w:r>
      <w:r w:rsidR="002166F7">
        <w:rPr>
          <w:rFonts w:hAnsi="標楷體" w:hint="eastAsia"/>
          <w:color w:val="000000" w:themeColor="text1"/>
          <w:sz w:val="24"/>
          <w:szCs w:val="24"/>
        </w:rPr>
        <w:t>均</w:t>
      </w:r>
      <w:r w:rsidR="00CE759A" w:rsidRPr="005B596A">
        <w:rPr>
          <w:rFonts w:hAnsi="標楷體" w:hint="eastAsia"/>
          <w:color w:val="000000" w:themeColor="text1"/>
          <w:sz w:val="24"/>
          <w:szCs w:val="24"/>
        </w:rPr>
        <w:t>逾5成；又以110年度資料並按綜合所得淨額級距分析，所得前百分之5報稅戶薪資所得、資本所得約占所得總額之6成、3成，與全體報稅戶之7成、2成相</w:t>
      </w:r>
      <w:r w:rsidR="00CE759A" w:rsidRPr="005B596A">
        <w:rPr>
          <w:rFonts w:hAnsi="標楷體" w:hint="eastAsia"/>
          <w:color w:val="000000" w:themeColor="text1"/>
          <w:sz w:val="24"/>
          <w:szCs w:val="24"/>
        </w:rPr>
        <w:lastRenderedPageBreak/>
        <w:t>較（</w:t>
      </w:r>
      <w:r w:rsidR="00CE759A" w:rsidRPr="00855CF4">
        <w:rPr>
          <w:rFonts w:hAnsi="標楷體" w:hint="eastAsia"/>
          <w:color w:val="000000" w:themeColor="text1"/>
          <w:sz w:val="24"/>
          <w:szCs w:val="24"/>
        </w:rPr>
        <w:t>圖</w:t>
      </w:r>
      <w:r w:rsidR="0062329C" w:rsidRPr="00855CF4">
        <w:rPr>
          <w:rFonts w:hAnsi="標楷體" w:hint="eastAsia"/>
          <w:color w:val="000000" w:themeColor="text1"/>
          <w:sz w:val="24"/>
          <w:szCs w:val="24"/>
        </w:rPr>
        <w:t>5</w:t>
      </w:r>
      <w:r w:rsidR="00CE759A" w:rsidRPr="005B596A">
        <w:rPr>
          <w:rFonts w:hAnsi="標楷體" w:hint="eastAsia"/>
          <w:color w:val="000000" w:themeColor="text1"/>
          <w:sz w:val="24"/>
          <w:szCs w:val="24"/>
        </w:rPr>
        <w:t>），顯示所得越高者，薪資所得占綜合所得總額比重越低，而資本所得比重越高。我國租稅負擔率持續偏低，且高所得者之資本利得，舉如公債、公司債及金融債券之利息所得、中獎所得、不動產交易所得、股利所得及藝術品拍賣所得等未列入課稅範圍或採分離課稅，未能藉由列入綜合所得計算，按累進稅率課稅，存有降低其租稅負擔情形，綜</w:t>
      </w:r>
      <w:r w:rsidR="001868DB">
        <w:rPr>
          <w:rFonts w:hAnsi="標楷體" w:hint="eastAsia"/>
          <w:color w:val="000000" w:themeColor="text1"/>
          <w:sz w:val="24"/>
          <w:szCs w:val="24"/>
        </w:rPr>
        <w:t>合</w:t>
      </w:r>
      <w:r w:rsidR="00CE759A" w:rsidRPr="005B596A">
        <w:rPr>
          <w:rFonts w:hAnsi="標楷體" w:hint="eastAsia"/>
          <w:color w:val="000000" w:themeColor="text1"/>
          <w:sz w:val="24"/>
          <w:szCs w:val="24"/>
        </w:rPr>
        <w:t>所</w:t>
      </w:r>
      <w:r w:rsidR="001868DB">
        <w:rPr>
          <w:rFonts w:hAnsi="標楷體" w:hint="eastAsia"/>
          <w:color w:val="000000" w:themeColor="text1"/>
          <w:sz w:val="24"/>
          <w:szCs w:val="24"/>
        </w:rPr>
        <w:t>得</w:t>
      </w:r>
      <w:r w:rsidR="00CE759A" w:rsidRPr="005B596A">
        <w:rPr>
          <w:rFonts w:hAnsi="標楷體" w:hint="eastAsia"/>
          <w:color w:val="000000" w:themeColor="text1"/>
          <w:sz w:val="24"/>
          <w:szCs w:val="24"/>
        </w:rPr>
        <w:t>稅所得重分配功能未能有效發揮，肇致</w:t>
      </w:r>
      <w:r w:rsidR="00CE759A" w:rsidRPr="005B596A">
        <w:rPr>
          <w:rFonts w:hAnsi="標楷體"/>
          <w:color w:val="000000" w:themeColor="text1"/>
          <w:sz w:val="24"/>
          <w:szCs w:val="24"/>
        </w:rPr>
        <w:t>對政府支出之各項租稅等</w:t>
      </w:r>
      <w:r w:rsidR="00CE759A" w:rsidRPr="005B596A">
        <w:rPr>
          <w:rFonts w:hAnsi="標楷體" w:hint="eastAsia"/>
          <w:color w:val="000000" w:themeColor="text1"/>
          <w:sz w:val="24"/>
          <w:szCs w:val="24"/>
        </w:rPr>
        <w:t>所得</w:t>
      </w:r>
      <w:r w:rsidR="00CE759A" w:rsidRPr="005B596A">
        <w:rPr>
          <w:rFonts w:hAnsi="標楷體"/>
          <w:color w:val="000000" w:themeColor="text1"/>
          <w:sz w:val="24"/>
          <w:szCs w:val="24"/>
        </w:rPr>
        <w:t>重分配效果</w:t>
      </w:r>
      <w:r w:rsidR="00CE759A" w:rsidRPr="005B596A">
        <w:rPr>
          <w:rFonts w:hAnsi="標楷體" w:hint="eastAsia"/>
          <w:color w:val="000000" w:themeColor="text1"/>
          <w:sz w:val="24"/>
          <w:szCs w:val="24"/>
        </w:rPr>
        <w:t>欠佳。經函請行政院督促相關主管機關確實評估各項稅式支出施行成效與影響，滾動檢討資本利得課稅之合宜性，研謀妥處，俾維租稅公平，並</w:t>
      </w:r>
      <w:r w:rsidR="00CE759A" w:rsidRPr="005B596A">
        <w:rPr>
          <w:rFonts w:hAnsi="標楷體"/>
          <w:color w:val="000000" w:themeColor="text1"/>
          <w:sz w:val="24"/>
          <w:szCs w:val="24"/>
        </w:rPr>
        <w:t>逐步減緩</w:t>
      </w:r>
      <w:r w:rsidR="00CE759A" w:rsidRPr="005B596A">
        <w:rPr>
          <w:rFonts w:hAnsi="標楷體" w:hint="eastAsia"/>
          <w:color w:val="000000" w:themeColor="text1"/>
          <w:sz w:val="24"/>
          <w:szCs w:val="24"/>
        </w:rPr>
        <w:t>所得分配不均</w:t>
      </w:r>
      <w:r w:rsidR="00CE759A" w:rsidRPr="005B596A">
        <w:rPr>
          <w:rFonts w:hAnsi="標楷體"/>
          <w:color w:val="000000" w:themeColor="text1"/>
          <w:sz w:val="24"/>
          <w:szCs w:val="24"/>
        </w:rPr>
        <w:t>。</w:t>
      </w:r>
      <w:r w:rsidR="00031A52" w:rsidRPr="00E31547">
        <w:rPr>
          <w:rFonts w:hAnsi="標楷體" w:hint="eastAsia"/>
          <w:sz w:val="24"/>
          <w:szCs w:val="24"/>
        </w:rPr>
        <w:t>據復：持續建構輕稅減政且具競爭力之租稅環境，並適時配合經濟、社會、環保等政策評估相關租稅減免措施，以刺激消費、增加投資誘因及創造就業機會；另為縮小貧富差距，賡續推動強化股利所得課稅、落實不動產交易所得課稅、精進證券交易所得課稅制度及提高非自住住家用房屋持有稅等各項稅制改革，持續優化所得稅稅制，減輕薪資所得者及中低所得家庭租稅負擔，並提高高資產及高所得者之稅負，發揮租稅制度改善所得分配之功能，俾符合社會期待。</w:t>
      </w:r>
    </w:p>
    <w:p w14:paraId="229F6EF6" w14:textId="3D348337" w:rsidR="006E388E" w:rsidRDefault="00CE759A" w:rsidP="00E31547">
      <w:pPr>
        <w:overflowPunct w:val="0"/>
        <w:spacing w:beforeLines="20" w:before="72" w:afterLines="20" w:after="72" w:line="400" w:lineRule="exact"/>
        <w:ind w:firstLineChars="200" w:firstLine="480"/>
        <w:jc w:val="both"/>
        <w:outlineLvl w:val="1"/>
        <w:rPr>
          <w:rFonts w:ascii="標楷體" w:eastAsia="標楷體" w:hAnsi="標楷體" w:cs="標楷體"/>
          <w:b/>
          <w:bCs/>
          <w:spacing w:val="2"/>
          <w:kern w:val="52"/>
          <w:sz w:val="28"/>
          <w:szCs w:val="32"/>
        </w:rPr>
      </w:pPr>
      <w:r w:rsidRPr="00CE759A">
        <w:rPr>
          <w:rFonts w:ascii="Calibri" w:hAnsi="標楷體"/>
          <w:noProof/>
          <w:color w:val="000000"/>
          <w:szCs w:val="24"/>
        </w:rPr>
        <mc:AlternateContent>
          <mc:Choice Requires="wps">
            <w:drawing>
              <wp:anchor distT="0" distB="0" distL="114300" distR="114300" simplePos="0" relativeHeight="251631616" behindDoc="0" locked="0" layoutInCell="1" allowOverlap="1" wp14:anchorId="78D2C8CB" wp14:editId="1D54E3F4">
                <wp:simplePos x="0" y="0"/>
                <wp:positionH relativeFrom="page">
                  <wp:posOffset>2520315</wp:posOffset>
                </wp:positionH>
                <wp:positionV relativeFrom="page">
                  <wp:posOffset>1080135</wp:posOffset>
                </wp:positionV>
                <wp:extent cx="4327200" cy="2394000"/>
                <wp:effectExtent l="0" t="0" r="0" b="6350"/>
                <wp:wrapSquare wrapText="bothSides"/>
                <wp:docPr id="110" name="文字方塊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7200" cy="2394000"/>
                        </a:xfrm>
                        <a:prstGeom prst="rect">
                          <a:avLst/>
                        </a:prstGeom>
                        <a:solidFill>
                          <a:srgbClr val="FFFFFF"/>
                        </a:solidFill>
                        <a:ln w="9525">
                          <a:noFill/>
                          <a:miter lim="800000"/>
                          <a:headEnd/>
                          <a:tailEnd/>
                        </a:ln>
                      </wps:spPr>
                      <wps:txbx>
                        <w:txbxContent>
                          <w:p w14:paraId="45361063" w14:textId="6D6DE161" w:rsidR="00A0212B" w:rsidRPr="0071279E" w:rsidRDefault="00A0212B" w:rsidP="00CE759A">
                            <w:pPr>
                              <w:snapToGrid w:val="0"/>
                              <w:spacing w:line="28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5</w:t>
                            </w:r>
                            <w:r>
                              <w:rPr>
                                <w:rFonts w:ascii="標楷體" w:eastAsia="標楷體" w:hAnsi="標楷體" w:hint="eastAsia"/>
                                <w:b/>
                              </w:rPr>
                              <w:t xml:space="preserve">　</w:t>
                            </w:r>
                            <w:r>
                              <w:rPr>
                                <w:rFonts w:ascii="標楷體" w:eastAsia="標楷體" w:hAnsi="標楷體"/>
                                <w:b/>
                              </w:rPr>
                              <w:t>110年度</w:t>
                            </w:r>
                            <w:r>
                              <w:rPr>
                                <w:rFonts w:ascii="標楷體" w:eastAsia="標楷體" w:hAnsi="標楷體" w:hint="eastAsia"/>
                                <w:b/>
                              </w:rPr>
                              <w:t>綜合所得稅所得結構</w:t>
                            </w:r>
                          </w:p>
                          <w:p w14:paraId="461F72EB" w14:textId="77777777" w:rsidR="00A0212B" w:rsidRDefault="00A0212B" w:rsidP="00CE759A">
                            <w:pPr>
                              <w:snapToGrid w:val="0"/>
                              <w:ind w:left="240" w:hangingChars="100" w:hanging="240"/>
                              <w:rPr>
                                <w:rFonts w:eastAsia="標楷體"/>
                                <w:sz w:val="20"/>
                              </w:rPr>
                            </w:pPr>
                            <w:r>
                              <w:rPr>
                                <w:noProof/>
                              </w:rPr>
                              <w:drawing>
                                <wp:inline distT="0" distB="0" distL="0" distR="0" wp14:anchorId="1827C7C0" wp14:editId="1F7A37DA">
                                  <wp:extent cx="4267200" cy="1802765"/>
                                  <wp:effectExtent l="0" t="0" r="0" b="6985"/>
                                  <wp:docPr id="138" name="圖表 1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F8869C1" w14:textId="77777777" w:rsidR="00A0212B" w:rsidRPr="000358BE" w:rsidRDefault="00A0212B" w:rsidP="00CE759A">
                            <w:pPr>
                              <w:snapToGrid w:val="0"/>
                              <w:rPr>
                                <w:rFonts w:ascii="標楷體" w:eastAsia="標楷體" w:hAnsi="標楷體"/>
                                <w:spacing w:val="-10"/>
                                <w:sz w:val="18"/>
                                <w:szCs w:val="18"/>
                              </w:rPr>
                            </w:pPr>
                            <w:r w:rsidRPr="000358BE">
                              <w:rPr>
                                <w:rFonts w:ascii="標楷體" w:eastAsia="標楷體" w:hAnsi="標楷體" w:hint="eastAsia"/>
                                <w:spacing w:val="-10"/>
                                <w:sz w:val="18"/>
                                <w:szCs w:val="18"/>
                              </w:rPr>
                              <w:t>註︰1</w:t>
                            </w:r>
                            <w:r w:rsidRPr="000358BE">
                              <w:rPr>
                                <w:rFonts w:ascii="標楷體" w:eastAsia="標楷體" w:hAnsi="標楷體"/>
                                <w:spacing w:val="-10"/>
                                <w:sz w:val="18"/>
                                <w:szCs w:val="18"/>
                              </w:rPr>
                              <w:t>.</w:t>
                            </w:r>
                            <w:r w:rsidRPr="000358BE">
                              <w:rPr>
                                <w:rFonts w:ascii="標楷體" w:eastAsia="標楷體" w:hAnsi="標楷體" w:hint="eastAsia"/>
                                <w:spacing w:val="-10"/>
                                <w:sz w:val="18"/>
                                <w:szCs w:val="18"/>
                              </w:rPr>
                              <w:t>本表資本所得包含</w:t>
                            </w:r>
                            <w:r w:rsidRPr="000358BE">
                              <w:rPr>
                                <w:rFonts w:ascii="標楷體" w:eastAsia="標楷體" w:hAnsi="標楷體"/>
                                <w:spacing w:val="-10"/>
                                <w:sz w:val="18"/>
                                <w:szCs w:val="18"/>
                              </w:rPr>
                              <w:t>利息所得、租賃及權利金、財產交易所得及股利所得。</w:t>
                            </w:r>
                          </w:p>
                          <w:p w14:paraId="6F4DD66B" w14:textId="77777777" w:rsidR="00A0212B" w:rsidRPr="000358BE" w:rsidRDefault="00A0212B" w:rsidP="00CE759A">
                            <w:pPr>
                              <w:snapToGrid w:val="0"/>
                              <w:ind w:leftChars="130" w:left="472" w:hangingChars="100" w:hanging="160"/>
                              <w:rPr>
                                <w:rFonts w:ascii="標楷體" w:eastAsia="標楷體" w:hAnsi="標楷體"/>
                                <w:spacing w:val="-10"/>
                                <w:sz w:val="18"/>
                                <w:szCs w:val="18"/>
                              </w:rPr>
                            </w:pPr>
                            <w:r w:rsidRPr="000358BE">
                              <w:rPr>
                                <w:rFonts w:ascii="標楷體" w:eastAsia="標楷體" w:hAnsi="標楷體"/>
                                <w:spacing w:val="-10"/>
                                <w:sz w:val="18"/>
                                <w:szCs w:val="18"/>
                              </w:rPr>
                              <w:t>2.</w:t>
                            </w:r>
                            <w:r w:rsidRPr="000358BE">
                              <w:rPr>
                                <w:rFonts w:ascii="標楷體" w:eastAsia="標楷體" w:hAnsi="標楷體" w:hint="eastAsia"/>
                                <w:spacing w:val="-10"/>
                                <w:sz w:val="18"/>
                                <w:szCs w:val="18"/>
                              </w:rPr>
                              <w:t>資料來源：整理自</w:t>
                            </w:r>
                            <w:r w:rsidRPr="000358BE">
                              <w:rPr>
                                <w:rFonts w:ascii="標楷體" w:eastAsia="標楷體" w:hAnsi="標楷體"/>
                                <w:spacing w:val="-10"/>
                                <w:sz w:val="18"/>
                                <w:szCs w:val="18"/>
                              </w:rPr>
                              <w:t>113年4月發布之110年度</w:t>
                            </w:r>
                            <w:r w:rsidRPr="000358BE">
                              <w:rPr>
                                <w:rFonts w:ascii="標楷體" w:eastAsia="標楷體" w:hAnsi="標楷體" w:hint="eastAsia"/>
                                <w:spacing w:val="-10"/>
                                <w:sz w:val="18"/>
                                <w:szCs w:val="18"/>
                              </w:rPr>
                              <w:t>綜合所得稅申報核定統計專冊資料。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D2C8CB" id="文字方塊 110" o:spid="_x0000_s1033" type="#_x0000_t202" style="position:absolute;left:0;text-align:left;margin-left:198.45pt;margin-top:85.05pt;width:340.7pt;height:188.5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" stroked="f">
                <v:textbox>
                  <w:txbxContent>
                    <w:p w14:paraId="45361063" w14:textId="6D6DE161" w:rsidR="00A0212B" w:rsidRPr="0071279E" w:rsidRDefault="00A0212B" w:rsidP="00CE759A">
                      <w:pPr>
                        <w:snapToGrid w:val="0"/>
                        <w:spacing w:line="280" w:lineRule="exact"/>
                        <w:jc w:val="center"/>
                        <w:rPr>
                          <w:rFonts w:ascii="標楷體" w:eastAsia="標楷體" w:hAnsi="標楷體"/>
                          <w:b/>
                        </w:rPr>
                      </w:pPr>
                      <w:r>
                        <w:rPr>
                          <w:rFonts w:ascii="標楷體" w:eastAsia="標楷體" w:hAnsi="標楷體" w:hint="eastAsia"/>
                          <w:b/>
                        </w:rPr>
                        <w:t>圖</w:t>
                      </w:r>
                      <w:r>
                        <w:rPr>
                          <w:rFonts w:ascii="標楷體" w:eastAsia="標楷體" w:hAnsi="標楷體"/>
                          <w:b/>
                        </w:rPr>
                        <w:t>5</w:t>
                      </w:r>
                      <w:r>
                        <w:rPr>
                          <w:rFonts w:ascii="標楷體" w:eastAsia="標楷體" w:hAnsi="標楷體" w:hint="eastAsia"/>
                          <w:b/>
                        </w:rPr>
                        <w:t xml:space="preserve">　</w:t>
                      </w:r>
                      <w:r>
                        <w:rPr>
                          <w:rFonts w:ascii="標楷體" w:eastAsia="標楷體" w:hAnsi="標楷體"/>
                          <w:b/>
                        </w:rPr>
                        <w:t>110年度</w:t>
                      </w:r>
                      <w:r>
                        <w:rPr>
                          <w:rFonts w:ascii="標楷體" w:eastAsia="標楷體" w:hAnsi="標楷體" w:hint="eastAsia"/>
                          <w:b/>
                        </w:rPr>
                        <w:t>綜合所得稅所得結構</w:t>
                      </w:r>
                    </w:p>
                    <w:p w14:paraId="461F72EB" w14:textId="77777777" w:rsidR="00A0212B" w:rsidRDefault="00A0212B" w:rsidP="00CE759A">
                      <w:pPr>
                        <w:snapToGrid w:val="0"/>
                        <w:ind w:left="240" w:hangingChars="100" w:hanging="240"/>
                        <w:rPr>
                          <w:rFonts w:eastAsia="標楷體"/>
                          <w:sz w:val="20"/>
                        </w:rPr>
                      </w:pPr>
                      <w:r>
                        <w:rPr>
                          <w:noProof/>
                        </w:rPr>
                        <w:drawing>
                          <wp:inline distT="0" distB="0" distL="0" distR="0" wp14:anchorId="1827C7C0" wp14:editId="1F7A37DA">
                            <wp:extent cx="4267200" cy="1802765"/>
                            <wp:effectExtent l="0" t="0" r="0" b="6985"/>
                            <wp:docPr id="138" name="圖表 1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F8869C1" w14:textId="77777777" w:rsidR="00A0212B" w:rsidRPr="000358BE" w:rsidRDefault="00A0212B" w:rsidP="00CE759A">
                      <w:pPr>
                        <w:snapToGrid w:val="0"/>
                        <w:rPr>
                          <w:rFonts w:ascii="標楷體" w:eastAsia="標楷體" w:hAnsi="標楷體"/>
                          <w:spacing w:val="-10"/>
                          <w:sz w:val="18"/>
                          <w:szCs w:val="18"/>
                        </w:rPr>
                      </w:pPr>
                      <w:r w:rsidRPr="000358BE">
                        <w:rPr>
                          <w:rFonts w:ascii="標楷體" w:eastAsia="標楷體" w:hAnsi="標楷體" w:hint="eastAsia"/>
                          <w:spacing w:val="-10"/>
                          <w:sz w:val="18"/>
                          <w:szCs w:val="18"/>
                        </w:rPr>
                        <w:t>註︰1</w:t>
                      </w:r>
                      <w:r w:rsidRPr="000358BE">
                        <w:rPr>
                          <w:rFonts w:ascii="標楷體" w:eastAsia="標楷體" w:hAnsi="標楷體"/>
                          <w:spacing w:val="-10"/>
                          <w:sz w:val="18"/>
                          <w:szCs w:val="18"/>
                        </w:rPr>
                        <w:t>.</w:t>
                      </w:r>
                      <w:r w:rsidRPr="000358BE">
                        <w:rPr>
                          <w:rFonts w:ascii="標楷體" w:eastAsia="標楷體" w:hAnsi="標楷體" w:hint="eastAsia"/>
                          <w:spacing w:val="-10"/>
                          <w:sz w:val="18"/>
                          <w:szCs w:val="18"/>
                        </w:rPr>
                        <w:t>本表資本所得包含</w:t>
                      </w:r>
                      <w:r w:rsidRPr="000358BE">
                        <w:rPr>
                          <w:rFonts w:ascii="標楷體" w:eastAsia="標楷體" w:hAnsi="標楷體"/>
                          <w:spacing w:val="-10"/>
                          <w:sz w:val="18"/>
                          <w:szCs w:val="18"/>
                        </w:rPr>
                        <w:t>利息所得、租賃及權利金、財產交易所得及股利所得。</w:t>
                      </w:r>
                    </w:p>
                    <w:p w14:paraId="6F4DD66B" w14:textId="77777777" w:rsidR="00A0212B" w:rsidRPr="000358BE" w:rsidRDefault="00A0212B" w:rsidP="00CE759A">
                      <w:pPr>
                        <w:snapToGrid w:val="0"/>
                        <w:ind w:leftChars="130" w:left="472" w:hangingChars="100" w:hanging="160"/>
                        <w:rPr>
                          <w:rFonts w:ascii="標楷體" w:eastAsia="標楷體" w:hAnsi="標楷體"/>
                          <w:spacing w:val="-10"/>
                          <w:sz w:val="18"/>
                          <w:szCs w:val="18"/>
                        </w:rPr>
                      </w:pPr>
                      <w:r w:rsidRPr="000358BE">
                        <w:rPr>
                          <w:rFonts w:ascii="標楷體" w:eastAsia="標楷體" w:hAnsi="標楷體"/>
                          <w:spacing w:val="-10"/>
                          <w:sz w:val="18"/>
                          <w:szCs w:val="18"/>
                        </w:rPr>
                        <w:t>2.</w:t>
                      </w:r>
                      <w:r w:rsidRPr="000358BE">
                        <w:rPr>
                          <w:rFonts w:ascii="標楷體" w:eastAsia="標楷體" w:hAnsi="標楷體" w:hint="eastAsia"/>
                          <w:spacing w:val="-10"/>
                          <w:sz w:val="18"/>
                          <w:szCs w:val="18"/>
                        </w:rPr>
                        <w:t>資料來源：整理自</w:t>
                      </w:r>
                      <w:r w:rsidRPr="000358BE">
                        <w:rPr>
                          <w:rFonts w:ascii="標楷體" w:eastAsia="標楷體" w:hAnsi="標楷體"/>
                          <w:spacing w:val="-10"/>
                          <w:sz w:val="18"/>
                          <w:szCs w:val="18"/>
                        </w:rPr>
                        <w:t>113年4月發布之110年度</w:t>
                      </w:r>
                      <w:r w:rsidRPr="000358BE">
                        <w:rPr>
                          <w:rFonts w:ascii="標楷體" w:eastAsia="標楷體" w:hAnsi="標楷體" w:hint="eastAsia"/>
                          <w:spacing w:val="-10"/>
                          <w:sz w:val="18"/>
                          <w:szCs w:val="18"/>
                        </w:rPr>
                        <w:t>綜合所得稅申報核定統計專冊資料。</w:t>
                      </w:r>
                    </w:p>
                  </w:txbxContent>
                </v:textbox>
                <w10:wrap type="square" anchorx="page" anchory="page"/>
              </v:shape>
            </w:pict>
          </mc:Fallback>
        </mc:AlternateContent>
      </w:r>
      <w:r w:rsidR="006E388E" w:rsidRPr="006E388E">
        <w:rPr>
          <w:rFonts w:ascii="標楷體" w:eastAsia="標楷體" w:hAnsi="標楷體" w:cs="標楷體" w:hint="eastAsia"/>
          <w:b/>
          <w:bCs/>
          <w:kern w:val="52"/>
          <w:sz w:val="28"/>
          <w:szCs w:val="32"/>
        </w:rPr>
        <w:t>（</w:t>
      </w:r>
      <w:r w:rsidR="006E388E">
        <w:rPr>
          <w:rFonts w:ascii="標楷體" w:eastAsia="標楷體" w:hAnsi="標楷體" w:cs="標楷體" w:hint="eastAsia"/>
          <w:b/>
          <w:bCs/>
          <w:kern w:val="52"/>
          <w:sz w:val="28"/>
          <w:szCs w:val="32"/>
        </w:rPr>
        <w:t>四</w:t>
      </w:r>
      <w:r w:rsidR="006E388E" w:rsidRPr="006E388E">
        <w:rPr>
          <w:rFonts w:ascii="標楷體" w:eastAsia="標楷體" w:hAnsi="標楷體" w:cs="標楷體" w:hint="eastAsia"/>
          <w:b/>
          <w:bCs/>
          <w:kern w:val="52"/>
          <w:sz w:val="28"/>
          <w:szCs w:val="32"/>
        </w:rPr>
        <w:t xml:space="preserve">）　</w:t>
      </w:r>
      <w:r w:rsidR="00F60428" w:rsidRPr="00F60428">
        <w:rPr>
          <w:rFonts w:ascii="標楷體" w:eastAsia="標楷體" w:hAnsi="標楷體" w:cs="標楷體" w:hint="eastAsia"/>
          <w:b/>
          <w:bCs/>
          <w:kern w:val="52"/>
          <w:sz w:val="28"/>
          <w:szCs w:val="32"/>
        </w:rPr>
        <w:t>政府致力改善國內投資環境，協助臺商及僑外資回（來）臺投資，惟各界仍提出政策法規未明確之建言，又導引臺商匯回資金至實體投資成效待加強，融資貸款監督管理機制亦待強化，且產業技術仰賴美日仍甚深，允宜持續研謀改善，俾提升我國投資環境與國際競爭力，促進經濟發展</w:t>
      </w:r>
      <w:r w:rsidR="006E388E" w:rsidRPr="006E388E">
        <w:rPr>
          <w:rFonts w:ascii="標楷體" w:eastAsia="標楷體" w:hAnsi="標楷體" w:cs="標楷體" w:hint="eastAsia"/>
          <w:b/>
          <w:bCs/>
          <w:spacing w:val="2"/>
          <w:kern w:val="52"/>
          <w:sz w:val="28"/>
          <w:szCs w:val="32"/>
        </w:rPr>
        <w:t>。</w:t>
      </w:r>
    </w:p>
    <w:p w14:paraId="1464E418" w14:textId="5DDD8552" w:rsidR="00F60428" w:rsidRPr="00F60428" w:rsidRDefault="00F60428">
      <w:pPr>
        <w:overflowPunct w:val="0"/>
        <w:adjustRightInd w:val="0"/>
        <w:snapToGrid w:val="0"/>
        <w:spacing w:line="460" w:lineRule="exact"/>
        <w:ind w:firstLineChars="200" w:firstLine="480"/>
        <w:jc w:val="both"/>
        <w:rPr>
          <w:rFonts w:ascii="標楷體" w:eastAsia="標楷體" w:hAnsi="標楷體" w:cs="標楷體"/>
          <w:kern w:val="52"/>
          <w:szCs w:val="32"/>
        </w:rPr>
      </w:pPr>
      <w:r w:rsidRPr="00F60428">
        <w:rPr>
          <w:rFonts w:ascii="標楷體" w:eastAsia="標楷體" w:hAnsi="標楷體" w:cs="標楷體" w:hint="eastAsia"/>
          <w:kern w:val="52"/>
          <w:szCs w:val="32"/>
        </w:rPr>
        <w:t>政府為提升我國整體投資環境，解決企業投資障礙，</w:t>
      </w:r>
      <w:r w:rsidR="00E35754">
        <w:rPr>
          <w:rFonts w:ascii="標楷體" w:eastAsia="標楷體" w:hAnsi="標楷體" w:cs="標楷體" w:hint="eastAsia"/>
          <w:kern w:val="52"/>
          <w:szCs w:val="32"/>
        </w:rPr>
        <w:t>自</w:t>
      </w:r>
      <w:r w:rsidRPr="00F60428">
        <w:rPr>
          <w:rFonts w:ascii="標楷體" w:eastAsia="標楷體" w:hAnsi="標楷體" w:cs="標楷體" w:hint="eastAsia"/>
          <w:kern w:val="52"/>
          <w:szCs w:val="32"/>
        </w:rPr>
        <w:t>106年10月起，將啟動法規鬆綁列為工作重點，嗣為因應全球供應鏈移轉與國際情勢轉變，</w:t>
      </w:r>
      <w:r w:rsidR="00E35754">
        <w:rPr>
          <w:rFonts w:ascii="標楷體" w:eastAsia="標楷體" w:hAnsi="標楷體" w:cs="標楷體" w:hint="eastAsia"/>
          <w:kern w:val="52"/>
          <w:szCs w:val="32"/>
        </w:rPr>
        <w:t>自</w:t>
      </w:r>
      <w:r w:rsidRPr="00F60428">
        <w:rPr>
          <w:rFonts w:ascii="標楷體" w:eastAsia="標楷體" w:hAnsi="標楷體" w:cs="標楷體" w:hint="eastAsia"/>
          <w:kern w:val="52"/>
          <w:szCs w:val="32"/>
        </w:rPr>
        <w:t>108年起推動「歡迎臺商回臺投資行動方案」（下稱臺商回臺方案）、「根留臺灣企業加速投資行動方案」（下稱根留臺灣方案）及「中小企業加速投資行動方案」（下稱中小企業方案），合稱「投資臺灣三大方案」，以導引臺商回臺及資金回流挹注我國產業，並由政府支付金融機構委辦手續費，以協助廠商融資需求，另為優化國內產業結構，驅動國家經濟發展，投入鉅額科技預算，從事科學技術研究，期創造良好投資環境，帶動經濟發展，提升國際競爭力。經查執行情形，核有下列事項：</w:t>
      </w:r>
    </w:p>
    <w:p w14:paraId="7D8F2A4E" w14:textId="68F27EAD" w:rsidR="00F60428" w:rsidRPr="00F60428" w:rsidRDefault="00F60428" w:rsidP="004D7C92">
      <w:pPr>
        <w:overflowPunct w:val="0"/>
        <w:adjustRightInd w:val="0"/>
        <w:snapToGrid w:val="0"/>
        <w:spacing w:line="430" w:lineRule="exact"/>
        <w:ind w:firstLineChars="450" w:firstLine="1081"/>
        <w:jc w:val="both"/>
        <w:rPr>
          <w:rFonts w:ascii="標楷體" w:eastAsia="標楷體" w:hAnsi="標楷體" w:cs="標楷體"/>
          <w:kern w:val="52"/>
          <w:szCs w:val="32"/>
        </w:rPr>
      </w:pPr>
      <w:r w:rsidRPr="00F60428">
        <w:rPr>
          <w:rFonts w:ascii="標楷體" w:eastAsia="標楷體" w:hAnsi="標楷體" w:cs="標楷體" w:hint="eastAsia"/>
          <w:b/>
          <w:kern w:val="52"/>
          <w:szCs w:val="32"/>
        </w:rPr>
        <w:t>1.　政府自106年10月起啟動法規鬆綁工作，各部會截至112年底已修訂1千8百餘項法規，排除投資障礙，惟各界仍有提出政策法規訂定標準未明確等意見，又外人投資相關</w:t>
      </w:r>
      <w:r w:rsidRPr="00F60428">
        <w:rPr>
          <w:rFonts w:ascii="標楷體" w:eastAsia="標楷體" w:hAnsi="標楷體" w:cs="標楷體" w:hint="eastAsia"/>
          <w:b/>
          <w:kern w:val="52"/>
          <w:szCs w:val="32"/>
        </w:rPr>
        <w:lastRenderedPageBreak/>
        <w:t>條例擱置數年仍待檢討修正</w:t>
      </w:r>
      <w:r w:rsidRPr="00F60428">
        <w:rPr>
          <w:rFonts w:ascii="標楷體" w:eastAsia="標楷體" w:hAnsi="標楷體" w:cs="標楷體" w:hint="eastAsia"/>
          <w:kern w:val="52"/>
          <w:szCs w:val="32"/>
        </w:rPr>
        <w:t>：國家發展委員會自106年10月起啟動法規鬆綁工作，推動各部會主動蒐集企業及國內外商會建言，檢討業管行政法令。據</w:t>
      </w:r>
      <w:r w:rsidR="00DC5EF1" w:rsidRPr="00F60428">
        <w:rPr>
          <w:rFonts w:ascii="標楷體" w:eastAsia="標楷體" w:hAnsi="標楷體" w:cs="標楷體" w:hint="eastAsia"/>
          <w:kern w:val="52"/>
          <w:szCs w:val="32"/>
        </w:rPr>
        <w:t>國家發展委員會</w:t>
      </w:r>
      <w:r w:rsidRPr="00F60428">
        <w:rPr>
          <w:rFonts w:ascii="標楷體" w:eastAsia="標楷體" w:hAnsi="標楷體" w:cs="標楷體" w:hint="eastAsia"/>
          <w:kern w:val="52"/>
          <w:szCs w:val="32"/>
        </w:rPr>
        <w:t>公開網站公布資料統計結果，截至112年底止，各部會提出修訂法規並具鬆綁成果者，計有1,832項，其中</w:t>
      </w:r>
      <w:r w:rsidR="00695090" w:rsidRPr="00F60428">
        <w:rPr>
          <w:rFonts w:ascii="標楷體" w:eastAsia="標楷體" w:hAnsi="標楷體" w:cs="標楷體" w:hint="eastAsia"/>
          <w:b/>
          <w:bCs/>
          <w:noProof/>
          <w:kern w:val="52"/>
          <w:sz w:val="32"/>
          <w:szCs w:val="32"/>
        </w:rPr>
        <mc:AlternateContent>
          <mc:Choice Requires="wpg">
            <w:drawing>
              <wp:anchor distT="0" distB="0" distL="114300" distR="114300" simplePos="0" relativeHeight="251634688" behindDoc="1" locked="0" layoutInCell="1" allowOverlap="1" wp14:anchorId="69FD7DC1" wp14:editId="5CB9BE56">
                <wp:simplePos x="0" y="0"/>
                <wp:positionH relativeFrom="margin">
                  <wp:posOffset>1902672</wp:posOffset>
                </wp:positionH>
                <wp:positionV relativeFrom="paragraph">
                  <wp:posOffset>1049867</wp:posOffset>
                </wp:positionV>
                <wp:extent cx="4396740" cy="4625340"/>
                <wp:effectExtent l="0" t="0" r="0" b="3810"/>
                <wp:wrapTight wrapText="bothSides">
                  <wp:wrapPolygon edited="0">
                    <wp:start x="281" y="0"/>
                    <wp:lineTo x="281" y="21529"/>
                    <wp:lineTo x="20683" y="21529"/>
                    <wp:lineTo x="21244" y="20194"/>
                    <wp:lineTo x="21151" y="19305"/>
                    <wp:lineTo x="20683" y="18682"/>
                    <wp:lineTo x="20683" y="0"/>
                    <wp:lineTo x="281" y="0"/>
                  </wp:wrapPolygon>
                </wp:wrapTight>
                <wp:docPr id="5" name="群組 5"/>
                <wp:cNvGraphicFramePr/>
                <a:graphic xmlns:a="http://schemas.openxmlformats.org/drawingml/2006/main">
                  <a:graphicData uri="http://schemas.microsoft.com/office/word/2010/wordprocessingGroup">
                    <wpg:wgp>
                      <wpg:cNvGrpSpPr/>
                      <wpg:grpSpPr>
                        <a:xfrm>
                          <a:off x="0" y="0"/>
                          <a:ext cx="4396740" cy="4625340"/>
                          <a:chOff x="0" y="0"/>
                          <a:chExt cx="4396740" cy="4457700"/>
                        </a:xfrm>
                      </wpg:grpSpPr>
                      <wps:wsp>
                        <wps:cNvPr id="8" name="文字方塊 8"/>
                        <wps:cNvSpPr txBox="1"/>
                        <wps:spPr>
                          <a:xfrm>
                            <a:off x="0" y="0"/>
                            <a:ext cx="4282440" cy="4457700"/>
                          </a:xfrm>
                          <a:prstGeom prst="rect">
                            <a:avLst/>
                          </a:prstGeom>
                          <a:noFill/>
                          <a:ln w="6350">
                            <a:noFill/>
                          </a:ln>
                        </wps:spPr>
                        <wps:txbx>
                          <w:txbxContent>
                            <w:p w14:paraId="322DEB30" w14:textId="77777777" w:rsidR="00A0212B" w:rsidRDefault="00A0212B" w:rsidP="00F60428">
                              <w:pPr>
                                <w:jc w:val="center"/>
                              </w:pPr>
                              <w:r>
                                <w:rPr>
                                  <w:noProof/>
                                </w:rPr>
                                <w:drawing>
                                  <wp:inline distT="0" distB="0" distL="0" distR="0" wp14:anchorId="31759CCF" wp14:editId="0AD75F0C">
                                    <wp:extent cx="4114800" cy="4229100"/>
                                    <wp:effectExtent l="0" t="0" r="0" b="0"/>
                                    <wp:docPr id="470" name="圖表 4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6A46D93" w14:textId="793EF3EE" w:rsidR="00A0212B" w:rsidRPr="00191B7D" w:rsidRDefault="00A0212B" w:rsidP="00F60428">
                              <w:pPr>
                                <w:rPr>
                                  <w:rFonts w:ascii="標楷體" w:eastAsia="標楷體" w:hAnsi="標楷體"/>
                                </w:rPr>
                              </w:pPr>
                              <w:r w:rsidRPr="00191B7D">
                                <w:rPr>
                                  <w:rFonts w:ascii="標楷體" w:eastAsia="標楷體" w:hAnsi="標楷體" w:hint="eastAsia"/>
                                  <w:sz w:val="18"/>
                                  <w:szCs w:val="18"/>
                                </w:rPr>
                                <w:t>資料來源：整理自國</w:t>
                              </w:r>
                              <w:r>
                                <w:rPr>
                                  <w:rFonts w:ascii="標楷體" w:eastAsia="標楷體" w:hAnsi="標楷體" w:hint="eastAsia"/>
                                  <w:sz w:val="18"/>
                                  <w:szCs w:val="18"/>
                                </w:rPr>
                                <w:t>家</w:t>
                              </w:r>
                              <w:r w:rsidRPr="00191B7D">
                                <w:rPr>
                                  <w:rFonts w:ascii="標楷體" w:eastAsia="標楷體" w:hAnsi="標楷體" w:hint="eastAsia"/>
                                  <w:sz w:val="18"/>
                                  <w:szCs w:val="18"/>
                                </w:rPr>
                                <w:t>發</w:t>
                              </w:r>
                              <w:r>
                                <w:rPr>
                                  <w:rFonts w:ascii="標楷體" w:eastAsia="標楷體" w:hAnsi="標楷體" w:hint="eastAsia"/>
                                  <w:sz w:val="18"/>
                                  <w:szCs w:val="18"/>
                                </w:rPr>
                                <w:t>展</w:t>
                              </w:r>
                              <w:r>
                                <w:rPr>
                                  <w:rFonts w:ascii="標楷體" w:eastAsia="標楷體" w:hAnsi="標楷體"/>
                                  <w:sz w:val="18"/>
                                  <w:szCs w:val="18"/>
                                </w:rPr>
                                <w:t>委員</w:t>
                              </w:r>
                              <w:r w:rsidRPr="00191B7D">
                                <w:rPr>
                                  <w:rFonts w:ascii="標楷體" w:eastAsia="標楷體" w:hAnsi="標楷體" w:hint="eastAsia"/>
                                  <w:sz w:val="18"/>
                                  <w:szCs w:val="18"/>
                                </w:rPr>
                                <w:t>會公布之112年度法規鬆綁成果資料。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文字方塊 10"/>
                        <wps:cNvSpPr txBox="1"/>
                        <wps:spPr>
                          <a:xfrm>
                            <a:off x="4076700" y="3934795"/>
                            <a:ext cx="320040" cy="287903"/>
                          </a:xfrm>
                          <a:prstGeom prst="rect">
                            <a:avLst/>
                          </a:prstGeom>
                          <a:noFill/>
                          <a:ln w="6350">
                            <a:noFill/>
                          </a:ln>
                        </wps:spPr>
                        <wps:txbx>
                          <w:txbxContent>
                            <w:p w14:paraId="0B56A7E7" w14:textId="77777777" w:rsidR="00A0212B" w:rsidRPr="00191B7D" w:rsidRDefault="00A0212B" w:rsidP="004D7C92">
                              <w:pPr>
                                <w:spacing w:line="240" w:lineRule="exact"/>
                                <w:jc w:val="center"/>
                                <w:rPr>
                                  <w:rFonts w:ascii="標楷體" w:eastAsia="標楷體" w:hAnsi="標楷體"/>
                                  <w:sz w:val="18"/>
                                  <w:szCs w:val="18"/>
                                </w:rPr>
                              </w:pPr>
                              <w:r w:rsidRPr="00191B7D">
                                <w:rPr>
                                  <w:rFonts w:ascii="標楷體" w:eastAsia="標楷體" w:hAnsi="標楷體" w:hint="eastAsia"/>
                                  <w:sz w:val="18"/>
                                  <w:szCs w:val="18"/>
                                </w:rPr>
                                <w:t>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FD7DC1" id="群組 5" o:spid="_x0000_s1034" style="position:absolute;left:0;text-align:left;margin-left:149.8pt;margin-top:82.65pt;width:346.2pt;height:364.2pt;z-index:-251681792;mso-position-horizontal-relative:margin;mso-width-relative:margin;mso-height-relative:margin" coordsize="43967,44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">
                <v:shape id="文字方塊 8" o:spid="_x0000_s1035" type="#_x0000_t202" style="position:absolute;width:42824;height:44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14:paraId="322DEB30" w14:textId="77777777" w:rsidR="00A0212B" w:rsidRDefault="00A0212B" w:rsidP="00F60428">
                        <w:pPr>
                          <w:jc w:val="center"/>
                        </w:pPr>
                        <w:r>
                          <w:rPr>
                            <w:noProof/>
                          </w:rPr>
                          <w:drawing>
                            <wp:inline distT="0" distB="0" distL="0" distR="0" wp14:anchorId="31759CCF" wp14:editId="0AD75F0C">
                              <wp:extent cx="4114800" cy="4229100"/>
                              <wp:effectExtent l="0" t="0" r="0" b="0"/>
                              <wp:docPr id="470" name="圖表 4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6A46D93" w14:textId="793EF3EE" w:rsidR="00A0212B" w:rsidRPr="00191B7D" w:rsidRDefault="00A0212B" w:rsidP="00F60428">
                        <w:pPr>
                          <w:rPr>
                            <w:rFonts w:ascii="標楷體" w:eastAsia="標楷體" w:hAnsi="標楷體"/>
                          </w:rPr>
                        </w:pPr>
                        <w:r w:rsidRPr="00191B7D">
                          <w:rPr>
                            <w:rFonts w:ascii="標楷體" w:eastAsia="標楷體" w:hAnsi="標楷體" w:hint="eastAsia"/>
                            <w:sz w:val="18"/>
                            <w:szCs w:val="18"/>
                          </w:rPr>
                          <w:t>資料來源：整理自國</w:t>
                        </w:r>
                        <w:r>
                          <w:rPr>
                            <w:rFonts w:ascii="標楷體" w:eastAsia="標楷體" w:hAnsi="標楷體" w:hint="eastAsia"/>
                            <w:sz w:val="18"/>
                            <w:szCs w:val="18"/>
                          </w:rPr>
                          <w:t>家</w:t>
                        </w:r>
                        <w:r w:rsidRPr="00191B7D">
                          <w:rPr>
                            <w:rFonts w:ascii="標楷體" w:eastAsia="標楷體" w:hAnsi="標楷體" w:hint="eastAsia"/>
                            <w:sz w:val="18"/>
                            <w:szCs w:val="18"/>
                          </w:rPr>
                          <w:t>發</w:t>
                        </w:r>
                        <w:r>
                          <w:rPr>
                            <w:rFonts w:ascii="標楷體" w:eastAsia="標楷體" w:hAnsi="標楷體" w:hint="eastAsia"/>
                            <w:sz w:val="18"/>
                            <w:szCs w:val="18"/>
                          </w:rPr>
                          <w:t>展</w:t>
                        </w:r>
                        <w:r>
                          <w:rPr>
                            <w:rFonts w:ascii="標楷體" w:eastAsia="標楷體" w:hAnsi="標楷體"/>
                            <w:sz w:val="18"/>
                            <w:szCs w:val="18"/>
                          </w:rPr>
                          <w:t>委員</w:t>
                        </w:r>
                        <w:r w:rsidRPr="00191B7D">
                          <w:rPr>
                            <w:rFonts w:ascii="標楷體" w:eastAsia="標楷體" w:hAnsi="標楷體" w:hint="eastAsia"/>
                            <w:sz w:val="18"/>
                            <w:szCs w:val="18"/>
                          </w:rPr>
                          <w:t>會公布之112年度法規鬆綁成果資料。</w:t>
                        </w:r>
                      </w:p>
                    </w:txbxContent>
                  </v:textbox>
                </v:shape>
                <v:shape id="文字方塊 10" o:spid="_x0000_s1036" type="#_x0000_t202" style="position:absolute;left:40767;top:39347;width:3200;height:2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0B56A7E7" w14:textId="77777777" w:rsidR="00A0212B" w:rsidRPr="00191B7D" w:rsidRDefault="00A0212B" w:rsidP="004D7C92">
                        <w:pPr>
                          <w:spacing w:line="240" w:lineRule="exact"/>
                          <w:jc w:val="center"/>
                          <w:rPr>
                            <w:rFonts w:ascii="標楷體" w:eastAsia="標楷體" w:hAnsi="標楷體"/>
                            <w:sz w:val="18"/>
                            <w:szCs w:val="18"/>
                          </w:rPr>
                        </w:pPr>
                        <w:r w:rsidRPr="00191B7D">
                          <w:rPr>
                            <w:rFonts w:ascii="標楷體" w:eastAsia="標楷體" w:hAnsi="標楷體" w:hint="eastAsia"/>
                            <w:sz w:val="18"/>
                            <w:szCs w:val="18"/>
                          </w:rPr>
                          <w:t>項</w:t>
                        </w:r>
                      </w:p>
                    </w:txbxContent>
                  </v:textbox>
                </v:shape>
                <w10:wrap type="tight" anchorx="margin"/>
              </v:group>
            </w:pict>
          </mc:Fallback>
        </mc:AlternateContent>
      </w:r>
      <w:r w:rsidRPr="00F60428">
        <w:rPr>
          <w:rFonts w:ascii="標楷體" w:eastAsia="標楷體" w:hAnsi="標楷體" w:cs="標楷體" w:hint="eastAsia"/>
          <w:kern w:val="52"/>
          <w:szCs w:val="32"/>
        </w:rPr>
        <w:t>財經相關部會</w:t>
      </w:r>
      <w:r w:rsidR="00DC5EF1" w:rsidRPr="004D7C92">
        <w:rPr>
          <w:rFonts w:ascii="標楷體" w:eastAsia="標楷體" w:hAnsi="標楷體" w:cs="標楷體" w:hint="eastAsia"/>
          <w:kern w:val="52"/>
          <w:szCs w:val="32"/>
        </w:rPr>
        <w:t>【</w:t>
      </w:r>
      <w:r w:rsidRPr="004D7C92">
        <w:rPr>
          <w:rFonts w:ascii="標楷體" w:eastAsia="標楷體" w:hAnsi="標楷體" w:cs="標楷體" w:hint="eastAsia"/>
          <w:kern w:val="52"/>
          <w:szCs w:val="32"/>
        </w:rPr>
        <w:t>財政部、金融監督管理委員會（下稱金管會）、經濟部、勞動部、行政院公共工程委員會（下稱工程會）</w:t>
      </w:r>
      <w:r w:rsidR="00DC5EF1" w:rsidRPr="004D7C92">
        <w:rPr>
          <w:rFonts w:ascii="標楷體" w:eastAsia="標楷體" w:hAnsi="標楷體" w:cs="標楷體" w:hint="eastAsia"/>
          <w:kern w:val="52"/>
          <w:szCs w:val="32"/>
        </w:rPr>
        <w:t>】</w:t>
      </w:r>
      <w:r w:rsidRPr="00F60428">
        <w:rPr>
          <w:rFonts w:ascii="標楷體" w:eastAsia="標楷體" w:hAnsi="標楷體" w:cs="標楷體" w:hint="eastAsia"/>
          <w:kern w:val="52"/>
          <w:szCs w:val="32"/>
        </w:rPr>
        <w:t>提出者，計有940項，約占全部項數之51.31％（</w:t>
      </w:r>
      <w:r w:rsidRPr="00855CF4">
        <w:rPr>
          <w:rFonts w:ascii="標楷體" w:eastAsia="標楷體" w:hAnsi="標楷體" w:cs="標楷體" w:hint="eastAsia"/>
          <w:kern w:val="52"/>
          <w:szCs w:val="32"/>
        </w:rPr>
        <w:t>圖</w:t>
      </w:r>
      <w:r w:rsidRPr="00855CF4">
        <w:rPr>
          <w:rFonts w:ascii="標楷體" w:eastAsia="標楷體" w:hAnsi="標楷體" w:cs="新細明體"/>
          <w:bCs/>
          <w:kern w:val="0"/>
          <w:szCs w:val="24"/>
        </w:rPr>
        <w:t>6</w:t>
      </w:r>
      <w:r w:rsidRPr="00F60428">
        <w:rPr>
          <w:rFonts w:ascii="標楷體" w:eastAsia="標楷體" w:hAnsi="標楷體" w:cs="標楷體" w:hint="eastAsia"/>
          <w:kern w:val="52"/>
          <w:szCs w:val="32"/>
        </w:rPr>
        <w:t>）。經據本部調查上開財經部會截至112年底待完成排除投資障礙鬆綁法規情形，各該部會查復均無待修訂法規項目。惟據經濟部投資審議司112年度提出之「『全球投資政策、審查機制及趨勢研究計畫』調查與管理」報告列載，僑外資企業在我國面臨之投資障礙，列有「政策法規不夠明確」等6項，以「國內法規限制太多」占比19.57％最多、「政策法規不夠明確」占比17.11％次之、「國外人員來臺工作管制過多」占比13.89％再次之。又國</w:t>
      </w:r>
      <w:r w:rsidR="00DC5EF1">
        <w:rPr>
          <w:rFonts w:ascii="標楷體" w:eastAsia="標楷體" w:hAnsi="標楷體" w:cs="標楷體" w:hint="eastAsia"/>
          <w:kern w:val="52"/>
          <w:szCs w:val="32"/>
        </w:rPr>
        <w:t>家</w:t>
      </w:r>
      <w:r w:rsidRPr="00F60428">
        <w:rPr>
          <w:rFonts w:ascii="標楷體" w:eastAsia="標楷體" w:hAnsi="標楷體" w:cs="標楷體" w:hint="eastAsia"/>
          <w:kern w:val="52"/>
          <w:szCs w:val="32"/>
        </w:rPr>
        <w:t>發</w:t>
      </w:r>
      <w:r w:rsidR="00DC5EF1">
        <w:rPr>
          <w:rFonts w:ascii="標楷體" w:eastAsia="標楷體" w:hAnsi="標楷體" w:cs="標楷體" w:hint="eastAsia"/>
          <w:kern w:val="52"/>
          <w:szCs w:val="32"/>
        </w:rPr>
        <w:t>展委員</w:t>
      </w:r>
      <w:r w:rsidRPr="00F60428">
        <w:rPr>
          <w:rFonts w:ascii="標楷體" w:eastAsia="標楷體" w:hAnsi="標楷體" w:cs="標楷體" w:hint="eastAsia"/>
          <w:kern w:val="52"/>
          <w:szCs w:val="32"/>
        </w:rPr>
        <w:t>會為促進國內產業發展，針對台灣美國商會、歐洲在臺商務協會、台北市日本工商會及中華民國全國工業總會歷年所提建言，請相關部會提出具體回應說明。據台灣美國商會提出2020至2022年台灣白皮書統計結果，計提出281項建議意見，該會追蹤議題處理進度，其中26項已解決、59項由政府進行後續追蹤、104項政府已注意該議題，有待督促相關部會持續評估檢討是否修訂。另經濟部前為簡化投資申辦程序，吸引外國人投資，業於86年1月19日提出外人投資條例及華僑回國投資條例修正案，列入五加二產業創新計畫之「亞洲．矽谷推動方案」重大財經法制改革事項之一，並自105年度著手修法事宜，於108年經行政院會通過送請立法院審議，惟因109年1月立法院議案屆期不續審及仍有部分疑慮待跨部會溝通協調等，截至112年底各該法規仍待經濟部重新檢討修正。又近年國際間因地緣政治風險續增，多數國家透過立（修）法方式提高對外資審查之密度並加入國安審查</w:t>
      </w:r>
      <w:r w:rsidRPr="00F60428">
        <w:rPr>
          <w:rFonts w:ascii="標楷體" w:eastAsia="標楷體" w:hAnsi="標楷體" w:cs="標楷體" w:hint="eastAsia"/>
          <w:kern w:val="52"/>
          <w:szCs w:val="32"/>
        </w:rPr>
        <w:lastRenderedPageBreak/>
        <w:t>條款，依據經濟合作暨發展組織（Organisation for Economic Cooperation and Development, OECD）於2023年4月公布對61國所作調查統計結果，自2021年10月16日至2023年3月15日之18個月間，共有20國公布或修正與國家安全有關之外資審查機制。鑑於上開外國人投資條例於86年11月19日公布迄至112年底，已逾26年</w:t>
      </w:r>
      <w:r w:rsidR="00DC5EF1">
        <w:rPr>
          <w:rFonts w:ascii="標楷體" w:eastAsia="標楷體" w:hAnsi="標楷體" w:cs="標楷體" w:hint="eastAsia"/>
          <w:kern w:val="52"/>
          <w:szCs w:val="32"/>
        </w:rPr>
        <w:t>未經修正</w:t>
      </w:r>
      <w:r w:rsidRPr="00F60428">
        <w:rPr>
          <w:rFonts w:ascii="標楷體" w:eastAsia="標楷體" w:hAnsi="標楷體" w:cs="標楷體" w:hint="eastAsia"/>
          <w:kern w:val="52"/>
          <w:szCs w:val="32"/>
        </w:rPr>
        <w:t>，</w:t>
      </w:r>
      <w:r w:rsidR="00DC5EF1" w:rsidRPr="00F60428">
        <w:rPr>
          <w:rFonts w:ascii="標楷體" w:eastAsia="標楷體" w:hAnsi="標楷體" w:cs="標楷體" w:hint="eastAsia"/>
          <w:kern w:val="52"/>
          <w:szCs w:val="32"/>
        </w:rPr>
        <w:t>經函請行政院</w:t>
      </w:r>
      <w:r w:rsidR="00524031">
        <w:rPr>
          <w:rFonts w:ascii="標楷體" w:eastAsia="標楷體" w:hAnsi="標楷體" w:cs="標楷體" w:hint="eastAsia"/>
          <w:kern w:val="52"/>
          <w:szCs w:val="32"/>
        </w:rPr>
        <w:t>督促審慎檢視法規之合宜性，以排除投資障礙與維護產業發展安全</w:t>
      </w:r>
      <w:r w:rsidRPr="00F60428">
        <w:rPr>
          <w:rFonts w:ascii="標楷體" w:eastAsia="標楷體" w:hAnsi="標楷體" w:cs="標楷體" w:hint="eastAsia"/>
          <w:kern w:val="52"/>
          <w:szCs w:val="32"/>
        </w:rPr>
        <w:t>。據復：</w:t>
      </w:r>
      <w:r w:rsidRPr="004D7C92">
        <w:rPr>
          <w:rFonts w:ascii="標楷體" w:eastAsia="標楷體" w:hAnsi="標楷體" w:cs="標楷體" w:hint="eastAsia"/>
          <w:kern w:val="52"/>
          <w:szCs w:val="32"/>
        </w:rPr>
        <w:t>國</w:t>
      </w:r>
      <w:r w:rsidR="00524031" w:rsidRPr="004D7C92">
        <w:rPr>
          <w:rFonts w:ascii="標楷體" w:eastAsia="標楷體" w:hAnsi="標楷體" w:cs="標楷體" w:hint="eastAsia"/>
          <w:kern w:val="52"/>
          <w:szCs w:val="32"/>
        </w:rPr>
        <w:t>家</w:t>
      </w:r>
      <w:r w:rsidRPr="004D7C92">
        <w:rPr>
          <w:rFonts w:ascii="標楷體" w:eastAsia="標楷體" w:hAnsi="標楷體" w:cs="標楷體" w:hint="eastAsia"/>
          <w:kern w:val="52"/>
          <w:szCs w:val="32"/>
        </w:rPr>
        <w:t>發</w:t>
      </w:r>
      <w:r w:rsidR="00524031" w:rsidRPr="004D7C92">
        <w:rPr>
          <w:rFonts w:ascii="標楷體" w:eastAsia="標楷體" w:hAnsi="標楷體" w:cs="標楷體" w:hint="eastAsia"/>
          <w:kern w:val="52"/>
          <w:szCs w:val="32"/>
        </w:rPr>
        <w:t>展委員</w:t>
      </w:r>
      <w:r w:rsidRPr="004D7C92">
        <w:rPr>
          <w:rFonts w:ascii="標楷體" w:eastAsia="標楷體" w:hAnsi="標楷體" w:cs="標楷體" w:hint="eastAsia"/>
          <w:kern w:val="52"/>
          <w:szCs w:val="32"/>
        </w:rPr>
        <w:t>會將賡續敦促部會掌握企業及工商團體需求，並因應數位經濟趨勢，戮力檢討及鬆綁阻礙產業發展之法規函釋，完善我國整體投資法制環境。針對外國人投資條例之修法案，經濟部持續評估檢討中，在未修法前，就外資投資流程及申請書表等進行滾動式調整修正，以簡化外資投資之申請與審核程序，提供優質之投資環境</w:t>
      </w:r>
      <w:r w:rsidRPr="00F60428">
        <w:rPr>
          <w:rFonts w:ascii="標楷體" w:eastAsia="標楷體" w:hAnsi="標楷體" w:cs="標楷體" w:hint="eastAsia"/>
          <w:kern w:val="52"/>
          <w:szCs w:val="32"/>
        </w:rPr>
        <w:t>。</w:t>
      </w:r>
    </w:p>
    <w:p w14:paraId="7856FE60" w14:textId="78D51041" w:rsidR="00F60428" w:rsidRPr="00F60428" w:rsidRDefault="00B46290" w:rsidP="00E16A4D">
      <w:pPr>
        <w:overflowPunct w:val="0"/>
        <w:adjustRightInd w:val="0"/>
        <w:snapToGrid w:val="0"/>
        <w:spacing w:line="410" w:lineRule="exact"/>
        <w:ind w:firstLineChars="350" w:firstLine="1120"/>
        <w:jc w:val="both"/>
        <w:rPr>
          <w:rFonts w:ascii="標楷體" w:eastAsia="標楷體" w:hAnsi="標楷體" w:cs="標楷體"/>
          <w:kern w:val="52"/>
          <w:szCs w:val="32"/>
        </w:rPr>
      </w:pPr>
      <w:r w:rsidRPr="00F60428">
        <w:rPr>
          <w:rFonts w:ascii="標楷體" w:eastAsia="標楷體" w:hAnsi="標楷體" w:cs="標楷體"/>
          <w:noProof/>
          <w:spacing w:val="-4"/>
          <w:kern w:val="52"/>
          <w:sz w:val="32"/>
          <w:szCs w:val="32"/>
        </w:rPr>
        <mc:AlternateContent>
          <mc:Choice Requires="wps">
            <w:drawing>
              <wp:anchor distT="0" distB="0" distL="114300" distR="114300" simplePos="0" relativeHeight="251636736" behindDoc="0" locked="0" layoutInCell="1" allowOverlap="1" wp14:anchorId="50EB6A46" wp14:editId="5CC7DA02">
                <wp:simplePos x="0" y="0"/>
                <wp:positionH relativeFrom="margin">
                  <wp:posOffset>3299672</wp:posOffset>
                </wp:positionH>
                <wp:positionV relativeFrom="paragraph">
                  <wp:posOffset>2514600</wp:posOffset>
                </wp:positionV>
                <wp:extent cx="3009900" cy="2857500"/>
                <wp:effectExtent l="0" t="0" r="0" b="0"/>
                <wp:wrapSquare wrapText="bothSides"/>
                <wp:docPr id="12" name="文字方塊 12"/>
                <wp:cNvGraphicFramePr/>
                <a:graphic xmlns:a="http://schemas.openxmlformats.org/drawingml/2006/main">
                  <a:graphicData uri="http://schemas.microsoft.com/office/word/2010/wordprocessingShape">
                    <wps:wsp>
                      <wps:cNvSpPr txBox="1"/>
                      <wps:spPr>
                        <a:xfrm>
                          <a:off x="0" y="0"/>
                          <a:ext cx="3009900" cy="2857500"/>
                        </a:xfrm>
                        <a:prstGeom prst="rect">
                          <a:avLst/>
                        </a:prstGeom>
                        <a:noFill/>
                        <a:ln w="6350">
                          <a:noFill/>
                        </a:ln>
                      </wps:spPr>
                      <wps:txbx>
                        <w:txbxContent>
                          <w:p w14:paraId="7AAF1FF9" w14:textId="305DE3BE" w:rsidR="00A0212B" w:rsidRPr="00085ABB" w:rsidRDefault="00A0212B" w:rsidP="004D7C92">
                            <w:pPr>
                              <w:pStyle w:val="-1"/>
                              <w:ind w:left="649" w:hangingChars="270" w:hanging="649"/>
                              <w:jc w:val="both"/>
                            </w:pPr>
                            <w:r w:rsidRPr="00D66880">
                              <w:rPr>
                                <w:rFonts w:hint="eastAsia"/>
                              </w:rPr>
                              <w:t>表</w:t>
                            </w:r>
                            <w:r>
                              <w:rPr>
                                <w:rFonts w:hint="eastAsia"/>
                              </w:rPr>
                              <w:t>6</w:t>
                            </w:r>
                            <w:r w:rsidRPr="00085ABB">
                              <w:rPr>
                                <w:rFonts w:hint="eastAsia"/>
                              </w:rPr>
                              <w:t xml:space="preserve">　</w:t>
                            </w:r>
                            <w:r w:rsidRPr="0009651A">
                              <w:rPr>
                                <w:rFonts w:hint="eastAsia"/>
                              </w:rPr>
                              <w:t>截</w:t>
                            </w:r>
                            <w:r w:rsidRPr="0009651A">
                              <w:t>至112</w:t>
                            </w:r>
                            <w:r w:rsidRPr="0009651A">
                              <w:rPr>
                                <w:rFonts w:hint="eastAsia"/>
                              </w:rPr>
                              <w:t>年</w:t>
                            </w:r>
                            <w:r w:rsidRPr="0009651A">
                              <w:t>底</w:t>
                            </w:r>
                            <w:r w:rsidRPr="0009651A">
                              <w:rPr>
                                <w:rFonts w:hint="eastAsia"/>
                              </w:rPr>
                              <w:t>境外資金匯回案件</w:t>
                            </w:r>
                            <w:r>
                              <w:rPr>
                                <w:rFonts w:hint="eastAsia"/>
                              </w:rPr>
                              <w:t>之</w:t>
                            </w:r>
                            <w:r w:rsidRPr="0009651A">
                              <w:rPr>
                                <w:rFonts w:hint="eastAsia"/>
                              </w:rPr>
                              <w:t>資金用途</w:t>
                            </w:r>
                            <w:r>
                              <w:rPr>
                                <w:rFonts w:hint="eastAsia"/>
                              </w:rPr>
                              <w:t>情</w:t>
                            </w:r>
                            <w:r>
                              <w:t>形</w:t>
                            </w:r>
                          </w:p>
                          <w:p w14:paraId="2B6A86D9" w14:textId="77777777" w:rsidR="00A0212B" w:rsidRPr="00191B7D" w:rsidRDefault="00A0212B" w:rsidP="004D7C92">
                            <w:pPr>
                              <w:spacing w:line="240" w:lineRule="exact"/>
                              <w:ind w:firstLine="902"/>
                              <w:jc w:val="right"/>
                              <w:rPr>
                                <w:rFonts w:ascii="標楷體" w:eastAsia="標楷體" w:hAnsi="標楷體"/>
                                <w:sz w:val="20"/>
                              </w:rPr>
                            </w:pPr>
                            <w:r w:rsidRPr="00191B7D">
                              <w:rPr>
                                <w:rFonts w:ascii="標楷體" w:eastAsia="標楷體" w:hAnsi="標楷體" w:hint="eastAsia"/>
                                <w:sz w:val="20"/>
                              </w:rPr>
                              <w:t>單</w:t>
                            </w:r>
                            <w:r w:rsidRPr="00191B7D">
                              <w:rPr>
                                <w:rFonts w:ascii="標楷體" w:eastAsia="標楷體" w:hAnsi="標楷體"/>
                                <w:sz w:val="20"/>
                              </w:rPr>
                              <w:t>位：</w:t>
                            </w:r>
                            <w:r w:rsidRPr="00191B7D">
                              <w:rPr>
                                <w:rFonts w:ascii="標楷體" w:eastAsia="標楷體" w:hAnsi="標楷體" w:hint="eastAsia"/>
                                <w:sz w:val="20"/>
                              </w:rPr>
                              <w:t>新</w:t>
                            </w:r>
                            <w:r w:rsidRPr="00191B7D">
                              <w:rPr>
                                <w:rFonts w:ascii="標楷體" w:eastAsia="標楷體" w:hAnsi="標楷體"/>
                                <w:sz w:val="20"/>
                              </w:rPr>
                              <w:t>臺幣億元</w:t>
                            </w:r>
                            <w:r w:rsidRPr="00191B7D">
                              <w:rPr>
                                <w:rFonts w:ascii="標楷體" w:eastAsia="標楷體" w:hAnsi="標楷體" w:hint="eastAsia"/>
                                <w:sz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3"/>
                              <w:gridCol w:w="2372"/>
                              <w:gridCol w:w="1061"/>
                              <w:gridCol w:w="837"/>
                            </w:tblGrid>
                            <w:tr w:rsidR="00A0212B" w:rsidRPr="00085ABB" w14:paraId="27EFFE93" w14:textId="77777777" w:rsidTr="004D7C92">
                              <w:trPr>
                                <w:trHeight w:val="397"/>
                                <w:jc w:val="center"/>
                              </w:trPr>
                              <w:tc>
                                <w:tcPr>
                                  <w:tcW w:w="2898" w:type="pct"/>
                                  <w:gridSpan w:val="2"/>
                                  <w:shd w:val="clear" w:color="auto" w:fill="auto"/>
                                  <w:vAlign w:val="center"/>
                                </w:tcPr>
                                <w:p w14:paraId="30C4022F" w14:textId="77777777" w:rsidR="00A0212B" w:rsidRPr="00085ABB" w:rsidRDefault="00A0212B" w:rsidP="004D7C92">
                                  <w:pPr>
                                    <w:pStyle w:val="affffff7"/>
                                    <w:jc w:val="center"/>
                                  </w:pPr>
                                  <w:r>
                                    <w:rPr>
                                      <w:rFonts w:hint="eastAsia"/>
                                    </w:rPr>
                                    <w:t>項目</w:t>
                                  </w:r>
                                </w:p>
                              </w:tc>
                              <w:tc>
                                <w:tcPr>
                                  <w:tcW w:w="1175" w:type="pct"/>
                                  <w:shd w:val="clear" w:color="auto" w:fill="auto"/>
                                  <w:noWrap/>
                                  <w:vAlign w:val="center"/>
                                </w:tcPr>
                                <w:p w14:paraId="6A948642" w14:textId="77777777" w:rsidR="00A0212B" w:rsidRPr="00085ABB" w:rsidRDefault="00A0212B" w:rsidP="004D7C92">
                                  <w:pPr>
                                    <w:pStyle w:val="affffff7"/>
                                    <w:jc w:val="center"/>
                                  </w:pPr>
                                  <w:r w:rsidRPr="00085ABB">
                                    <w:rPr>
                                      <w:rFonts w:hint="eastAsia"/>
                                    </w:rPr>
                                    <w:t>金</w:t>
                                  </w:r>
                                  <w:r w:rsidRPr="00085ABB">
                                    <w:t>額</w:t>
                                  </w:r>
                                </w:p>
                              </w:tc>
                              <w:tc>
                                <w:tcPr>
                                  <w:tcW w:w="927" w:type="pct"/>
                                  <w:tcBorders>
                                    <w:bottom w:val="single" w:sz="4" w:space="0" w:color="auto"/>
                                  </w:tcBorders>
                                  <w:shd w:val="clear" w:color="auto" w:fill="auto"/>
                                  <w:vAlign w:val="center"/>
                                </w:tcPr>
                                <w:p w14:paraId="5EEF933A" w14:textId="77777777" w:rsidR="00A0212B" w:rsidRPr="00085ABB" w:rsidRDefault="00A0212B" w:rsidP="004D7C92">
                                  <w:pPr>
                                    <w:pStyle w:val="affffff7"/>
                                    <w:jc w:val="center"/>
                                  </w:pPr>
                                  <w:r w:rsidRPr="00085ABB">
                                    <w:rPr>
                                      <w:rFonts w:hint="eastAsia"/>
                                    </w:rPr>
                                    <w:t>占</w:t>
                                  </w:r>
                                  <w:r w:rsidRPr="00085ABB">
                                    <w:t>比</w:t>
                                  </w:r>
                                </w:p>
                              </w:tc>
                            </w:tr>
                            <w:tr w:rsidR="00A0212B" w:rsidRPr="00085ABB" w14:paraId="2F5BBA48" w14:textId="77777777" w:rsidTr="00F60428">
                              <w:trPr>
                                <w:trHeight w:val="397"/>
                                <w:jc w:val="center"/>
                              </w:trPr>
                              <w:tc>
                                <w:tcPr>
                                  <w:tcW w:w="2898" w:type="pct"/>
                                  <w:gridSpan w:val="2"/>
                                  <w:shd w:val="clear" w:color="auto" w:fill="auto"/>
                                  <w:vAlign w:val="center"/>
                                  <w:hideMark/>
                                </w:tcPr>
                                <w:p w14:paraId="3D061376" w14:textId="77777777" w:rsidR="00A0212B" w:rsidRPr="00085ABB" w:rsidRDefault="00A0212B" w:rsidP="004D7C92">
                                  <w:pPr>
                                    <w:pStyle w:val="affffff7"/>
                                    <w:rPr>
                                      <w:b/>
                                    </w:rPr>
                                  </w:pPr>
                                  <w:r>
                                    <w:rPr>
                                      <w:rFonts w:hint="eastAsia"/>
                                      <w:b/>
                                    </w:rPr>
                                    <w:t>實</w:t>
                                  </w:r>
                                  <w:r>
                                    <w:rPr>
                                      <w:b/>
                                    </w:rPr>
                                    <w:t>際</w:t>
                                  </w:r>
                                  <w:r>
                                    <w:rPr>
                                      <w:rFonts w:hint="eastAsia"/>
                                      <w:b/>
                                    </w:rPr>
                                    <w:t>匯</w:t>
                                  </w:r>
                                  <w:r>
                                    <w:rPr>
                                      <w:b/>
                                    </w:rPr>
                                    <w:t>回金額</w:t>
                                  </w:r>
                                </w:p>
                              </w:tc>
                              <w:tc>
                                <w:tcPr>
                                  <w:tcW w:w="1175" w:type="pct"/>
                                  <w:shd w:val="clear" w:color="auto" w:fill="auto"/>
                                  <w:noWrap/>
                                  <w:vAlign w:val="center"/>
                                  <w:hideMark/>
                                </w:tcPr>
                                <w:p w14:paraId="2D256957" w14:textId="77777777" w:rsidR="00A0212B" w:rsidRPr="00085ABB" w:rsidRDefault="00A0212B" w:rsidP="004D7C92">
                                  <w:pPr>
                                    <w:pStyle w:val="affffff7"/>
                                    <w:jc w:val="right"/>
                                    <w:rPr>
                                      <w:b/>
                                    </w:rPr>
                                  </w:pPr>
                                  <w:r w:rsidRPr="00085ABB">
                                    <w:rPr>
                                      <w:rFonts w:hint="eastAsia"/>
                                      <w:b/>
                                    </w:rPr>
                                    <w:t>3,351</w:t>
                                  </w:r>
                                </w:p>
                              </w:tc>
                              <w:tc>
                                <w:tcPr>
                                  <w:tcW w:w="927" w:type="pct"/>
                                  <w:vMerge w:val="restart"/>
                                  <w:tcBorders>
                                    <w:tl2br w:val="single" w:sz="4" w:space="0" w:color="auto"/>
                                  </w:tcBorders>
                                  <w:vAlign w:val="center"/>
                                </w:tcPr>
                                <w:p w14:paraId="0F46EF6C" w14:textId="77777777" w:rsidR="00A0212B" w:rsidRPr="00085ABB" w:rsidRDefault="00A0212B" w:rsidP="004D7C92">
                                  <w:pPr>
                                    <w:pStyle w:val="affffff7"/>
                                    <w:jc w:val="right"/>
                                    <w:rPr>
                                      <w:b/>
                                    </w:rPr>
                                  </w:pPr>
                                </w:p>
                              </w:tc>
                            </w:tr>
                            <w:tr w:rsidR="00A0212B" w:rsidRPr="00085ABB" w14:paraId="6668F388" w14:textId="77777777" w:rsidTr="00F60428">
                              <w:trPr>
                                <w:trHeight w:val="397"/>
                                <w:jc w:val="center"/>
                              </w:trPr>
                              <w:tc>
                                <w:tcPr>
                                  <w:tcW w:w="2898" w:type="pct"/>
                                  <w:gridSpan w:val="2"/>
                                  <w:shd w:val="clear" w:color="auto" w:fill="auto"/>
                                  <w:vAlign w:val="center"/>
                                  <w:hideMark/>
                                </w:tcPr>
                                <w:p w14:paraId="6D0630E6" w14:textId="77777777" w:rsidR="00A0212B" w:rsidRPr="00085ABB" w:rsidRDefault="00A0212B" w:rsidP="004D7C92">
                                  <w:pPr>
                                    <w:pStyle w:val="affffff7"/>
                                  </w:pPr>
                                  <w:r w:rsidRPr="00085ABB">
                                    <w:rPr>
                                      <w:rFonts w:hint="eastAsia"/>
                                    </w:rPr>
                                    <w:t>扣繳稅額</w:t>
                                  </w:r>
                                </w:p>
                              </w:tc>
                              <w:tc>
                                <w:tcPr>
                                  <w:tcW w:w="1175" w:type="pct"/>
                                  <w:shd w:val="clear" w:color="auto" w:fill="auto"/>
                                  <w:noWrap/>
                                  <w:vAlign w:val="center"/>
                                  <w:hideMark/>
                                </w:tcPr>
                                <w:p w14:paraId="218ED21B" w14:textId="77777777" w:rsidR="00A0212B" w:rsidRPr="00085ABB" w:rsidRDefault="00A0212B" w:rsidP="004D7C92">
                                  <w:pPr>
                                    <w:pStyle w:val="affffff7"/>
                                    <w:jc w:val="right"/>
                                  </w:pPr>
                                  <w:r w:rsidRPr="00085ABB">
                                    <w:rPr>
                                      <w:rFonts w:hint="eastAsia"/>
                                    </w:rPr>
                                    <w:t>292</w:t>
                                  </w:r>
                                </w:p>
                              </w:tc>
                              <w:tc>
                                <w:tcPr>
                                  <w:tcW w:w="927" w:type="pct"/>
                                  <w:vMerge/>
                                  <w:tcBorders>
                                    <w:tl2br w:val="single" w:sz="4" w:space="0" w:color="auto"/>
                                  </w:tcBorders>
                                  <w:vAlign w:val="center"/>
                                </w:tcPr>
                                <w:p w14:paraId="7F1F14AB" w14:textId="77777777" w:rsidR="00A0212B" w:rsidRPr="00085ABB" w:rsidRDefault="00A0212B" w:rsidP="004D7C92">
                                  <w:pPr>
                                    <w:pStyle w:val="affffff7"/>
                                    <w:jc w:val="right"/>
                                  </w:pPr>
                                </w:p>
                              </w:tc>
                            </w:tr>
                            <w:tr w:rsidR="00A0212B" w:rsidRPr="00085ABB" w14:paraId="33D783C6" w14:textId="77777777" w:rsidTr="00F60428">
                              <w:trPr>
                                <w:trHeight w:val="397"/>
                                <w:jc w:val="center"/>
                              </w:trPr>
                              <w:tc>
                                <w:tcPr>
                                  <w:tcW w:w="2898" w:type="pct"/>
                                  <w:gridSpan w:val="2"/>
                                  <w:tcBorders>
                                    <w:bottom w:val="nil"/>
                                  </w:tcBorders>
                                  <w:shd w:val="clear" w:color="auto" w:fill="auto"/>
                                  <w:vAlign w:val="center"/>
                                </w:tcPr>
                                <w:p w14:paraId="63539BB8" w14:textId="77777777" w:rsidR="00A0212B" w:rsidRPr="0009651A" w:rsidRDefault="00A0212B" w:rsidP="004D7C92">
                                  <w:pPr>
                                    <w:pStyle w:val="affffff7"/>
                                    <w:rPr>
                                      <w:b/>
                                    </w:rPr>
                                  </w:pPr>
                                  <w:r w:rsidRPr="0009651A">
                                    <w:rPr>
                                      <w:rFonts w:hint="eastAsia"/>
                                      <w:b/>
                                    </w:rPr>
                                    <w:t>扣</w:t>
                                  </w:r>
                                  <w:r w:rsidRPr="0009651A">
                                    <w:rPr>
                                      <w:b/>
                                    </w:rPr>
                                    <w:t>繳稅</w:t>
                                  </w:r>
                                  <w:r w:rsidRPr="0009651A">
                                    <w:rPr>
                                      <w:rFonts w:hint="eastAsia"/>
                                      <w:b/>
                                    </w:rPr>
                                    <w:t>額</w:t>
                                  </w:r>
                                  <w:r w:rsidRPr="0009651A">
                                    <w:rPr>
                                      <w:b/>
                                    </w:rPr>
                                    <w:t>後金額</w:t>
                                  </w:r>
                                </w:p>
                              </w:tc>
                              <w:tc>
                                <w:tcPr>
                                  <w:tcW w:w="1175" w:type="pct"/>
                                  <w:shd w:val="clear" w:color="auto" w:fill="auto"/>
                                  <w:noWrap/>
                                  <w:vAlign w:val="center"/>
                                </w:tcPr>
                                <w:p w14:paraId="1989D097" w14:textId="77777777" w:rsidR="00A0212B" w:rsidRPr="0009651A" w:rsidRDefault="00A0212B" w:rsidP="004D7C92">
                                  <w:pPr>
                                    <w:pStyle w:val="affffff7"/>
                                    <w:jc w:val="right"/>
                                    <w:rPr>
                                      <w:b/>
                                    </w:rPr>
                                  </w:pPr>
                                  <w:r w:rsidRPr="0009651A">
                                    <w:rPr>
                                      <w:rFonts w:hint="eastAsia"/>
                                      <w:b/>
                                    </w:rPr>
                                    <w:t>3,059</w:t>
                                  </w:r>
                                </w:p>
                              </w:tc>
                              <w:tc>
                                <w:tcPr>
                                  <w:tcW w:w="927" w:type="pct"/>
                                  <w:vAlign w:val="center"/>
                                </w:tcPr>
                                <w:p w14:paraId="5713F62A" w14:textId="77777777" w:rsidR="00A0212B" w:rsidRPr="0009651A" w:rsidRDefault="00A0212B" w:rsidP="004D7C92">
                                  <w:pPr>
                                    <w:pStyle w:val="affffff7"/>
                                    <w:jc w:val="right"/>
                                    <w:rPr>
                                      <w:b/>
                                    </w:rPr>
                                  </w:pPr>
                                  <w:r>
                                    <w:rPr>
                                      <w:rFonts w:hint="eastAsia"/>
                                      <w:b/>
                                    </w:rPr>
                                    <w:t>100.00</w:t>
                                  </w:r>
                                </w:p>
                              </w:tc>
                            </w:tr>
                            <w:tr w:rsidR="00A0212B" w:rsidRPr="00085ABB" w14:paraId="7C49DD16" w14:textId="77777777" w:rsidTr="004D7C92">
                              <w:trPr>
                                <w:trHeight w:val="397"/>
                                <w:jc w:val="center"/>
                              </w:trPr>
                              <w:tc>
                                <w:tcPr>
                                  <w:tcW w:w="270" w:type="pct"/>
                                  <w:vMerge w:val="restart"/>
                                  <w:tcBorders>
                                    <w:top w:val="nil"/>
                                  </w:tcBorders>
                                  <w:shd w:val="clear" w:color="auto" w:fill="auto"/>
                                  <w:vAlign w:val="center"/>
                                  <w:hideMark/>
                                </w:tcPr>
                                <w:p w14:paraId="6DE70696" w14:textId="77777777" w:rsidR="00A0212B" w:rsidRPr="00085ABB" w:rsidRDefault="00A0212B" w:rsidP="00F60428">
                                  <w:pPr>
                                    <w:pStyle w:val="affffff7"/>
                                    <w:ind w:firstLine="521"/>
                                  </w:pPr>
                                </w:p>
                              </w:tc>
                              <w:tc>
                                <w:tcPr>
                                  <w:tcW w:w="2628" w:type="pct"/>
                                  <w:tcBorders>
                                    <w:bottom w:val="single" w:sz="4" w:space="0" w:color="auto"/>
                                  </w:tcBorders>
                                  <w:shd w:val="clear" w:color="auto" w:fill="auto"/>
                                  <w:vAlign w:val="center"/>
                                </w:tcPr>
                                <w:p w14:paraId="52F4A985" w14:textId="77777777" w:rsidR="00A0212B" w:rsidRPr="00085ABB" w:rsidRDefault="00A0212B" w:rsidP="004D7C92">
                                  <w:pPr>
                                    <w:pStyle w:val="affffff7"/>
                                    <w:ind w:leftChars="100" w:left="240"/>
                                  </w:pPr>
                                  <w:r w:rsidRPr="00085ABB">
                                    <w:rPr>
                                      <w:rFonts w:hint="eastAsia"/>
                                    </w:rPr>
                                    <w:t>實質投資</w:t>
                                  </w:r>
                                </w:p>
                              </w:tc>
                              <w:tc>
                                <w:tcPr>
                                  <w:tcW w:w="1175" w:type="pct"/>
                                  <w:tcBorders>
                                    <w:bottom w:val="single" w:sz="4" w:space="0" w:color="auto"/>
                                  </w:tcBorders>
                                  <w:shd w:val="clear" w:color="auto" w:fill="auto"/>
                                  <w:noWrap/>
                                  <w:vAlign w:val="center"/>
                                  <w:hideMark/>
                                </w:tcPr>
                                <w:p w14:paraId="0F182511" w14:textId="77777777" w:rsidR="00A0212B" w:rsidRPr="00085ABB" w:rsidRDefault="00A0212B" w:rsidP="004D7C92">
                                  <w:pPr>
                                    <w:pStyle w:val="affffff7"/>
                                    <w:jc w:val="right"/>
                                  </w:pPr>
                                  <w:r w:rsidRPr="00085ABB">
                                    <w:rPr>
                                      <w:rFonts w:hint="eastAsia"/>
                                    </w:rPr>
                                    <w:t>1,629</w:t>
                                  </w:r>
                                </w:p>
                              </w:tc>
                              <w:tc>
                                <w:tcPr>
                                  <w:tcW w:w="927" w:type="pct"/>
                                  <w:tcBorders>
                                    <w:bottom w:val="single" w:sz="4" w:space="0" w:color="auto"/>
                                  </w:tcBorders>
                                  <w:vAlign w:val="center"/>
                                </w:tcPr>
                                <w:p w14:paraId="2C52B72C" w14:textId="77777777" w:rsidR="00A0212B" w:rsidRPr="00085ABB" w:rsidRDefault="00A0212B" w:rsidP="004D7C92">
                                  <w:pPr>
                                    <w:pStyle w:val="affffff7"/>
                                    <w:jc w:val="right"/>
                                  </w:pPr>
                                  <w:r>
                                    <w:rPr>
                                      <w:rFonts w:hint="eastAsia"/>
                                    </w:rPr>
                                    <w:t>53.25</w:t>
                                  </w:r>
                                </w:p>
                              </w:tc>
                            </w:tr>
                            <w:tr w:rsidR="00A0212B" w:rsidRPr="00085ABB" w14:paraId="5E3E45FE" w14:textId="77777777" w:rsidTr="004D7C92">
                              <w:trPr>
                                <w:trHeight w:val="397"/>
                                <w:jc w:val="center"/>
                              </w:trPr>
                              <w:tc>
                                <w:tcPr>
                                  <w:tcW w:w="270" w:type="pct"/>
                                  <w:vMerge/>
                                  <w:shd w:val="clear" w:color="auto" w:fill="auto"/>
                                  <w:vAlign w:val="center"/>
                                  <w:hideMark/>
                                </w:tcPr>
                                <w:p w14:paraId="38B3877C" w14:textId="77777777" w:rsidR="00A0212B" w:rsidRPr="00085ABB" w:rsidRDefault="00A0212B" w:rsidP="00F60428">
                                  <w:pPr>
                                    <w:pStyle w:val="affffff7"/>
                                    <w:ind w:firstLine="521"/>
                                  </w:pPr>
                                </w:p>
                              </w:tc>
                              <w:tc>
                                <w:tcPr>
                                  <w:tcW w:w="2628" w:type="pct"/>
                                  <w:tcBorders>
                                    <w:bottom w:val="single" w:sz="4" w:space="0" w:color="auto"/>
                                  </w:tcBorders>
                                  <w:shd w:val="thinDiagCross" w:color="BFBFBF" w:themeColor="background1" w:themeShade="BF" w:fill="FFFFFF" w:themeFill="background1"/>
                                  <w:vAlign w:val="center"/>
                                </w:tcPr>
                                <w:p w14:paraId="5A616880" w14:textId="77777777" w:rsidR="00A0212B" w:rsidRPr="00085ABB" w:rsidRDefault="00A0212B" w:rsidP="004D7C92">
                                  <w:pPr>
                                    <w:pStyle w:val="affffff7"/>
                                    <w:ind w:leftChars="100" w:left="240"/>
                                  </w:pPr>
                                  <w:r w:rsidRPr="00085ABB">
                                    <w:rPr>
                                      <w:rFonts w:hint="eastAsia"/>
                                    </w:rPr>
                                    <w:t>金融投資</w:t>
                                  </w:r>
                                </w:p>
                              </w:tc>
                              <w:tc>
                                <w:tcPr>
                                  <w:tcW w:w="1175" w:type="pct"/>
                                  <w:tcBorders>
                                    <w:bottom w:val="single" w:sz="4" w:space="0" w:color="auto"/>
                                  </w:tcBorders>
                                  <w:shd w:val="thinDiagCross" w:color="BFBFBF" w:themeColor="background1" w:themeShade="BF" w:fill="FFFFFF" w:themeFill="background1"/>
                                  <w:noWrap/>
                                  <w:vAlign w:val="center"/>
                                  <w:hideMark/>
                                </w:tcPr>
                                <w:p w14:paraId="65F2E923" w14:textId="77777777" w:rsidR="00A0212B" w:rsidRPr="00085ABB" w:rsidRDefault="00A0212B" w:rsidP="004D7C92">
                                  <w:pPr>
                                    <w:pStyle w:val="affffff7"/>
                                    <w:jc w:val="right"/>
                                  </w:pPr>
                                  <w:r w:rsidRPr="00085ABB">
                                    <w:rPr>
                                      <w:rFonts w:hint="eastAsia"/>
                                    </w:rPr>
                                    <w:t>136</w:t>
                                  </w:r>
                                </w:p>
                              </w:tc>
                              <w:tc>
                                <w:tcPr>
                                  <w:tcW w:w="927" w:type="pct"/>
                                  <w:tcBorders>
                                    <w:bottom w:val="single" w:sz="4" w:space="0" w:color="auto"/>
                                  </w:tcBorders>
                                  <w:shd w:val="thinDiagCross" w:color="BFBFBF" w:themeColor="background1" w:themeShade="BF" w:fill="FFFFFF" w:themeFill="background1"/>
                                  <w:vAlign w:val="center"/>
                                </w:tcPr>
                                <w:p w14:paraId="32E6E079" w14:textId="77777777" w:rsidR="00A0212B" w:rsidRPr="00085ABB" w:rsidRDefault="00A0212B" w:rsidP="004D7C92">
                                  <w:pPr>
                                    <w:pStyle w:val="affffff7"/>
                                    <w:jc w:val="right"/>
                                  </w:pPr>
                                  <w:r>
                                    <w:t>4.45</w:t>
                                  </w:r>
                                </w:p>
                              </w:tc>
                            </w:tr>
                            <w:tr w:rsidR="00A0212B" w:rsidRPr="00085ABB" w14:paraId="4CED92F6" w14:textId="77777777" w:rsidTr="004D7C92">
                              <w:trPr>
                                <w:trHeight w:val="397"/>
                                <w:jc w:val="center"/>
                              </w:trPr>
                              <w:tc>
                                <w:tcPr>
                                  <w:tcW w:w="270" w:type="pct"/>
                                  <w:vMerge/>
                                  <w:shd w:val="clear" w:color="auto" w:fill="auto"/>
                                  <w:vAlign w:val="center"/>
                                  <w:hideMark/>
                                </w:tcPr>
                                <w:p w14:paraId="160FF86B" w14:textId="77777777" w:rsidR="00A0212B" w:rsidRPr="00085ABB" w:rsidRDefault="00A0212B" w:rsidP="00F60428">
                                  <w:pPr>
                                    <w:pStyle w:val="affffff7"/>
                                    <w:ind w:firstLine="521"/>
                                  </w:pPr>
                                </w:p>
                              </w:tc>
                              <w:tc>
                                <w:tcPr>
                                  <w:tcW w:w="2628" w:type="pct"/>
                                  <w:shd w:val="clear" w:color="BFBFBF" w:themeColor="background1" w:themeShade="BF" w:fill="FFFFFF" w:themeFill="background1"/>
                                  <w:vAlign w:val="center"/>
                                </w:tcPr>
                                <w:p w14:paraId="7DB9DDDC" w14:textId="77777777" w:rsidR="00A0212B" w:rsidRPr="00085ABB" w:rsidRDefault="00A0212B" w:rsidP="004D7C92">
                                  <w:pPr>
                                    <w:pStyle w:val="affffff7"/>
                                    <w:ind w:leftChars="100" w:left="240"/>
                                  </w:pPr>
                                  <w:r w:rsidRPr="00085ABB">
                                    <w:rPr>
                                      <w:rFonts w:hint="eastAsia"/>
                                    </w:rPr>
                                    <w:t>自由運用</w:t>
                                  </w:r>
                                </w:p>
                              </w:tc>
                              <w:tc>
                                <w:tcPr>
                                  <w:tcW w:w="1175" w:type="pct"/>
                                  <w:shd w:val="clear" w:color="BFBFBF" w:themeColor="background1" w:themeShade="BF" w:fill="FFFFFF" w:themeFill="background1"/>
                                  <w:noWrap/>
                                  <w:vAlign w:val="center"/>
                                  <w:hideMark/>
                                </w:tcPr>
                                <w:p w14:paraId="5E813B94" w14:textId="77777777" w:rsidR="00A0212B" w:rsidRPr="00085ABB" w:rsidRDefault="00A0212B" w:rsidP="004D7C92">
                                  <w:pPr>
                                    <w:pStyle w:val="affffff7"/>
                                    <w:jc w:val="right"/>
                                  </w:pPr>
                                  <w:r w:rsidRPr="00085ABB">
                                    <w:rPr>
                                      <w:rFonts w:hint="eastAsia"/>
                                    </w:rPr>
                                    <w:t>103</w:t>
                                  </w:r>
                                </w:p>
                              </w:tc>
                              <w:tc>
                                <w:tcPr>
                                  <w:tcW w:w="927" w:type="pct"/>
                                  <w:shd w:val="clear" w:color="BFBFBF" w:themeColor="background1" w:themeShade="BF" w:fill="FFFFFF" w:themeFill="background1"/>
                                  <w:vAlign w:val="center"/>
                                </w:tcPr>
                                <w:p w14:paraId="1ED783F2" w14:textId="77777777" w:rsidR="00A0212B" w:rsidRPr="00085ABB" w:rsidRDefault="00A0212B" w:rsidP="004D7C92">
                                  <w:pPr>
                                    <w:pStyle w:val="affffff7"/>
                                    <w:jc w:val="right"/>
                                  </w:pPr>
                                  <w:r>
                                    <w:t>3.37</w:t>
                                  </w:r>
                                </w:p>
                              </w:tc>
                            </w:tr>
                            <w:tr w:rsidR="00A0212B" w:rsidRPr="00085ABB" w14:paraId="763028DF" w14:textId="77777777" w:rsidTr="004D7C92">
                              <w:trPr>
                                <w:trHeight w:val="397"/>
                                <w:jc w:val="center"/>
                              </w:trPr>
                              <w:tc>
                                <w:tcPr>
                                  <w:tcW w:w="270" w:type="pct"/>
                                  <w:vMerge/>
                                  <w:shd w:val="clear" w:color="auto" w:fill="auto"/>
                                  <w:vAlign w:val="center"/>
                                  <w:hideMark/>
                                </w:tcPr>
                                <w:p w14:paraId="512BBC1C" w14:textId="77777777" w:rsidR="00A0212B" w:rsidRPr="00085ABB" w:rsidRDefault="00A0212B" w:rsidP="00F60428">
                                  <w:pPr>
                                    <w:pStyle w:val="affffff7"/>
                                    <w:ind w:firstLine="521"/>
                                  </w:pPr>
                                </w:p>
                              </w:tc>
                              <w:tc>
                                <w:tcPr>
                                  <w:tcW w:w="2628" w:type="pct"/>
                                  <w:shd w:val="thinDiagCross" w:color="BFBFBF" w:themeColor="background1" w:themeShade="BF" w:fill="FFFFFF" w:themeFill="background1"/>
                                  <w:vAlign w:val="center"/>
                                </w:tcPr>
                                <w:p w14:paraId="15DC68B9" w14:textId="77777777" w:rsidR="00A0212B" w:rsidRPr="00085ABB" w:rsidRDefault="00A0212B" w:rsidP="004D7C92">
                                  <w:pPr>
                                    <w:pStyle w:val="affffff7"/>
                                    <w:ind w:leftChars="100" w:left="240"/>
                                  </w:pPr>
                                  <w:r w:rsidRPr="00085ABB">
                                    <w:rPr>
                                      <w:rFonts w:hint="eastAsia"/>
                                    </w:rPr>
                                    <w:t>剩餘外匯存款專戶資金</w:t>
                                  </w:r>
                                </w:p>
                              </w:tc>
                              <w:tc>
                                <w:tcPr>
                                  <w:tcW w:w="1175" w:type="pct"/>
                                  <w:shd w:val="thinDiagCross" w:color="BFBFBF" w:themeColor="background1" w:themeShade="BF" w:fill="FFFFFF" w:themeFill="background1"/>
                                  <w:noWrap/>
                                  <w:vAlign w:val="center"/>
                                  <w:hideMark/>
                                </w:tcPr>
                                <w:p w14:paraId="43AA3FEC" w14:textId="77777777" w:rsidR="00A0212B" w:rsidRPr="00085ABB" w:rsidRDefault="00A0212B" w:rsidP="004D7C92">
                                  <w:pPr>
                                    <w:pStyle w:val="affffff7"/>
                                    <w:jc w:val="right"/>
                                  </w:pPr>
                                  <w:r w:rsidRPr="00085ABB">
                                    <w:rPr>
                                      <w:rFonts w:hint="eastAsia"/>
                                    </w:rPr>
                                    <w:t>1,191</w:t>
                                  </w:r>
                                </w:p>
                              </w:tc>
                              <w:tc>
                                <w:tcPr>
                                  <w:tcW w:w="927" w:type="pct"/>
                                  <w:shd w:val="thinDiagCross" w:color="BFBFBF" w:themeColor="background1" w:themeShade="BF" w:fill="FFFFFF" w:themeFill="background1"/>
                                  <w:vAlign w:val="center"/>
                                </w:tcPr>
                                <w:p w14:paraId="75631BD8" w14:textId="77777777" w:rsidR="00A0212B" w:rsidRPr="00085ABB" w:rsidRDefault="00A0212B" w:rsidP="004D7C92">
                                  <w:pPr>
                                    <w:pStyle w:val="affffff7"/>
                                    <w:jc w:val="right"/>
                                  </w:pPr>
                                  <w:r>
                                    <w:rPr>
                                      <w:rFonts w:hint="eastAsia"/>
                                    </w:rPr>
                                    <w:t>38.93</w:t>
                                  </w:r>
                                </w:p>
                              </w:tc>
                            </w:tr>
                          </w:tbl>
                          <w:p w14:paraId="309CF982" w14:textId="77777777" w:rsidR="00A0212B" w:rsidRPr="00085ABB" w:rsidRDefault="00A0212B" w:rsidP="00F60428">
                            <w:pPr>
                              <w:pStyle w:val="affffff5"/>
                              <w:ind w:left="180" w:hanging="180"/>
                            </w:pPr>
                            <w:r w:rsidRPr="00085ABB">
                              <w:rPr>
                                <w:rFonts w:hint="eastAsia"/>
                              </w:rPr>
                              <w:t>資料</w:t>
                            </w:r>
                            <w:r w:rsidRPr="00085ABB">
                              <w:t>來源：整理自財政部提供資料。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EB6A46" id="文字方塊 12" o:spid="_x0000_s1037" type="#_x0000_t202" style="position:absolute;left:0;text-align:left;margin-left:259.8pt;margin-top:198pt;width:237pt;height:225pt;z-index:2516367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" filled="f" stroked="f" strokeweight=".5pt">
                <v:textbox>
                  <w:txbxContent>
                    <w:p w14:paraId="7AAF1FF9" w14:textId="305DE3BE" w:rsidR="00A0212B" w:rsidRPr="00085ABB" w:rsidRDefault="00A0212B" w:rsidP="004D7C92">
                      <w:pPr>
                        <w:pStyle w:val="-1"/>
                        <w:ind w:left="649" w:hangingChars="270" w:hanging="649"/>
                        <w:jc w:val="both"/>
                      </w:pPr>
                      <w:r w:rsidRPr="00D66880">
                        <w:rPr>
                          <w:rFonts w:hint="eastAsia"/>
                        </w:rPr>
                        <w:t>表</w:t>
                      </w:r>
                      <w:r>
                        <w:rPr>
                          <w:rFonts w:hint="eastAsia"/>
                        </w:rPr>
                        <w:t>6</w:t>
                      </w:r>
                      <w:r w:rsidRPr="00085ABB">
                        <w:rPr>
                          <w:rFonts w:hint="eastAsia"/>
                        </w:rPr>
                        <w:t xml:space="preserve">　</w:t>
                      </w:r>
                      <w:r w:rsidRPr="0009651A">
                        <w:rPr>
                          <w:rFonts w:hint="eastAsia"/>
                        </w:rPr>
                        <w:t>截</w:t>
                      </w:r>
                      <w:r w:rsidRPr="0009651A">
                        <w:t>至112</w:t>
                      </w:r>
                      <w:r w:rsidRPr="0009651A">
                        <w:rPr>
                          <w:rFonts w:hint="eastAsia"/>
                        </w:rPr>
                        <w:t>年</w:t>
                      </w:r>
                      <w:r w:rsidRPr="0009651A">
                        <w:t>底</w:t>
                      </w:r>
                      <w:r w:rsidRPr="0009651A">
                        <w:rPr>
                          <w:rFonts w:hint="eastAsia"/>
                        </w:rPr>
                        <w:t>境外資金匯回案件</w:t>
                      </w:r>
                      <w:r>
                        <w:rPr>
                          <w:rFonts w:hint="eastAsia"/>
                        </w:rPr>
                        <w:t>之</w:t>
                      </w:r>
                      <w:r w:rsidRPr="0009651A">
                        <w:rPr>
                          <w:rFonts w:hint="eastAsia"/>
                        </w:rPr>
                        <w:t>資金用途</w:t>
                      </w:r>
                      <w:r>
                        <w:rPr>
                          <w:rFonts w:hint="eastAsia"/>
                        </w:rPr>
                        <w:t>情</w:t>
                      </w:r>
                      <w:r>
                        <w:t>形</w:t>
                      </w:r>
                    </w:p>
                    <w:p w14:paraId="2B6A86D9" w14:textId="77777777" w:rsidR="00A0212B" w:rsidRPr="00191B7D" w:rsidRDefault="00A0212B" w:rsidP="004D7C92">
                      <w:pPr>
                        <w:spacing w:line="240" w:lineRule="exact"/>
                        <w:ind w:firstLine="902"/>
                        <w:jc w:val="right"/>
                        <w:rPr>
                          <w:rFonts w:ascii="標楷體" w:eastAsia="標楷體" w:hAnsi="標楷體"/>
                          <w:sz w:val="20"/>
                        </w:rPr>
                      </w:pPr>
                      <w:r w:rsidRPr="00191B7D">
                        <w:rPr>
                          <w:rFonts w:ascii="標楷體" w:eastAsia="標楷體" w:hAnsi="標楷體" w:hint="eastAsia"/>
                          <w:sz w:val="20"/>
                        </w:rPr>
                        <w:t>單</w:t>
                      </w:r>
                      <w:r w:rsidRPr="00191B7D">
                        <w:rPr>
                          <w:rFonts w:ascii="標楷體" w:eastAsia="標楷體" w:hAnsi="標楷體"/>
                          <w:sz w:val="20"/>
                        </w:rPr>
                        <w:t>位：</w:t>
                      </w:r>
                      <w:r w:rsidRPr="00191B7D">
                        <w:rPr>
                          <w:rFonts w:ascii="標楷體" w:eastAsia="標楷體" w:hAnsi="標楷體" w:hint="eastAsia"/>
                          <w:sz w:val="20"/>
                        </w:rPr>
                        <w:t>新</w:t>
                      </w:r>
                      <w:r w:rsidRPr="00191B7D">
                        <w:rPr>
                          <w:rFonts w:ascii="標楷體" w:eastAsia="標楷體" w:hAnsi="標楷體"/>
                          <w:sz w:val="20"/>
                        </w:rPr>
                        <w:t>臺幣億元</w:t>
                      </w:r>
                      <w:r w:rsidRPr="00191B7D">
                        <w:rPr>
                          <w:rFonts w:ascii="標楷體" w:eastAsia="標楷體" w:hAnsi="標楷體" w:hint="eastAsia"/>
                          <w:sz w:val="2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3"/>
                        <w:gridCol w:w="2372"/>
                        <w:gridCol w:w="1061"/>
                        <w:gridCol w:w="837"/>
                      </w:tblGrid>
                      <w:tr w:rsidR="00A0212B" w:rsidRPr="00085ABB" w14:paraId="27EFFE93" w14:textId="77777777" w:rsidTr="004D7C92">
                        <w:trPr>
                          <w:trHeight w:val="397"/>
                          <w:jc w:val="center"/>
                        </w:trPr>
                        <w:tc>
                          <w:tcPr>
                            <w:tcW w:w="2898" w:type="pct"/>
                            <w:gridSpan w:val="2"/>
                            <w:shd w:val="clear" w:color="auto" w:fill="auto"/>
                            <w:vAlign w:val="center"/>
                          </w:tcPr>
                          <w:p w14:paraId="30C4022F" w14:textId="77777777" w:rsidR="00A0212B" w:rsidRPr="00085ABB" w:rsidRDefault="00A0212B" w:rsidP="004D7C92">
                            <w:pPr>
                              <w:pStyle w:val="affffff7"/>
                              <w:jc w:val="center"/>
                            </w:pPr>
                            <w:r>
                              <w:rPr>
                                <w:rFonts w:hint="eastAsia"/>
                              </w:rPr>
                              <w:t>項目</w:t>
                            </w:r>
                          </w:p>
                        </w:tc>
                        <w:tc>
                          <w:tcPr>
                            <w:tcW w:w="1175" w:type="pct"/>
                            <w:shd w:val="clear" w:color="auto" w:fill="auto"/>
                            <w:noWrap/>
                            <w:vAlign w:val="center"/>
                          </w:tcPr>
                          <w:p w14:paraId="6A948642" w14:textId="77777777" w:rsidR="00A0212B" w:rsidRPr="00085ABB" w:rsidRDefault="00A0212B" w:rsidP="004D7C92">
                            <w:pPr>
                              <w:pStyle w:val="affffff7"/>
                              <w:jc w:val="center"/>
                            </w:pPr>
                            <w:r w:rsidRPr="00085ABB">
                              <w:rPr>
                                <w:rFonts w:hint="eastAsia"/>
                              </w:rPr>
                              <w:t>金</w:t>
                            </w:r>
                            <w:r w:rsidRPr="00085ABB">
                              <w:t>額</w:t>
                            </w:r>
                          </w:p>
                        </w:tc>
                        <w:tc>
                          <w:tcPr>
                            <w:tcW w:w="927" w:type="pct"/>
                            <w:tcBorders>
                              <w:bottom w:val="single" w:sz="4" w:space="0" w:color="auto"/>
                            </w:tcBorders>
                            <w:shd w:val="clear" w:color="auto" w:fill="auto"/>
                            <w:vAlign w:val="center"/>
                          </w:tcPr>
                          <w:p w14:paraId="5EEF933A" w14:textId="77777777" w:rsidR="00A0212B" w:rsidRPr="00085ABB" w:rsidRDefault="00A0212B" w:rsidP="004D7C92">
                            <w:pPr>
                              <w:pStyle w:val="affffff7"/>
                              <w:jc w:val="center"/>
                            </w:pPr>
                            <w:r w:rsidRPr="00085ABB">
                              <w:rPr>
                                <w:rFonts w:hint="eastAsia"/>
                              </w:rPr>
                              <w:t>占</w:t>
                            </w:r>
                            <w:r w:rsidRPr="00085ABB">
                              <w:t>比</w:t>
                            </w:r>
                          </w:p>
                        </w:tc>
                      </w:tr>
                      <w:tr w:rsidR="00A0212B" w:rsidRPr="00085ABB" w14:paraId="2F5BBA48" w14:textId="77777777" w:rsidTr="00F60428">
                        <w:trPr>
                          <w:trHeight w:val="397"/>
                          <w:jc w:val="center"/>
                        </w:trPr>
                        <w:tc>
                          <w:tcPr>
                            <w:tcW w:w="2898" w:type="pct"/>
                            <w:gridSpan w:val="2"/>
                            <w:shd w:val="clear" w:color="auto" w:fill="auto"/>
                            <w:vAlign w:val="center"/>
                            <w:hideMark/>
                          </w:tcPr>
                          <w:p w14:paraId="3D061376" w14:textId="77777777" w:rsidR="00A0212B" w:rsidRPr="00085ABB" w:rsidRDefault="00A0212B" w:rsidP="004D7C92">
                            <w:pPr>
                              <w:pStyle w:val="affffff7"/>
                              <w:rPr>
                                <w:b/>
                              </w:rPr>
                            </w:pPr>
                            <w:r>
                              <w:rPr>
                                <w:rFonts w:hint="eastAsia"/>
                                <w:b/>
                              </w:rPr>
                              <w:t>實</w:t>
                            </w:r>
                            <w:r>
                              <w:rPr>
                                <w:b/>
                              </w:rPr>
                              <w:t>際</w:t>
                            </w:r>
                            <w:r>
                              <w:rPr>
                                <w:rFonts w:hint="eastAsia"/>
                                <w:b/>
                              </w:rPr>
                              <w:t>匯</w:t>
                            </w:r>
                            <w:r>
                              <w:rPr>
                                <w:b/>
                              </w:rPr>
                              <w:t>回金額</w:t>
                            </w:r>
                          </w:p>
                        </w:tc>
                        <w:tc>
                          <w:tcPr>
                            <w:tcW w:w="1175" w:type="pct"/>
                            <w:shd w:val="clear" w:color="auto" w:fill="auto"/>
                            <w:noWrap/>
                            <w:vAlign w:val="center"/>
                            <w:hideMark/>
                          </w:tcPr>
                          <w:p w14:paraId="2D256957" w14:textId="77777777" w:rsidR="00A0212B" w:rsidRPr="00085ABB" w:rsidRDefault="00A0212B" w:rsidP="004D7C92">
                            <w:pPr>
                              <w:pStyle w:val="affffff7"/>
                              <w:jc w:val="right"/>
                              <w:rPr>
                                <w:b/>
                              </w:rPr>
                            </w:pPr>
                            <w:r w:rsidRPr="00085ABB">
                              <w:rPr>
                                <w:rFonts w:hint="eastAsia"/>
                                <w:b/>
                              </w:rPr>
                              <w:t>3,351</w:t>
                            </w:r>
                          </w:p>
                        </w:tc>
                        <w:tc>
                          <w:tcPr>
                            <w:tcW w:w="927" w:type="pct"/>
                            <w:vMerge w:val="restart"/>
                            <w:tcBorders>
                              <w:tl2br w:val="single" w:sz="4" w:space="0" w:color="auto"/>
                            </w:tcBorders>
                            <w:vAlign w:val="center"/>
                          </w:tcPr>
                          <w:p w14:paraId="0F46EF6C" w14:textId="77777777" w:rsidR="00A0212B" w:rsidRPr="00085ABB" w:rsidRDefault="00A0212B" w:rsidP="004D7C92">
                            <w:pPr>
                              <w:pStyle w:val="affffff7"/>
                              <w:jc w:val="right"/>
                              <w:rPr>
                                <w:b/>
                              </w:rPr>
                            </w:pPr>
                          </w:p>
                        </w:tc>
                      </w:tr>
                      <w:tr w:rsidR="00A0212B" w:rsidRPr="00085ABB" w14:paraId="6668F388" w14:textId="77777777" w:rsidTr="00F60428">
                        <w:trPr>
                          <w:trHeight w:val="397"/>
                          <w:jc w:val="center"/>
                        </w:trPr>
                        <w:tc>
                          <w:tcPr>
                            <w:tcW w:w="2898" w:type="pct"/>
                            <w:gridSpan w:val="2"/>
                            <w:shd w:val="clear" w:color="auto" w:fill="auto"/>
                            <w:vAlign w:val="center"/>
                            <w:hideMark/>
                          </w:tcPr>
                          <w:p w14:paraId="6D0630E6" w14:textId="77777777" w:rsidR="00A0212B" w:rsidRPr="00085ABB" w:rsidRDefault="00A0212B" w:rsidP="004D7C92">
                            <w:pPr>
                              <w:pStyle w:val="affffff7"/>
                            </w:pPr>
                            <w:r w:rsidRPr="00085ABB">
                              <w:rPr>
                                <w:rFonts w:hint="eastAsia"/>
                              </w:rPr>
                              <w:t>扣繳稅額</w:t>
                            </w:r>
                          </w:p>
                        </w:tc>
                        <w:tc>
                          <w:tcPr>
                            <w:tcW w:w="1175" w:type="pct"/>
                            <w:shd w:val="clear" w:color="auto" w:fill="auto"/>
                            <w:noWrap/>
                            <w:vAlign w:val="center"/>
                            <w:hideMark/>
                          </w:tcPr>
                          <w:p w14:paraId="218ED21B" w14:textId="77777777" w:rsidR="00A0212B" w:rsidRPr="00085ABB" w:rsidRDefault="00A0212B" w:rsidP="004D7C92">
                            <w:pPr>
                              <w:pStyle w:val="affffff7"/>
                              <w:jc w:val="right"/>
                            </w:pPr>
                            <w:r w:rsidRPr="00085ABB">
                              <w:rPr>
                                <w:rFonts w:hint="eastAsia"/>
                              </w:rPr>
                              <w:t>292</w:t>
                            </w:r>
                          </w:p>
                        </w:tc>
                        <w:tc>
                          <w:tcPr>
                            <w:tcW w:w="927" w:type="pct"/>
                            <w:vMerge/>
                            <w:tcBorders>
                              <w:tl2br w:val="single" w:sz="4" w:space="0" w:color="auto"/>
                            </w:tcBorders>
                            <w:vAlign w:val="center"/>
                          </w:tcPr>
                          <w:p w14:paraId="7F1F14AB" w14:textId="77777777" w:rsidR="00A0212B" w:rsidRPr="00085ABB" w:rsidRDefault="00A0212B" w:rsidP="004D7C92">
                            <w:pPr>
                              <w:pStyle w:val="affffff7"/>
                              <w:jc w:val="right"/>
                            </w:pPr>
                          </w:p>
                        </w:tc>
                      </w:tr>
                      <w:tr w:rsidR="00A0212B" w:rsidRPr="00085ABB" w14:paraId="33D783C6" w14:textId="77777777" w:rsidTr="00F60428">
                        <w:trPr>
                          <w:trHeight w:val="397"/>
                          <w:jc w:val="center"/>
                        </w:trPr>
                        <w:tc>
                          <w:tcPr>
                            <w:tcW w:w="2898" w:type="pct"/>
                            <w:gridSpan w:val="2"/>
                            <w:tcBorders>
                              <w:bottom w:val="nil"/>
                            </w:tcBorders>
                            <w:shd w:val="clear" w:color="auto" w:fill="auto"/>
                            <w:vAlign w:val="center"/>
                          </w:tcPr>
                          <w:p w14:paraId="63539BB8" w14:textId="77777777" w:rsidR="00A0212B" w:rsidRPr="0009651A" w:rsidRDefault="00A0212B" w:rsidP="004D7C92">
                            <w:pPr>
                              <w:pStyle w:val="affffff7"/>
                              <w:rPr>
                                <w:b/>
                              </w:rPr>
                            </w:pPr>
                            <w:r w:rsidRPr="0009651A">
                              <w:rPr>
                                <w:rFonts w:hint="eastAsia"/>
                                <w:b/>
                              </w:rPr>
                              <w:t>扣</w:t>
                            </w:r>
                            <w:r w:rsidRPr="0009651A">
                              <w:rPr>
                                <w:b/>
                              </w:rPr>
                              <w:t>繳稅</w:t>
                            </w:r>
                            <w:r w:rsidRPr="0009651A">
                              <w:rPr>
                                <w:rFonts w:hint="eastAsia"/>
                                <w:b/>
                              </w:rPr>
                              <w:t>額</w:t>
                            </w:r>
                            <w:r w:rsidRPr="0009651A">
                              <w:rPr>
                                <w:b/>
                              </w:rPr>
                              <w:t>後金額</w:t>
                            </w:r>
                          </w:p>
                        </w:tc>
                        <w:tc>
                          <w:tcPr>
                            <w:tcW w:w="1175" w:type="pct"/>
                            <w:shd w:val="clear" w:color="auto" w:fill="auto"/>
                            <w:noWrap/>
                            <w:vAlign w:val="center"/>
                          </w:tcPr>
                          <w:p w14:paraId="1989D097" w14:textId="77777777" w:rsidR="00A0212B" w:rsidRPr="0009651A" w:rsidRDefault="00A0212B" w:rsidP="004D7C92">
                            <w:pPr>
                              <w:pStyle w:val="affffff7"/>
                              <w:jc w:val="right"/>
                              <w:rPr>
                                <w:b/>
                              </w:rPr>
                            </w:pPr>
                            <w:r w:rsidRPr="0009651A">
                              <w:rPr>
                                <w:rFonts w:hint="eastAsia"/>
                                <w:b/>
                              </w:rPr>
                              <w:t>3,059</w:t>
                            </w:r>
                          </w:p>
                        </w:tc>
                        <w:tc>
                          <w:tcPr>
                            <w:tcW w:w="927" w:type="pct"/>
                            <w:vAlign w:val="center"/>
                          </w:tcPr>
                          <w:p w14:paraId="5713F62A" w14:textId="77777777" w:rsidR="00A0212B" w:rsidRPr="0009651A" w:rsidRDefault="00A0212B" w:rsidP="004D7C92">
                            <w:pPr>
                              <w:pStyle w:val="affffff7"/>
                              <w:jc w:val="right"/>
                              <w:rPr>
                                <w:b/>
                              </w:rPr>
                            </w:pPr>
                            <w:r>
                              <w:rPr>
                                <w:rFonts w:hint="eastAsia"/>
                                <w:b/>
                              </w:rPr>
                              <w:t>100.00</w:t>
                            </w:r>
                          </w:p>
                        </w:tc>
                      </w:tr>
                      <w:tr w:rsidR="00A0212B" w:rsidRPr="00085ABB" w14:paraId="7C49DD16" w14:textId="77777777" w:rsidTr="004D7C92">
                        <w:trPr>
                          <w:trHeight w:val="397"/>
                          <w:jc w:val="center"/>
                        </w:trPr>
                        <w:tc>
                          <w:tcPr>
                            <w:tcW w:w="270" w:type="pct"/>
                            <w:vMerge w:val="restart"/>
                            <w:tcBorders>
                              <w:top w:val="nil"/>
                            </w:tcBorders>
                            <w:shd w:val="clear" w:color="auto" w:fill="auto"/>
                            <w:vAlign w:val="center"/>
                            <w:hideMark/>
                          </w:tcPr>
                          <w:p w14:paraId="6DE70696" w14:textId="77777777" w:rsidR="00A0212B" w:rsidRPr="00085ABB" w:rsidRDefault="00A0212B" w:rsidP="00F60428">
                            <w:pPr>
                              <w:pStyle w:val="affffff7"/>
                              <w:ind w:firstLine="521"/>
                            </w:pPr>
                          </w:p>
                        </w:tc>
                        <w:tc>
                          <w:tcPr>
                            <w:tcW w:w="2628" w:type="pct"/>
                            <w:tcBorders>
                              <w:bottom w:val="single" w:sz="4" w:space="0" w:color="auto"/>
                            </w:tcBorders>
                            <w:shd w:val="clear" w:color="auto" w:fill="auto"/>
                            <w:vAlign w:val="center"/>
                          </w:tcPr>
                          <w:p w14:paraId="52F4A985" w14:textId="77777777" w:rsidR="00A0212B" w:rsidRPr="00085ABB" w:rsidRDefault="00A0212B" w:rsidP="004D7C92">
                            <w:pPr>
                              <w:pStyle w:val="affffff7"/>
                              <w:ind w:leftChars="100" w:left="240"/>
                            </w:pPr>
                            <w:r w:rsidRPr="00085ABB">
                              <w:rPr>
                                <w:rFonts w:hint="eastAsia"/>
                              </w:rPr>
                              <w:t>實質投資</w:t>
                            </w:r>
                          </w:p>
                        </w:tc>
                        <w:tc>
                          <w:tcPr>
                            <w:tcW w:w="1175" w:type="pct"/>
                            <w:tcBorders>
                              <w:bottom w:val="single" w:sz="4" w:space="0" w:color="auto"/>
                            </w:tcBorders>
                            <w:shd w:val="clear" w:color="auto" w:fill="auto"/>
                            <w:noWrap/>
                            <w:vAlign w:val="center"/>
                            <w:hideMark/>
                          </w:tcPr>
                          <w:p w14:paraId="0F182511" w14:textId="77777777" w:rsidR="00A0212B" w:rsidRPr="00085ABB" w:rsidRDefault="00A0212B" w:rsidP="004D7C92">
                            <w:pPr>
                              <w:pStyle w:val="affffff7"/>
                              <w:jc w:val="right"/>
                            </w:pPr>
                            <w:r w:rsidRPr="00085ABB">
                              <w:rPr>
                                <w:rFonts w:hint="eastAsia"/>
                              </w:rPr>
                              <w:t>1,629</w:t>
                            </w:r>
                          </w:p>
                        </w:tc>
                        <w:tc>
                          <w:tcPr>
                            <w:tcW w:w="927" w:type="pct"/>
                            <w:tcBorders>
                              <w:bottom w:val="single" w:sz="4" w:space="0" w:color="auto"/>
                            </w:tcBorders>
                            <w:vAlign w:val="center"/>
                          </w:tcPr>
                          <w:p w14:paraId="2C52B72C" w14:textId="77777777" w:rsidR="00A0212B" w:rsidRPr="00085ABB" w:rsidRDefault="00A0212B" w:rsidP="004D7C92">
                            <w:pPr>
                              <w:pStyle w:val="affffff7"/>
                              <w:jc w:val="right"/>
                            </w:pPr>
                            <w:r>
                              <w:rPr>
                                <w:rFonts w:hint="eastAsia"/>
                              </w:rPr>
                              <w:t>53.25</w:t>
                            </w:r>
                          </w:p>
                        </w:tc>
                      </w:tr>
                      <w:tr w:rsidR="00A0212B" w:rsidRPr="00085ABB" w14:paraId="5E3E45FE" w14:textId="77777777" w:rsidTr="004D7C92">
                        <w:trPr>
                          <w:trHeight w:val="397"/>
                          <w:jc w:val="center"/>
                        </w:trPr>
                        <w:tc>
                          <w:tcPr>
                            <w:tcW w:w="270" w:type="pct"/>
                            <w:vMerge/>
                            <w:shd w:val="clear" w:color="auto" w:fill="auto"/>
                            <w:vAlign w:val="center"/>
                            <w:hideMark/>
                          </w:tcPr>
                          <w:p w14:paraId="38B3877C" w14:textId="77777777" w:rsidR="00A0212B" w:rsidRPr="00085ABB" w:rsidRDefault="00A0212B" w:rsidP="00F60428">
                            <w:pPr>
                              <w:pStyle w:val="affffff7"/>
                              <w:ind w:firstLine="521"/>
                            </w:pPr>
                          </w:p>
                        </w:tc>
                        <w:tc>
                          <w:tcPr>
                            <w:tcW w:w="2628" w:type="pct"/>
                            <w:tcBorders>
                              <w:bottom w:val="single" w:sz="4" w:space="0" w:color="auto"/>
                            </w:tcBorders>
                            <w:shd w:val="thinDiagCross" w:color="BFBFBF" w:themeColor="background1" w:themeShade="BF" w:fill="FFFFFF" w:themeFill="background1"/>
                            <w:vAlign w:val="center"/>
                          </w:tcPr>
                          <w:p w14:paraId="5A616880" w14:textId="77777777" w:rsidR="00A0212B" w:rsidRPr="00085ABB" w:rsidRDefault="00A0212B" w:rsidP="004D7C92">
                            <w:pPr>
                              <w:pStyle w:val="affffff7"/>
                              <w:ind w:leftChars="100" w:left="240"/>
                            </w:pPr>
                            <w:r w:rsidRPr="00085ABB">
                              <w:rPr>
                                <w:rFonts w:hint="eastAsia"/>
                              </w:rPr>
                              <w:t>金融投資</w:t>
                            </w:r>
                          </w:p>
                        </w:tc>
                        <w:tc>
                          <w:tcPr>
                            <w:tcW w:w="1175" w:type="pct"/>
                            <w:tcBorders>
                              <w:bottom w:val="single" w:sz="4" w:space="0" w:color="auto"/>
                            </w:tcBorders>
                            <w:shd w:val="thinDiagCross" w:color="BFBFBF" w:themeColor="background1" w:themeShade="BF" w:fill="FFFFFF" w:themeFill="background1"/>
                            <w:noWrap/>
                            <w:vAlign w:val="center"/>
                            <w:hideMark/>
                          </w:tcPr>
                          <w:p w14:paraId="65F2E923" w14:textId="77777777" w:rsidR="00A0212B" w:rsidRPr="00085ABB" w:rsidRDefault="00A0212B" w:rsidP="004D7C92">
                            <w:pPr>
                              <w:pStyle w:val="affffff7"/>
                              <w:jc w:val="right"/>
                            </w:pPr>
                            <w:r w:rsidRPr="00085ABB">
                              <w:rPr>
                                <w:rFonts w:hint="eastAsia"/>
                              </w:rPr>
                              <w:t>136</w:t>
                            </w:r>
                          </w:p>
                        </w:tc>
                        <w:tc>
                          <w:tcPr>
                            <w:tcW w:w="927" w:type="pct"/>
                            <w:tcBorders>
                              <w:bottom w:val="single" w:sz="4" w:space="0" w:color="auto"/>
                            </w:tcBorders>
                            <w:shd w:val="thinDiagCross" w:color="BFBFBF" w:themeColor="background1" w:themeShade="BF" w:fill="FFFFFF" w:themeFill="background1"/>
                            <w:vAlign w:val="center"/>
                          </w:tcPr>
                          <w:p w14:paraId="32E6E079" w14:textId="77777777" w:rsidR="00A0212B" w:rsidRPr="00085ABB" w:rsidRDefault="00A0212B" w:rsidP="004D7C92">
                            <w:pPr>
                              <w:pStyle w:val="affffff7"/>
                              <w:jc w:val="right"/>
                            </w:pPr>
                            <w:r>
                              <w:t>4.45</w:t>
                            </w:r>
                          </w:p>
                        </w:tc>
                      </w:tr>
                      <w:tr w:rsidR="00A0212B" w:rsidRPr="00085ABB" w14:paraId="4CED92F6" w14:textId="77777777" w:rsidTr="004D7C92">
                        <w:trPr>
                          <w:trHeight w:val="397"/>
                          <w:jc w:val="center"/>
                        </w:trPr>
                        <w:tc>
                          <w:tcPr>
                            <w:tcW w:w="270" w:type="pct"/>
                            <w:vMerge/>
                            <w:shd w:val="clear" w:color="auto" w:fill="auto"/>
                            <w:vAlign w:val="center"/>
                            <w:hideMark/>
                          </w:tcPr>
                          <w:p w14:paraId="160FF86B" w14:textId="77777777" w:rsidR="00A0212B" w:rsidRPr="00085ABB" w:rsidRDefault="00A0212B" w:rsidP="00F60428">
                            <w:pPr>
                              <w:pStyle w:val="affffff7"/>
                              <w:ind w:firstLine="521"/>
                            </w:pPr>
                          </w:p>
                        </w:tc>
                        <w:tc>
                          <w:tcPr>
                            <w:tcW w:w="2628" w:type="pct"/>
                            <w:shd w:val="clear" w:color="BFBFBF" w:themeColor="background1" w:themeShade="BF" w:fill="FFFFFF" w:themeFill="background1"/>
                            <w:vAlign w:val="center"/>
                          </w:tcPr>
                          <w:p w14:paraId="7DB9DDDC" w14:textId="77777777" w:rsidR="00A0212B" w:rsidRPr="00085ABB" w:rsidRDefault="00A0212B" w:rsidP="004D7C92">
                            <w:pPr>
                              <w:pStyle w:val="affffff7"/>
                              <w:ind w:leftChars="100" w:left="240"/>
                            </w:pPr>
                            <w:r w:rsidRPr="00085ABB">
                              <w:rPr>
                                <w:rFonts w:hint="eastAsia"/>
                              </w:rPr>
                              <w:t>自由運用</w:t>
                            </w:r>
                          </w:p>
                        </w:tc>
                        <w:tc>
                          <w:tcPr>
                            <w:tcW w:w="1175" w:type="pct"/>
                            <w:shd w:val="clear" w:color="BFBFBF" w:themeColor="background1" w:themeShade="BF" w:fill="FFFFFF" w:themeFill="background1"/>
                            <w:noWrap/>
                            <w:vAlign w:val="center"/>
                            <w:hideMark/>
                          </w:tcPr>
                          <w:p w14:paraId="5E813B94" w14:textId="77777777" w:rsidR="00A0212B" w:rsidRPr="00085ABB" w:rsidRDefault="00A0212B" w:rsidP="004D7C92">
                            <w:pPr>
                              <w:pStyle w:val="affffff7"/>
                              <w:jc w:val="right"/>
                            </w:pPr>
                            <w:r w:rsidRPr="00085ABB">
                              <w:rPr>
                                <w:rFonts w:hint="eastAsia"/>
                              </w:rPr>
                              <w:t>103</w:t>
                            </w:r>
                          </w:p>
                        </w:tc>
                        <w:tc>
                          <w:tcPr>
                            <w:tcW w:w="927" w:type="pct"/>
                            <w:shd w:val="clear" w:color="BFBFBF" w:themeColor="background1" w:themeShade="BF" w:fill="FFFFFF" w:themeFill="background1"/>
                            <w:vAlign w:val="center"/>
                          </w:tcPr>
                          <w:p w14:paraId="1ED783F2" w14:textId="77777777" w:rsidR="00A0212B" w:rsidRPr="00085ABB" w:rsidRDefault="00A0212B" w:rsidP="004D7C92">
                            <w:pPr>
                              <w:pStyle w:val="affffff7"/>
                              <w:jc w:val="right"/>
                            </w:pPr>
                            <w:r>
                              <w:t>3.37</w:t>
                            </w:r>
                          </w:p>
                        </w:tc>
                      </w:tr>
                      <w:tr w:rsidR="00A0212B" w:rsidRPr="00085ABB" w14:paraId="763028DF" w14:textId="77777777" w:rsidTr="004D7C92">
                        <w:trPr>
                          <w:trHeight w:val="397"/>
                          <w:jc w:val="center"/>
                        </w:trPr>
                        <w:tc>
                          <w:tcPr>
                            <w:tcW w:w="270" w:type="pct"/>
                            <w:vMerge/>
                            <w:shd w:val="clear" w:color="auto" w:fill="auto"/>
                            <w:vAlign w:val="center"/>
                            <w:hideMark/>
                          </w:tcPr>
                          <w:p w14:paraId="512BBC1C" w14:textId="77777777" w:rsidR="00A0212B" w:rsidRPr="00085ABB" w:rsidRDefault="00A0212B" w:rsidP="00F60428">
                            <w:pPr>
                              <w:pStyle w:val="affffff7"/>
                              <w:ind w:firstLine="521"/>
                            </w:pPr>
                          </w:p>
                        </w:tc>
                        <w:tc>
                          <w:tcPr>
                            <w:tcW w:w="2628" w:type="pct"/>
                            <w:shd w:val="thinDiagCross" w:color="BFBFBF" w:themeColor="background1" w:themeShade="BF" w:fill="FFFFFF" w:themeFill="background1"/>
                            <w:vAlign w:val="center"/>
                          </w:tcPr>
                          <w:p w14:paraId="15DC68B9" w14:textId="77777777" w:rsidR="00A0212B" w:rsidRPr="00085ABB" w:rsidRDefault="00A0212B" w:rsidP="004D7C92">
                            <w:pPr>
                              <w:pStyle w:val="affffff7"/>
                              <w:ind w:leftChars="100" w:left="240"/>
                            </w:pPr>
                            <w:r w:rsidRPr="00085ABB">
                              <w:rPr>
                                <w:rFonts w:hint="eastAsia"/>
                              </w:rPr>
                              <w:t>剩餘外匯存款專戶資金</w:t>
                            </w:r>
                          </w:p>
                        </w:tc>
                        <w:tc>
                          <w:tcPr>
                            <w:tcW w:w="1175" w:type="pct"/>
                            <w:shd w:val="thinDiagCross" w:color="BFBFBF" w:themeColor="background1" w:themeShade="BF" w:fill="FFFFFF" w:themeFill="background1"/>
                            <w:noWrap/>
                            <w:vAlign w:val="center"/>
                            <w:hideMark/>
                          </w:tcPr>
                          <w:p w14:paraId="43AA3FEC" w14:textId="77777777" w:rsidR="00A0212B" w:rsidRPr="00085ABB" w:rsidRDefault="00A0212B" w:rsidP="004D7C92">
                            <w:pPr>
                              <w:pStyle w:val="affffff7"/>
                              <w:jc w:val="right"/>
                            </w:pPr>
                            <w:r w:rsidRPr="00085ABB">
                              <w:rPr>
                                <w:rFonts w:hint="eastAsia"/>
                              </w:rPr>
                              <w:t>1,191</w:t>
                            </w:r>
                          </w:p>
                        </w:tc>
                        <w:tc>
                          <w:tcPr>
                            <w:tcW w:w="927" w:type="pct"/>
                            <w:shd w:val="thinDiagCross" w:color="BFBFBF" w:themeColor="background1" w:themeShade="BF" w:fill="FFFFFF" w:themeFill="background1"/>
                            <w:vAlign w:val="center"/>
                          </w:tcPr>
                          <w:p w14:paraId="75631BD8" w14:textId="77777777" w:rsidR="00A0212B" w:rsidRPr="00085ABB" w:rsidRDefault="00A0212B" w:rsidP="004D7C92">
                            <w:pPr>
                              <w:pStyle w:val="affffff7"/>
                              <w:jc w:val="right"/>
                            </w:pPr>
                            <w:r>
                              <w:rPr>
                                <w:rFonts w:hint="eastAsia"/>
                              </w:rPr>
                              <w:t>38.93</w:t>
                            </w:r>
                          </w:p>
                        </w:tc>
                      </w:tr>
                    </w:tbl>
                    <w:p w14:paraId="309CF982" w14:textId="77777777" w:rsidR="00A0212B" w:rsidRPr="00085ABB" w:rsidRDefault="00A0212B" w:rsidP="00F60428">
                      <w:pPr>
                        <w:pStyle w:val="affffff5"/>
                        <w:ind w:left="180" w:hanging="180"/>
                      </w:pPr>
                      <w:r w:rsidRPr="00085ABB">
                        <w:rPr>
                          <w:rFonts w:hint="eastAsia"/>
                        </w:rPr>
                        <w:t>資料</w:t>
                      </w:r>
                      <w:r w:rsidRPr="00085ABB">
                        <w:t>來源：整理自財政部提供資料。</w:t>
                      </w:r>
                    </w:p>
                  </w:txbxContent>
                </v:textbox>
                <w10:wrap type="square" anchorx="margin"/>
              </v:shape>
            </w:pict>
          </mc:Fallback>
        </mc:AlternateContent>
      </w:r>
      <w:r w:rsidR="00F60428" w:rsidRPr="00F60428">
        <w:rPr>
          <w:rFonts w:ascii="標楷體" w:eastAsia="標楷體" w:hAnsi="標楷體" w:cs="標楷體" w:hint="eastAsia"/>
          <w:b/>
          <w:kern w:val="52"/>
          <w:szCs w:val="32"/>
        </w:rPr>
        <w:t>2.</w:t>
      </w:r>
      <w:r w:rsidR="00F60428" w:rsidRPr="00F60428">
        <w:rPr>
          <w:rFonts w:ascii="標楷體" w:eastAsia="標楷體" w:hAnsi="標楷體" w:cs="標楷體" w:hint="eastAsia"/>
          <w:kern w:val="52"/>
          <w:szCs w:val="32"/>
        </w:rPr>
        <w:t xml:space="preserve">　</w:t>
      </w:r>
      <w:r w:rsidR="00F60428" w:rsidRPr="00F60428">
        <w:rPr>
          <w:rFonts w:ascii="標楷體" w:eastAsia="標楷體" w:hAnsi="標楷體" w:cs="標楷體" w:hint="eastAsia"/>
          <w:b/>
          <w:kern w:val="52"/>
          <w:szCs w:val="32"/>
        </w:rPr>
        <w:t>政府近年積極引導臺商回臺投資，並制定境外資金匯回專法，期導引資金回流挹注產業發展，惟匯回之境外資金運用於產業實質投資未及6成：</w:t>
      </w:r>
      <w:r w:rsidR="00F60428" w:rsidRPr="00F60428">
        <w:rPr>
          <w:rFonts w:ascii="標楷體" w:eastAsia="標楷體" w:hAnsi="標楷體" w:cs="標楷體" w:hint="eastAsia"/>
          <w:kern w:val="52"/>
          <w:szCs w:val="32"/>
        </w:rPr>
        <w:t>政府為因應美中貿易爭端，引導臺商回臺調整生產基地，於108年起陸續推動投資臺灣三大方案，另為協助臺商調整全球布局，並引導資金回流挹注我國產業等，於108年7月公布境外資金匯回管理運用及課稅條例。依該條例規定，海外臺商企業匯回之資金得提取從事投資，或於5％之限額內提取自由運用，或於25％限額內從事金融投資；資金存入外匯專戶或從事金融投資屆滿5年始得提取三分之一，滿6年得再提取三分之一，滿7年得全部提取。經查條例施行屆滿日（110年8月15日）已核准境外資金匯回案件共1,561件，實際匯回資金高達3,351億餘元。截至112年底止，實際用於產業投資之匯回者僅584件，占匯回件數之37.41％；投資金額1,629億餘元，僅占匯回並扣繳稅額後資金3,059億餘元之53.25％（</w:t>
      </w:r>
      <w:r w:rsidR="00F60428" w:rsidRPr="006678C5">
        <w:rPr>
          <w:rFonts w:ascii="標楷體" w:eastAsia="標楷體" w:hAnsi="標楷體" w:cs="標楷體" w:hint="eastAsia"/>
          <w:kern w:val="52"/>
          <w:szCs w:val="32"/>
        </w:rPr>
        <w:t>表</w:t>
      </w:r>
      <w:r w:rsidRPr="006678C5">
        <w:rPr>
          <w:rFonts w:ascii="標楷體" w:eastAsia="標楷體" w:hAnsi="標楷體" w:cs="新細明體"/>
          <w:bCs/>
          <w:kern w:val="0"/>
          <w:szCs w:val="24"/>
        </w:rPr>
        <w:t>6</w:t>
      </w:r>
      <w:r w:rsidR="00F60428" w:rsidRPr="00F60428">
        <w:rPr>
          <w:rFonts w:ascii="標楷體" w:eastAsia="標楷體" w:hAnsi="標楷體" w:cs="標楷體" w:hint="eastAsia"/>
          <w:kern w:val="52"/>
          <w:szCs w:val="32"/>
        </w:rPr>
        <w:t>），導引匯回資金進行實質投資措施之成效有待提升。另依據內政部統計住宅價格指數，112年第4季價格指數為136.2，較103年同期之99.07，成長37.48％；又據金管會統計，我國集中市場平均股價指數（月平均）自103年度之8,992.01點增加至112年度之16,386.23點。再據立法院預算中心於109年10月「財政部賦稅署及5區國稅局110年度單位預算評估報告」亦提出「為避免重蹈98年遺產及贈與稅稅率調降，回臺資金多投入房地產價格飆漲，允宜加強查核外匯存款專戶資金運用情形及流向」之意見。鑑於依境外資金匯回管理運用及課稅條例匯回且運用於金融投資及尚未運用之資金約1,327億餘元，將於113年7月底陸續屆滿5年，有待妥適導引資金運用於實質投資以提升政策效益，並賡續追蹤其運用情形，避免資金流入房市及股市，助長房地產及股價飆升，影響資本市場及房價之穩</w:t>
      </w:r>
      <w:r w:rsidR="00F60428" w:rsidRPr="00F60428">
        <w:rPr>
          <w:rFonts w:ascii="標楷體" w:eastAsia="標楷體" w:hAnsi="標楷體" w:cs="標楷體" w:hint="eastAsia"/>
          <w:kern w:val="52"/>
          <w:szCs w:val="32"/>
        </w:rPr>
        <w:lastRenderedPageBreak/>
        <w:t>定，經函請行政院督促相關權責機關研謀有效對策。據復：</w:t>
      </w:r>
      <w:r w:rsidR="00F60428" w:rsidRPr="004D7C92">
        <w:rPr>
          <w:rFonts w:ascii="標楷體" w:eastAsia="標楷體" w:hAnsi="標楷體" w:cs="標楷體" w:hint="eastAsia"/>
          <w:kern w:val="52"/>
          <w:szCs w:val="32"/>
        </w:rPr>
        <w:t>經濟部引導匯回資金至國內產業實質投資應有一定助益，另未依核准計畫投資且未存回外匯存款專戶、資金移作他用或未依規定辦理備查者，經濟部將通報稅捐稽徵機關及受理銀行</w:t>
      </w:r>
      <w:r w:rsidR="00F60428" w:rsidRPr="00F60428">
        <w:rPr>
          <w:rFonts w:ascii="標楷體" w:eastAsia="標楷體" w:hAnsi="標楷體" w:cs="標楷體" w:hint="eastAsia"/>
          <w:kern w:val="52"/>
          <w:szCs w:val="32"/>
        </w:rPr>
        <w:t>。</w:t>
      </w:r>
    </w:p>
    <w:p w14:paraId="3C699572" w14:textId="3370B9F2" w:rsidR="00F60428" w:rsidRPr="00F60428" w:rsidRDefault="00B46290" w:rsidP="004D7C92">
      <w:pPr>
        <w:overflowPunct w:val="0"/>
        <w:snapToGrid w:val="0"/>
        <w:spacing w:line="410" w:lineRule="exact"/>
        <w:ind w:firstLineChars="450" w:firstLine="1080"/>
        <w:jc w:val="both"/>
        <w:rPr>
          <w:rFonts w:ascii="標楷體" w:eastAsia="標楷體" w:hAnsi="標楷體" w:cstheme="minorBidi"/>
          <w:szCs w:val="22"/>
        </w:rPr>
      </w:pPr>
      <w:r w:rsidRPr="00F60428">
        <w:rPr>
          <w:rFonts w:asciiTheme="minorHAnsi" w:eastAsiaTheme="minorEastAsia" w:hAnsiTheme="minorHAnsi" w:cstheme="minorBidi"/>
          <w:noProof/>
          <w:spacing w:val="-4"/>
          <w:szCs w:val="22"/>
        </w:rPr>
        <mc:AlternateContent>
          <mc:Choice Requires="wps">
            <w:drawing>
              <wp:anchor distT="45720" distB="45720" distL="114300" distR="114300" simplePos="0" relativeHeight="251638784" behindDoc="1" locked="0" layoutInCell="1" allowOverlap="1" wp14:anchorId="541E4E8D" wp14:editId="7A0366B9">
                <wp:simplePos x="0" y="0"/>
                <wp:positionH relativeFrom="margin">
                  <wp:posOffset>2698750</wp:posOffset>
                </wp:positionH>
                <wp:positionV relativeFrom="paragraph">
                  <wp:posOffset>3320415</wp:posOffset>
                </wp:positionV>
                <wp:extent cx="3599815" cy="1889760"/>
                <wp:effectExtent l="0" t="0" r="635" b="0"/>
                <wp:wrapTight wrapText="bothSides">
                  <wp:wrapPolygon edited="0">
                    <wp:start x="0" y="0"/>
                    <wp:lineTo x="0" y="21339"/>
                    <wp:lineTo x="21490" y="21339"/>
                    <wp:lineTo x="21490" y="0"/>
                    <wp:lineTo x="0" y="0"/>
                  </wp:wrapPolygon>
                </wp:wrapTight>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9815" cy="1889760"/>
                        </a:xfrm>
                        <a:prstGeom prst="rect">
                          <a:avLst/>
                        </a:prstGeom>
                        <a:solidFill>
                          <a:srgbClr val="FFFFFF"/>
                        </a:solidFill>
                        <a:ln w="9525">
                          <a:noFill/>
                          <a:miter lim="800000"/>
                          <a:headEnd/>
                          <a:tailEnd/>
                        </a:ln>
                      </wps:spPr>
                      <wps:txbx>
                        <w:txbxContent>
                          <w:tbl>
                            <w:tblPr>
                              <w:tblStyle w:val="39"/>
                              <w:tblW w:w="0" w:type="auto"/>
                              <w:tblLayout w:type="fixed"/>
                              <w:tblLook w:val="04A0" w:firstRow="1" w:lastRow="0" w:firstColumn="1" w:lastColumn="0" w:noHBand="0" w:noVBand="1"/>
                            </w:tblPr>
                            <w:tblGrid>
                              <w:gridCol w:w="1418"/>
                              <w:gridCol w:w="851"/>
                              <w:gridCol w:w="1191"/>
                              <w:gridCol w:w="1134"/>
                              <w:gridCol w:w="851"/>
                            </w:tblGrid>
                            <w:tr w:rsidR="00A0212B" w:rsidRPr="00B46290" w14:paraId="50C4FACC" w14:textId="77777777" w:rsidTr="00F60428">
                              <w:tc>
                                <w:tcPr>
                                  <w:tcW w:w="1134" w:type="dxa"/>
                                  <w:gridSpan w:val="5"/>
                                  <w:tcBorders>
                                    <w:top w:val="nil"/>
                                    <w:left w:val="nil"/>
                                    <w:bottom w:val="single" w:sz="4" w:space="0" w:color="auto"/>
                                    <w:right w:val="nil"/>
                                  </w:tcBorders>
                                </w:tcPr>
                                <w:p w14:paraId="18C5BCBF" w14:textId="1CF6B2C9" w:rsidR="00A0212B" w:rsidRPr="004D7C92" w:rsidRDefault="00A0212B" w:rsidP="004D7C92">
                                  <w:pPr>
                                    <w:overflowPunct w:val="0"/>
                                    <w:ind w:leftChars="-50" w:left="553" w:rightChars="-50" w:right="-120" w:hangingChars="280" w:hanging="673"/>
                                    <w:jc w:val="both"/>
                                    <w:rPr>
                                      <w:rStyle w:val="fontstyle01"/>
                                      <w:rFonts w:ascii="標楷體" w:eastAsia="標楷體" w:hAnsi="標楷體"/>
                                      <w:b/>
                                      <w:color w:val="000000" w:themeColor="text1"/>
                                      <w:sz w:val="24"/>
                                      <w:szCs w:val="24"/>
                                    </w:rPr>
                                  </w:pPr>
                                  <w:r w:rsidRPr="004D7C92">
                                    <w:rPr>
                                      <w:rStyle w:val="fontstyle01"/>
                                      <w:rFonts w:ascii="標楷體" w:eastAsia="標楷體" w:hAnsi="標楷體" w:hint="eastAsia"/>
                                      <w:b/>
                                      <w:color w:val="000000" w:themeColor="text1"/>
                                      <w:sz w:val="24"/>
                                      <w:szCs w:val="24"/>
                                    </w:rPr>
                                    <w:t>表</w:t>
                                  </w:r>
                                  <w:r w:rsidRPr="004D7C92">
                                    <w:rPr>
                                      <w:rStyle w:val="fontstyle01"/>
                                      <w:rFonts w:ascii="標楷體" w:eastAsia="標楷體" w:hAnsi="標楷體"/>
                                      <w:b/>
                                      <w:color w:val="000000" w:themeColor="text1"/>
                                      <w:sz w:val="24"/>
                                      <w:szCs w:val="24"/>
                                    </w:rPr>
                                    <w:t>7</w:t>
                                  </w:r>
                                  <w:r w:rsidRPr="004D7C92">
                                    <w:rPr>
                                      <w:rStyle w:val="fontstyle01"/>
                                      <w:rFonts w:ascii="標楷體" w:eastAsia="標楷體" w:hAnsi="標楷體" w:hint="eastAsia"/>
                                      <w:b/>
                                      <w:color w:val="000000" w:themeColor="text1"/>
                                      <w:sz w:val="24"/>
                                      <w:szCs w:val="24"/>
                                    </w:rPr>
                                    <w:t xml:space="preserve">　截至</w:t>
                                  </w:r>
                                  <w:r w:rsidRPr="004D7C92">
                                    <w:rPr>
                                      <w:rStyle w:val="fontstyle01"/>
                                      <w:rFonts w:ascii="標楷體" w:eastAsia="標楷體" w:hAnsi="標楷體"/>
                                      <w:b/>
                                      <w:color w:val="000000" w:themeColor="text1"/>
                                      <w:sz w:val="24"/>
                                      <w:szCs w:val="24"/>
                                    </w:rPr>
                                    <w:t>112年</w:t>
                                  </w:r>
                                  <w:r w:rsidRPr="004D7C92">
                                    <w:rPr>
                                      <w:rStyle w:val="fontstyle01"/>
                                      <w:rFonts w:ascii="標楷體" w:eastAsia="標楷體" w:hAnsi="標楷體" w:hint="eastAsia"/>
                                      <w:b/>
                                      <w:color w:val="000000" w:themeColor="text1"/>
                                      <w:sz w:val="24"/>
                                      <w:szCs w:val="24"/>
                                    </w:rPr>
                                    <w:t>底臺</w:t>
                                  </w:r>
                                  <w:r w:rsidRPr="004D7C92">
                                    <w:rPr>
                                      <w:rStyle w:val="fontstyle01"/>
                                      <w:rFonts w:ascii="標楷體" w:eastAsia="標楷體" w:hAnsi="標楷體"/>
                                      <w:b/>
                                      <w:color w:val="000000" w:themeColor="text1"/>
                                      <w:sz w:val="24"/>
                                      <w:szCs w:val="24"/>
                                    </w:rPr>
                                    <w:t>商回臺、</w:t>
                                  </w:r>
                                  <w:r w:rsidRPr="004D7C92">
                                    <w:rPr>
                                      <w:rStyle w:val="fontstyle01"/>
                                      <w:rFonts w:ascii="標楷體" w:eastAsia="標楷體" w:hAnsi="標楷體" w:hint="eastAsia"/>
                                      <w:b/>
                                      <w:color w:val="000000" w:themeColor="text1"/>
                                      <w:sz w:val="24"/>
                                      <w:szCs w:val="24"/>
                                    </w:rPr>
                                    <w:t>根留</w:t>
                                  </w:r>
                                  <w:r w:rsidRPr="004D7C92">
                                    <w:rPr>
                                      <w:rStyle w:val="fontstyle01"/>
                                      <w:rFonts w:ascii="標楷體" w:eastAsia="標楷體" w:hAnsi="標楷體"/>
                                      <w:b/>
                                      <w:color w:val="000000" w:themeColor="text1"/>
                                      <w:sz w:val="24"/>
                                      <w:szCs w:val="24"/>
                                    </w:rPr>
                                    <w:t>臺灣方案</w:t>
                                  </w:r>
                                  <w:r w:rsidRPr="004D7C92">
                                    <w:rPr>
                                      <w:rStyle w:val="fontstyle01"/>
                                      <w:rFonts w:ascii="標楷體" w:eastAsia="標楷體" w:hAnsi="標楷體" w:hint="eastAsia"/>
                                      <w:b/>
                                      <w:color w:val="000000" w:themeColor="text1"/>
                                      <w:sz w:val="24"/>
                                      <w:szCs w:val="24"/>
                                    </w:rPr>
                                    <w:t>融資貸款及</w:t>
                                  </w:r>
                                  <w:r w:rsidRPr="004D7C92">
                                    <w:rPr>
                                      <w:rFonts w:ascii="標楷體" w:eastAsia="標楷體" w:hAnsi="標楷體" w:hint="eastAsia"/>
                                      <w:b/>
                                      <w:color w:val="000000" w:themeColor="text1"/>
                                      <w:szCs w:val="24"/>
                                    </w:rPr>
                                    <w:t>支付</w:t>
                                  </w:r>
                                  <w:r w:rsidRPr="004D7C92">
                                    <w:rPr>
                                      <w:rStyle w:val="fontstyle01"/>
                                      <w:rFonts w:ascii="標楷體" w:eastAsia="標楷體" w:hAnsi="標楷體" w:hint="eastAsia"/>
                                      <w:b/>
                                      <w:color w:val="000000" w:themeColor="text1"/>
                                      <w:sz w:val="24"/>
                                      <w:szCs w:val="24"/>
                                    </w:rPr>
                                    <w:t>委辦</w:t>
                                  </w:r>
                                  <w:r w:rsidRPr="004D7C92">
                                    <w:rPr>
                                      <w:rStyle w:val="fontstyle01"/>
                                      <w:rFonts w:ascii="標楷體" w:eastAsia="標楷體" w:hAnsi="標楷體"/>
                                      <w:b/>
                                      <w:color w:val="000000" w:themeColor="text1"/>
                                      <w:sz w:val="24"/>
                                      <w:szCs w:val="24"/>
                                    </w:rPr>
                                    <w:t>手續費情形</w:t>
                                  </w:r>
                                </w:p>
                                <w:p w14:paraId="74E6AE98" w14:textId="77777777" w:rsidR="00A0212B" w:rsidRPr="004D7C92" w:rsidRDefault="00A0212B" w:rsidP="00F60428">
                                  <w:pPr>
                                    <w:overflowPunct w:val="0"/>
                                    <w:spacing w:line="240" w:lineRule="exact"/>
                                    <w:ind w:left="720" w:firstLine="403"/>
                                    <w:jc w:val="right"/>
                                    <w:rPr>
                                      <w:rStyle w:val="fontstyle01"/>
                                      <w:rFonts w:ascii="標楷體" w:eastAsia="標楷體" w:hAnsi="標楷體"/>
                                      <w:sz w:val="20"/>
                                      <w:szCs w:val="20"/>
                                    </w:rPr>
                                  </w:pPr>
                                  <w:r w:rsidRPr="004D7C92">
                                    <w:rPr>
                                      <w:rStyle w:val="fontstyle01"/>
                                      <w:rFonts w:ascii="標楷體" w:eastAsia="標楷體" w:hAnsi="標楷體" w:hint="eastAsia"/>
                                      <w:sz w:val="20"/>
                                      <w:szCs w:val="20"/>
                                    </w:rPr>
                                    <w:t>單位：件、新臺幣百萬元、％</w:t>
                                  </w:r>
                                </w:p>
                              </w:tc>
                            </w:tr>
                            <w:tr w:rsidR="00A0212B" w:rsidRPr="00B46290" w14:paraId="023D4277" w14:textId="77777777" w:rsidTr="00F60428">
                              <w:trPr>
                                <w:trHeight w:val="284"/>
                              </w:trPr>
                              <w:tc>
                                <w:tcPr>
                                  <w:tcW w:w="1418" w:type="dxa"/>
                                  <w:vMerge w:val="restart"/>
                                  <w:shd w:val="clear" w:color="auto" w:fill="auto"/>
                                  <w:vAlign w:val="center"/>
                                </w:tcPr>
                                <w:p w14:paraId="2FD64E6F"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方案名稱</w:t>
                                  </w:r>
                                </w:p>
                              </w:tc>
                              <w:tc>
                                <w:tcPr>
                                  <w:tcW w:w="851" w:type="dxa"/>
                                  <w:vMerge w:val="restart"/>
                                  <w:shd w:val="clear" w:color="auto" w:fill="auto"/>
                                  <w:vAlign w:val="center"/>
                                </w:tcPr>
                                <w:p w14:paraId="4B8BC87F"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件數</w:t>
                                  </w:r>
                                </w:p>
                              </w:tc>
                              <w:tc>
                                <w:tcPr>
                                  <w:tcW w:w="1191" w:type="dxa"/>
                                  <w:vMerge w:val="restart"/>
                                  <w:shd w:val="clear" w:color="auto" w:fill="auto"/>
                                  <w:vAlign w:val="center"/>
                                </w:tcPr>
                                <w:p w14:paraId="4C97979D"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銀行實際</w:t>
                                  </w:r>
                                </w:p>
                                <w:p w14:paraId="6EA035F4"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撥貸金額</w:t>
                                  </w:r>
                                </w:p>
                              </w:tc>
                              <w:tc>
                                <w:tcPr>
                                  <w:tcW w:w="851" w:type="dxa"/>
                                  <w:gridSpan w:val="2"/>
                                  <w:shd w:val="clear" w:color="auto" w:fill="auto"/>
                                  <w:vAlign w:val="center"/>
                                </w:tcPr>
                                <w:p w14:paraId="1342BC44" w14:textId="77777777" w:rsidR="00A0212B" w:rsidRPr="004D7C92" w:rsidRDefault="00A0212B" w:rsidP="00F60428">
                                  <w:pPr>
                                    <w:overflowPunct w:val="0"/>
                                    <w:spacing w:line="240" w:lineRule="exact"/>
                                    <w:ind w:leftChars="-50" w:left="-120" w:rightChars="-50" w:right="-120"/>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支付委辦手續費補貼</w:t>
                                  </w:r>
                                </w:p>
                              </w:tc>
                            </w:tr>
                            <w:tr w:rsidR="00A0212B" w:rsidRPr="00B46290" w14:paraId="124177CF" w14:textId="77777777" w:rsidTr="00F60428">
                              <w:trPr>
                                <w:trHeight w:val="284"/>
                              </w:trPr>
                              <w:tc>
                                <w:tcPr>
                                  <w:tcW w:w="1418" w:type="dxa"/>
                                  <w:vMerge/>
                                  <w:shd w:val="clear" w:color="auto" w:fill="auto"/>
                                  <w:vAlign w:val="center"/>
                                </w:tcPr>
                                <w:p w14:paraId="032B86D5"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p>
                              </w:tc>
                              <w:tc>
                                <w:tcPr>
                                  <w:tcW w:w="851" w:type="dxa"/>
                                  <w:vMerge/>
                                  <w:shd w:val="clear" w:color="auto" w:fill="auto"/>
                                  <w:vAlign w:val="center"/>
                                </w:tcPr>
                                <w:p w14:paraId="37E04451"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p>
                              </w:tc>
                              <w:tc>
                                <w:tcPr>
                                  <w:tcW w:w="1191" w:type="dxa"/>
                                  <w:vMerge/>
                                  <w:shd w:val="clear" w:color="auto" w:fill="auto"/>
                                  <w:vAlign w:val="center"/>
                                </w:tcPr>
                                <w:p w14:paraId="31A9A4F9"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p>
                              </w:tc>
                              <w:tc>
                                <w:tcPr>
                                  <w:tcW w:w="1134" w:type="dxa"/>
                                  <w:tcBorders>
                                    <w:bottom w:val="single" w:sz="4" w:space="0" w:color="auto"/>
                                  </w:tcBorders>
                                  <w:shd w:val="clear" w:color="auto" w:fill="auto"/>
                                  <w:vAlign w:val="center"/>
                                </w:tcPr>
                                <w:p w14:paraId="542AB694" w14:textId="77777777" w:rsidR="00A0212B" w:rsidRPr="004D7C92" w:rsidRDefault="00A0212B" w:rsidP="00F60428">
                                  <w:pPr>
                                    <w:overflowPunct w:val="0"/>
                                    <w:spacing w:line="240" w:lineRule="exact"/>
                                    <w:jc w:val="center"/>
                                    <w:rPr>
                                      <w:rStyle w:val="fontstyle01"/>
                                      <w:rFonts w:ascii="標楷體" w:eastAsia="標楷體" w:hAnsi="標楷體"/>
                                      <w:b/>
                                      <w:sz w:val="20"/>
                                      <w:szCs w:val="20"/>
                                      <w:vertAlign w:val="superscript"/>
                                    </w:rPr>
                                  </w:pPr>
                                  <w:r w:rsidRPr="004D7C92">
                                    <w:rPr>
                                      <w:rStyle w:val="fontstyle01"/>
                                      <w:rFonts w:ascii="標楷體" w:eastAsia="標楷體" w:hAnsi="標楷體" w:hint="eastAsia"/>
                                      <w:sz w:val="20"/>
                                      <w:szCs w:val="20"/>
                                    </w:rPr>
                                    <w:t>金額</w:t>
                                  </w:r>
                                </w:p>
                              </w:tc>
                              <w:tc>
                                <w:tcPr>
                                  <w:tcW w:w="851" w:type="dxa"/>
                                  <w:shd w:val="clear" w:color="auto" w:fill="auto"/>
                                  <w:vAlign w:val="center"/>
                                </w:tcPr>
                                <w:p w14:paraId="05AB289B"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占比</w:t>
                                  </w:r>
                                </w:p>
                              </w:tc>
                            </w:tr>
                            <w:tr w:rsidR="00A0212B" w:rsidRPr="00B46290" w14:paraId="6ACE86EF" w14:textId="77777777" w:rsidTr="00F60428">
                              <w:trPr>
                                <w:trHeight w:val="340"/>
                              </w:trPr>
                              <w:tc>
                                <w:tcPr>
                                  <w:tcW w:w="1418" w:type="dxa"/>
                                  <w:vAlign w:val="center"/>
                                </w:tcPr>
                                <w:p w14:paraId="749E0E32"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b/>
                                      <w:sz w:val="20"/>
                                      <w:szCs w:val="20"/>
                                    </w:rPr>
                                    <w:t>合計</w:t>
                                  </w:r>
                                </w:p>
                              </w:tc>
                              <w:tc>
                                <w:tcPr>
                                  <w:tcW w:w="851" w:type="dxa"/>
                                  <w:vAlign w:val="center"/>
                                </w:tcPr>
                                <w:p w14:paraId="6E9397BC"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r w:rsidRPr="004D7C92">
                                    <w:rPr>
                                      <w:rStyle w:val="fontstyle01"/>
                                      <w:rFonts w:ascii="標楷體" w:eastAsia="標楷體" w:hAnsi="標楷體"/>
                                      <w:b/>
                                      <w:sz w:val="20"/>
                                      <w:szCs w:val="20"/>
                                    </w:rPr>
                                    <w:t>372</w:t>
                                  </w:r>
                                </w:p>
                              </w:tc>
                              <w:tc>
                                <w:tcPr>
                                  <w:tcW w:w="1191" w:type="dxa"/>
                                  <w:vAlign w:val="center"/>
                                </w:tcPr>
                                <w:p w14:paraId="2F310601"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r w:rsidRPr="004D7C92">
                                    <w:rPr>
                                      <w:rStyle w:val="fontstyle01"/>
                                      <w:rFonts w:ascii="標楷體" w:eastAsia="標楷體" w:hAnsi="標楷體"/>
                                      <w:b/>
                                      <w:sz w:val="20"/>
                                      <w:szCs w:val="20"/>
                                    </w:rPr>
                                    <w:t>430,706</w:t>
                                  </w:r>
                                </w:p>
                              </w:tc>
                              <w:tc>
                                <w:tcPr>
                                  <w:tcW w:w="1134" w:type="dxa"/>
                                  <w:vAlign w:val="center"/>
                                </w:tcPr>
                                <w:p w14:paraId="06C00DD6"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r w:rsidRPr="004D7C92">
                                    <w:rPr>
                                      <w:rStyle w:val="fontstyle01"/>
                                      <w:rFonts w:ascii="標楷體" w:eastAsia="標楷體" w:hAnsi="標楷體"/>
                                      <w:b/>
                                      <w:sz w:val="20"/>
                                      <w:szCs w:val="20"/>
                                    </w:rPr>
                                    <w:t>5,243</w:t>
                                  </w:r>
                                </w:p>
                              </w:tc>
                              <w:tc>
                                <w:tcPr>
                                  <w:tcW w:w="851" w:type="dxa"/>
                                  <w:vAlign w:val="center"/>
                                </w:tcPr>
                                <w:p w14:paraId="10DF8A6F"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r w:rsidRPr="004D7C92">
                                    <w:rPr>
                                      <w:rStyle w:val="fontstyle01"/>
                                      <w:rFonts w:ascii="標楷體" w:eastAsia="標楷體" w:hAnsi="標楷體"/>
                                      <w:b/>
                                      <w:sz w:val="20"/>
                                      <w:szCs w:val="20"/>
                                    </w:rPr>
                                    <w:t>100.00</w:t>
                                  </w:r>
                                </w:p>
                              </w:tc>
                            </w:tr>
                            <w:tr w:rsidR="00A0212B" w:rsidRPr="00B46290" w14:paraId="1333EA78" w14:textId="77777777" w:rsidTr="00F60428">
                              <w:trPr>
                                <w:trHeight w:val="340"/>
                              </w:trPr>
                              <w:tc>
                                <w:tcPr>
                                  <w:tcW w:w="1418" w:type="dxa"/>
                                  <w:vAlign w:val="center"/>
                                </w:tcPr>
                                <w:p w14:paraId="101B6B06" w14:textId="77777777" w:rsidR="00A0212B" w:rsidRPr="004D7C92" w:rsidRDefault="00A0212B" w:rsidP="00F60428">
                                  <w:pPr>
                                    <w:overflowPunct w:val="0"/>
                                    <w:spacing w:line="240" w:lineRule="exact"/>
                                    <w:jc w:val="both"/>
                                    <w:rPr>
                                      <w:rStyle w:val="fontstyle01"/>
                                      <w:rFonts w:ascii="標楷體" w:eastAsia="標楷體" w:hAnsi="標楷體"/>
                                      <w:sz w:val="20"/>
                                      <w:szCs w:val="20"/>
                                    </w:rPr>
                                  </w:pPr>
                                  <w:r w:rsidRPr="004D7C92">
                                    <w:rPr>
                                      <w:rStyle w:val="fontstyle01"/>
                                      <w:rFonts w:ascii="標楷體" w:eastAsia="標楷體" w:hAnsi="標楷體" w:hint="eastAsia"/>
                                      <w:sz w:val="20"/>
                                      <w:szCs w:val="20"/>
                                    </w:rPr>
                                    <w:t>臺商回臺方</w:t>
                                  </w:r>
                                  <w:r w:rsidRPr="004D7C92">
                                    <w:rPr>
                                      <w:rStyle w:val="fontstyle01"/>
                                      <w:rFonts w:ascii="標楷體" w:eastAsia="標楷體" w:hAnsi="標楷體"/>
                                      <w:sz w:val="20"/>
                                      <w:szCs w:val="20"/>
                                    </w:rPr>
                                    <w:t>案</w:t>
                                  </w:r>
                                </w:p>
                              </w:tc>
                              <w:tc>
                                <w:tcPr>
                                  <w:tcW w:w="851" w:type="dxa"/>
                                  <w:vAlign w:val="center"/>
                                </w:tcPr>
                                <w:p w14:paraId="06E583C0"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234</w:t>
                                  </w:r>
                                </w:p>
                              </w:tc>
                              <w:tc>
                                <w:tcPr>
                                  <w:tcW w:w="1191" w:type="dxa"/>
                                  <w:vAlign w:val="center"/>
                                </w:tcPr>
                                <w:p w14:paraId="2DFC0390"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329,682</w:t>
                                  </w:r>
                                </w:p>
                              </w:tc>
                              <w:tc>
                                <w:tcPr>
                                  <w:tcW w:w="1134" w:type="dxa"/>
                                  <w:vAlign w:val="center"/>
                                </w:tcPr>
                                <w:p w14:paraId="38218899"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4,479</w:t>
                                  </w:r>
                                </w:p>
                              </w:tc>
                              <w:tc>
                                <w:tcPr>
                                  <w:tcW w:w="851" w:type="dxa"/>
                                  <w:vAlign w:val="center"/>
                                </w:tcPr>
                                <w:p w14:paraId="798234E3"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85.44</w:t>
                                  </w:r>
                                </w:p>
                              </w:tc>
                            </w:tr>
                            <w:tr w:rsidR="00A0212B" w:rsidRPr="00B46290" w14:paraId="31D6C3C6" w14:textId="77777777" w:rsidTr="00F60428">
                              <w:trPr>
                                <w:trHeight w:val="340"/>
                              </w:trPr>
                              <w:tc>
                                <w:tcPr>
                                  <w:tcW w:w="1418" w:type="dxa"/>
                                  <w:vAlign w:val="center"/>
                                </w:tcPr>
                                <w:p w14:paraId="49B6B6C4" w14:textId="77777777" w:rsidR="00A0212B" w:rsidRPr="004D7C92" w:rsidRDefault="00A0212B" w:rsidP="00F60428">
                                  <w:pPr>
                                    <w:overflowPunct w:val="0"/>
                                    <w:spacing w:line="240" w:lineRule="exact"/>
                                    <w:jc w:val="both"/>
                                    <w:rPr>
                                      <w:rStyle w:val="fontstyle01"/>
                                      <w:rFonts w:ascii="標楷體" w:eastAsia="標楷體" w:hAnsi="標楷體"/>
                                      <w:sz w:val="20"/>
                                      <w:szCs w:val="20"/>
                                    </w:rPr>
                                  </w:pPr>
                                  <w:r w:rsidRPr="004D7C92">
                                    <w:rPr>
                                      <w:rStyle w:val="fontstyle01"/>
                                      <w:rFonts w:ascii="標楷體" w:eastAsia="標楷體" w:hAnsi="標楷體" w:hint="eastAsia"/>
                                      <w:sz w:val="20"/>
                                      <w:szCs w:val="20"/>
                                    </w:rPr>
                                    <w:t>根留臺灣方</w:t>
                                  </w:r>
                                  <w:r w:rsidRPr="004D7C92">
                                    <w:rPr>
                                      <w:rStyle w:val="fontstyle01"/>
                                      <w:rFonts w:ascii="標楷體" w:eastAsia="標楷體" w:hAnsi="標楷體"/>
                                      <w:sz w:val="20"/>
                                      <w:szCs w:val="20"/>
                                    </w:rPr>
                                    <w:t>案</w:t>
                                  </w:r>
                                </w:p>
                              </w:tc>
                              <w:tc>
                                <w:tcPr>
                                  <w:tcW w:w="851" w:type="dxa"/>
                                  <w:vAlign w:val="center"/>
                                </w:tcPr>
                                <w:p w14:paraId="018E4763"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138</w:t>
                                  </w:r>
                                </w:p>
                              </w:tc>
                              <w:tc>
                                <w:tcPr>
                                  <w:tcW w:w="1191" w:type="dxa"/>
                                  <w:vAlign w:val="center"/>
                                </w:tcPr>
                                <w:p w14:paraId="4A554DB2"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101,023</w:t>
                                  </w:r>
                                </w:p>
                              </w:tc>
                              <w:tc>
                                <w:tcPr>
                                  <w:tcW w:w="1134" w:type="dxa"/>
                                  <w:vAlign w:val="center"/>
                                </w:tcPr>
                                <w:p w14:paraId="4592905D"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763</w:t>
                                  </w:r>
                                </w:p>
                              </w:tc>
                              <w:tc>
                                <w:tcPr>
                                  <w:tcW w:w="851" w:type="dxa"/>
                                  <w:vAlign w:val="center"/>
                                </w:tcPr>
                                <w:p w14:paraId="22B917E7"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14.56</w:t>
                                  </w:r>
                                </w:p>
                              </w:tc>
                            </w:tr>
                            <w:tr w:rsidR="00A0212B" w:rsidRPr="00B46290" w14:paraId="72D4870F" w14:textId="77777777" w:rsidTr="00F60428">
                              <w:tc>
                                <w:tcPr>
                                  <w:tcW w:w="1134" w:type="dxa"/>
                                  <w:gridSpan w:val="5"/>
                                  <w:tcBorders>
                                    <w:left w:val="nil"/>
                                    <w:bottom w:val="nil"/>
                                    <w:right w:val="nil"/>
                                  </w:tcBorders>
                                </w:tcPr>
                                <w:p w14:paraId="17214804" w14:textId="3F359CCA" w:rsidR="00A0212B" w:rsidRPr="004D7C92" w:rsidRDefault="00A0212B" w:rsidP="00F60428">
                                  <w:pPr>
                                    <w:overflowPunct w:val="0"/>
                                    <w:spacing w:line="200" w:lineRule="exact"/>
                                    <w:ind w:left="540" w:hangingChars="300" w:hanging="540"/>
                                    <w:jc w:val="both"/>
                                    <w:rPr>
                                      <w:rStyle w:val="fontstyle01"/>
                                      <w:rFonts w:ascii="標楷體" w:eastAsia="標楷體" w:hAnsi="標楷體"/>
                                    </w:rPr>
                                  </w:pPr>
                                  <w:r w:rsidRPr="004D7C92">
                                    <w:rPr>
                                      <w:rStyle w:val="fontstyle01"/>
                                      <w:rFonts w:ascii="標楷體" w:eastAsia="標楷體" w:hAnsi="標楷體" w:hint="eastAsia"/>
                                      <w:sz w:val="18"/>
                                      <w:szCs w:val="18"/>
                                    </w:rPr>
                                    <w:t>資料來源：整理自</w:t>
                                  </w:r>
                                  <w:r w:rsidRPr="00695090">
                                    <w:rPr>
                                      <w:rStyle w:val="fontstyle01"/>
                                      <w:rFonts w:ascii="標楷體" w:eastAsia="標楷體" w:hAnsi="標楷體" w:hint="eastAsia"/>
                                      <w:sz w:val="18"/>
                                      <w:szCs w:val="18"/>
                                    </w:rPr>
                                    <w:t>行政院國家發展基金</w:t>
                                  </w:r>
                                  <w:r w:rsidRPr="004D7C92">
                                    <w:rPr>
                                      <w:rStyle w:val="fontstyle01"/>
                                      <w:rFonts w:ascii="標楷體" w:eastAsia="標楷體" w:hAnsi="標楷體" w:hint="eastAsia"/>
                                      <w:sz w:val="18"/>
                                      <w:szCs w:val="18"/>
                                    </w:rPr>
                                    <w:t>提供資料。</w:t>
                                  </w:r>
                                </w:p>
                              </w:tc>
                            </w:tr>
                          </w:tbl>
                          <w:p w14:paraId="5E4E40D6" w14:textId="77777777" w:rsidR="00A0212B" w:rsidRPr="004D7C92" w:rsidRDefault="00A0212B" w:rsidP="00F60428">
                            <w:pPr>
                              <w:rPr>
                                <w:rFonts w:ascii="標楷體" w:eastAsia="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1E4E8D" id="_x0000_s1038" type="#_x0000_t202" style="position:absolute;left:0;text-align:left;margin-left:212.5pt;margin-top:261.45pt;width:283.45pt;height:148.8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" stroked="f">
                <v:textbox>
                  <w:txbxContent>
                    <w:tbl>
                      <w:tblPr>
                        <w:tblStyle w:val="39"/>
                        <w:tblW w:w="0" w:type="auto"/>
                        <w:tblLayout w:type="fixed"/>
                        <w:tblLook w:val="04A0" w:firstRow="1" w:lastRow="0" w:firstColumn="1" w:lastColumn="0" w:noHBand="0" w:noVBand="1"/>
                      </w:tblPr>
                      <w:tblGrid>
                        <w:gridCol w:w="1418"/>
                        <w:gridCol w:w="851"/>
                        <w:gridCol w:w="1191"/>
                        <w:gridCol w:w="1134"/>
                        <w:gridCol w:w="851"/>
                      </w:tblGrid>
                      <w:tr w:rsidR="00A0212B" w:rsidRPr="00B46290" w14:paraId="50C4FACC" w14:textId="77777777" w:rsidTr="00F60428">
                        <w:tc>
                          <w:tcPr>
                            <w:tcW w:w="1134" w:type="dxa"/>
                            <w:gridSpan w:val="5"/>
                            <w:tcBorders>
                              <w:top w:val="nil"/>
                              <w:left w:val="nil"/>
                              <w:bottom w:val="single" w:sz="4" w:space="0" w:color="auto"/>
                              <w:right w:val="nil"/>
                            </w:tcBorders>
                          </w:tcPr>
                          <w:p w14:paraId="18C5BCBF" w14:textId="1CF6B2C9" w:rsidR="00A0212B" w:rsidRPr="004D7C92" w:rsidRDefault="00A0212B" w:rsidP="004D7C92">
                            <w:pPr>
                              <w:overflowPunct w:val="0"/>
                              <w:ind w:leftChars="-50" w:left="553" w:rightChars="-50" w:right="-120" w:hangingChars="280" w:hanging="673"/>
                              <w:jc w:val="both"/>
                              <w:rPr>
                                <w:rStyle w:val="fontstyle01"/>
                                <w:rFonts w:ascii="標楷體" w:eastAsia="標楷體" w:hAnsi="標楷體"/>
                                <w:b/>
                                <w:color w:val="000000" w:themeColor="text1"/>
                                <w:sz w:val="24"/>
                                <w:szCs w:val="24"/>
                              </w:rPr>
                            </w:pPr>
                            <w:r w:rsidRPr="004D7C92">
                              <w:rPr>
                                <w:rStyle w:val="fontstyle01"/>
                                <w:rFonts w:ascii="標楷體" w:eastAsia="標楷體" w:hAnsi="標楷體" w:hint="eastAsia"/>
                                <w:b/>
                                <w:color w:val="000000" w:themeColor="text1"/>
                                <w:sz w:val="24"/>
                                <w:szCs w:val="24"/>
                              </w:rPr>
                              <w:t>表</w:t>
                            </w:r>
                            <w:r w:rsidRPr="004D7C92">
                              <w:rPr>
                                <w:rStyle w:val="fontstyle01"/>
                                <w:rFonts w:ascii="標楷體" w:eastAsia="標楷體" w:hAnsi="標楷體"/>
                                <w:b/>
                                <w:color w:val="000000" w:themeColor="text1"/>
                                <w:sz w:val="24"/>
                                <w:szCs w:val="24"/>
                              </w:rPr>
                              <w:t>7</w:t>
                            </w:r>
                            <w:r w:rsidRPr="004D7C92">
                              <w:rPr>
                                <w:rStyle w:val="fontstyle01"/>
                                <w:rFonts w:ascii="標楷體" w:eastAsia="標楷體" w:hAnsi="標楷體" w:hint="eastAsia"/>
                                <w:b/>
                                <w:color w:val="000000" w:themeColor="text1"/>
                                <w:sz w:val="24"/>
                                <w:szCs w:val="24"/>
                              </w:rPr>
                              <w:t xml:space="preserve">　截至</w:t>
                            </w:r>
                            <w:r w:rsidRPr="004D7C92">
                              <w:rPr>
                                <w:rStyle w:val="fontstyle01"/>
                                <w:rFonts w:ascii="標楷體" w:eastAsia="標楷體" w:hAnsi="標楷體"/>
                                <w:b/>
                                <w:color w:val="000000" w:themeColor="text1"/>
                                <w:sz w:val="24"/>
                                <w:szCs w:val="24"/>
                              </w:rPr>
                              <w:t>112年</w:t>
                            </w:r>
                            <w:r w:rsidRPr="004D7C92">
                              <w:rPr>
                                <w:rStyle w:val="fontstyle01"/>
                                <w:rFonts w:ascii="標楷體" w:eastAsia="標楷體" w:hAnsi="標楷體" w:hint="eastAsia"/>
                                <w:b/>
                                <w:color w:val="000000" w:themeColor="text1"/>
                                <w:sz w:val="24"/>
                                <w:szCs w:val="24"/>
                              </w:rPr>
                              <w:t>底臺</w:t>
                            </w:r>
                            <w:r w:rsidRPr="004D7C92">
                              <w:rPr>
                                <w:rStyle w:val="fontstyle01"/>
                                <w:rFonts w:ascii="標楷體" w:eastAsia="標楷體" w:hAnsi="標楷體"/>
                                <w:b/>
                                <w:color w:val="000000" w:themeColor="text1"/>
                                <w:sz w:val="24"/>
                                <w:szCs w:val="24"/>
                              </w:rPr>
                              <w:t>商回臺、</w:t>
                            </w:r>
                            <w:r w:rsidRPr="004D7C92">
                              <w:rPr>
                                <w:rStyle w:val="fontstyle01"/>
                                <w:rFonts w:ascii="標楷體" w:eastAsia="標楷體" w:hAnsi="標楷體" w:hint="eastAsia"/>
                                <w:b/>
                                <w:color w:val="000000" w:themeColor="text1"/>
                                <w:sz w:val="24"/>
                                <w:szCs w:val="24"/>
                              </w:rPr>
                              <w:t>根留</w:t>
                            </w:r>
                            <w:r w:rsidRPr="004D7C92">
                              <w:rPr>
                                <w:rStyle w:val="fontstyle01"/>
                                <w:rFonts w:ascii="標楷體" w:eastAsia="標楷體" w:hAnsi="標楷體"/>
                                <w:b/>
                                <w:color w:val="000000" w:themeColor="text1"/>
                                <w:sz w:val="24"/>
                                <w:szCs w:val="24"/>
                              </w:rPr>
                              <w:t>臺灣方案</w:t>
                            </w:r>
                            <w:r w:rsidRPr="004D7C92">
                              <w:rPr>
                                <w:rStyle w:val="fontstyle01"/>
                                <w:rFonts w:ascii="標楷體" w:eastAsia="標楷體" w:hAnsi="標楷體" w:hint="eastAsia"/>
                                <w:b/>
                                <w:color w:val="000000" w:themeColor="text1"/>
                                <w:sz w:val="24"/>
                                <w:szCs w:val="24"/>
                              </w:rPr>
                              <w:t>融資貸款及</w:t>
                            </w:r>
                            <w:r w:rsidRPr="004D7C92">
                              <w:rPr>
                                <w:rFonts w:ascii="標楷體" w:eastAsia="標楷體" w:hAnsi="標楷體" w:hint="eastAsia"/>
                                <w:b/>
                                <w:color w:val="000000" w:themeColor="text1"/>
                                <w:szCs w:val="24"/>
                              </w:rPr>
                              <w:t>支付</w:t>
                            </w:r>
                            <w:r w:rsidRPr="004D7C92">
                              <w:rPr>
                                <w:rStyle w:val="fontstyle01"/>
                                <w:rFonts w:ascii="標楷體" w:eastAsia="標楷體" w:hAnsi="標楷體" w:hint="eastAsia"/>
                                <w:b/>
                                <w:color w:val="000000" w:themeColor="text1"/>
                                <w:sz w:val="24"/>
                                <w:szCs w:val="24"/>
                              </w:rPr>
                              <w:t>委辦</w:t>
                            </w:r>
                            <w:r w:rsidRPr="004D7C92">
                              <w:rPr>
                                <w:rStyle w:val="fontstyle01"/>
                                <w:rFonts w:ascii="標楷體" w:eastAsia="標楷體" w:hAnsi="標楷體"/>
                                <w:b/>
                                <w:color w:val="000000" w:themeColor="text1"/>
                                <w:sz w:val="24"/>
                                <w:szCs w:val="24"/>
                              </w:rPr>
                              <w:t>手續費情形</w:t>
                            </w:r>
                          </w:p>
                          <w:p w14:paraId="74E6AE98" w14:textId="77777777" w:rsidR="00A0212B" w:rsidRPr="004D7C92" w:rsidRDefault="00A0212B" w:rsidP="00F60428">
                            <w:pPr>
                              <w:overflowPunct w:val="0"/>
                              <w:spacing w:line="240" w:lineRule="exact"/>
                              <w:ind w:left="720" w:firstLine="403"/>
                              <w:jc w:val="right"/>
                              <w:rPr>
                                <w:rStyle w:val="fontstyle01"/>
                                <w:rFonts w:ascii="標楷體" w:eastAsia="標楷體" w:hAnsi="標楷體"/>
                                <w:sz w:val="20"/>
                                <w:szCs w:val="20"/>
                              </w:rPr>
                            </w:pPr>
                            <w:r w:rsidRPr="004D7C92">
                              <w:rPr>
                                <w:rStyle w:val="fontstyle01"/>
                                <w:rFonts w:ascii="標楷體" w:eastAsia="標楷體" w:hAnsi="標楷體" w:hint="eastAsia"/>
                                <w:sz w:val="20"/>
                                <w:szCs w:val="20"/>
                              </w:rPr>
                              <w:t>單位：件、新臺幣百萬元、％</w:t>
                            </w:r>
                          </w:p>
                        </w:tc>
                      </w:tr>
                      <w:tr w:rsidR="00A0212B" w:rsidRPr="00B46290" w14:paraId="023D4277" w14:textId="77777777" w:rsidTr="00F60428">
                        <w:trPr>
                          <w:trHeight w:val="284"/>
                        </w:trPr>
                        <w:tc>
                          <w:tcPr>
                            <w:tcW w:w="1418" w:type="dxa"/>
                            <w:vMerge w:val="restart"/>
                            <w:shd w:val="clear" w:color="auto" w:fill="auto"/>
                            <w:vAlign w:val="center"/>
                          </w:tcPr>
                          <w:p w14:paraId="2FD64E6F"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方案名稱</w:t>
                            </w:r>
                          </w:p>
                        </w:tc>
                        <w:tc>
                          <w:tcPr>
                            <w:tcW w:w="851" w:type="dxa"/>
                            <w:vMerge w:val="restart"/>
                            <w:shd w:val="clear" w:color="auto" w:fill="auto"/>
                            <w:vAlign w:val="center"/>
                          </w:tcPr>
                          <w:p w14:paraId="4B8BC87F"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件數</w:t>
                            </w:r>
                          </w:p>
                        </w:tc>
                        <w:tc>
                          <w:tcPr>
                            <w:tcW w:w="1191" w:type="dxa"/>
                            <w:vMerge w:val="restart"/>
                            <w:shd w:val="clear" w:color="auto" w:fill="auto"/>
                            <w:vAlign w:val="center"/>
                          </w:tcPr>
                          <w:p w14:paraId="4C97979D"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銀行實際</w:t>
                            </w:r>
                          </w:p>
                          <w:p w14:paraId="6EA035F4"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撥貸金額</w:t>
                            </w:r>
                          </w:p>
                        </w:tc>
                        <w:tc>
                          <w:tcPr>
                            <w:tcW w:w="851" w:type="dxa"/>
                            <w:gridSpan w:val="2"/>
                            <w:shd w:val="clear" w:color="auto" w:fill="auto"/>
                            <w:vAlign w:val="center"/>
                          </w:tcPr>
                          <w:p w14:paraId="1342BC44" w14:textId="77777777" w:rsidR="00A0212B" w:rsidRPr="004D7C92" w:rsidRDefault="00A0212B" w:rsidP="00F60428">
                            <w:pPr>
                              <w:overflowPunct w:val="0"/>
                              <w:spacing w:line="240" w:lineRule="exact"/>
                              <w:ind w:leftChars="-50" w:left="-120" w:rightChars="-50" w:right="-120"/>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支付委辦手續費補貼</w:t>
                            </w:r>
                          </w:p>
                        </w:tc>
                      </w:tr>
                      <w:tr w:rsidR="00A0212B" w:rsidRPr="00B46290" w14:paraId="124177CF" w14:textId="77777777" w:rsidTr="00F60428">
                        <w:trPr>
                          <w:trHeight w:val="284"/>
                        </w:trPr>
                        <w:tc>
                          <w:tcPr>
                            <w:tcW w:w="1418" w:type="dxa"/>
                            <w:vMerge/>
                            <w:shd w:val="clear" w:color="auto" w:fill="auto"/>
                            <w:vAlign w:val="center"/>
                          </w:tcPr>
                          <w:p w14:paraId="032B86D5"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p>
                        </w:tc>
                        <w:tc>
                          <w:tcPr>
                            <w:tcW w:w="851" w:type="dxa"/>
                            <w:vMerge/>
                            <w:shd w:val="clear" w:color="auto" w:fill="auto"/>
                            <w:vAlign w:val="center"/>
                          </w:tcPr>
                          <w:p w14:paraId="37E04451"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p>
                        </w:tc>
                        <w:tc>
                          <w:tcPr>
                            <w:tcW w:w="1191" w:type="dxa"/>
                            <w:vMerge/>
                            <w:shd w:val="clear" w:color="auto" w:fill="auto"/>
                            <w:vAlign w:val="center"/>
                          </w:tcPr>
                          <w:p w14:paraId="31A9A4F9"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p>
                        </w:tc>
                        <w:tc>
                          <w:tcPr>
                            <w:tcW w:w="1134" w:type="dxa"/>
                            <w:tcBorders>
                              <w:bottom w:val="single" w:sz="4" w:space="0" w:color="auto"/>
                            </w:tcBorders>
                            <w:shd w:val="clear" w:color="auto" w:fill="auto"/>
                            <w:vAlign w:val="center"/>
                          </w:tcPr>
                          <w:p w14:paraId="542AB694" w14:textId="77777777" w:rsidR="00A0212B" w:rsidRPr="004D7C92" w:rsidRDefault="00A0212B" w:rsidP="00F60428">
                            <w:pPr>
                              <w:overflowPunct w:val="0"/>
                              <w:spacing w:line="240" w:lineRule="exact"/>
                              <w:jc w:val="center"/>
                              <w:rPr>
                                <w:rStyle w:val="fontstyle01"/>
                                <w:rFonts w:ascii="標楷體" w:eastAsia="標楷體" w:hAnsi="標楷體"/>
                                <w:b/>
                                <w:sz w:val="20"/>
                                <w:szCs w:val="20"/>
                                <w:vertAlign w:val="superscript"/>
                              </w:rPr>
                            </w:pPr>
                            <w:r w:rsidRPr="004D7C92">
                              <w:rPr>
                                <w:rStyle w:val="fontstyle01"/>
                                <w:rFonts w:ascii="標楷體" w:eastAsia="標楷體" w:hAnsi="標楷體" w:hint="eastAsia"/>
                                <w:sz w:val="20"/>
                                <w:szCs w:val="20"/>
                              </w:rPr>
                              <w:t>金額</w:t>
                            </w:r>
                          </w:p>
                        </w:tc>
                        <w:tc>
                          <w:tcPr>
                            <w:tcW w:w="851" w:type="dxa"/>
                            <w:shd w:val="clear" w:color="auto" w:fill="auto"/>
                            <w:vAlign w:val="center"/>
                          </w:tcPr>
                          <w:p w14:paraId="05AB289B"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sz w:val="20"/>
                                <w:szCs w:val="20"/>
                              </w:rPr>
                              <w:t>占比</w:t>
                            </w:r>
                          </w:p>
                        </w:tc>
                      </w:tr>
                      <w:tr w:rsidR="00A0212B" w:rsidRPr="00B46290" w14:paraId="6ACE86EF" w14:textId="77777777" w:rsidTr="00F60428">
                        <w:trPr>
                          <w:trHeight w:val="340"/>
                        </w:trPr>
                        <w:tc>
                          <w:tcPr>
                            <w:tcW w:w="1418" w:type="dxa"/>
                            <w:vAlign w:val="center"/>
                          </w:tcPr>
                          <w:p w14:paraId="749E0E32" w14:textId="77777777" w:rsidR="00A0212B" w:rsidRPr="004D7C92" w:rsidRDefault="00A0212B" w:rsidP="00F60428">
                            <w:pPr>
                              <w:overflowPunct w:val="0"/>
                              <w:spacing w:line="240" w:lineRule="exact"/>
                              <w:jc w:val="center"/>
                              <w:rPr>
                                <w:rStyle w:val="fontstyle01"/>
                                <w:rFonts w:ascii="標楷體" w:eastAsia="標楷體" w:hAnsi="標楷體"/>
                                <w:b/>
                                <w:sz w:val="20"/>
                                <w:szCs w:val="20"/>
                              </w:rPr>
                            </w:pPr>
                            <w:r w:rsidRPr="004D7C92">
                              <w:rPr>
                                <w:rStyle w:val="fontstyle01"/>
                                <w:rFonts w:ascii="標楷體" w:eastAsia="標楷體" w:hAnsi="標楷體" w:hint="eastAsia"/>
                                <w:b/>
                                <w:sz w:val="20"/>
                                <w:szCs w:val="20"/>
                              </w:rPr>
                              <w:t>合計</w:t>
                            </w:r>
                          </w:p>
                        </w:tc>
                        <w:tc>
                          <w:tcPr>
                            <w:tcW w:w="851" w:type="dxa"/>
                            <w:vAlign w:val="center"/>
                          </w:tcPr>
                          <w:p w14:paraId="6E9397BC"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r w:rsidRPr="004D7C92">
                              <w:rPr>
                                <w:rStyle w:val="fontstyle01"/>
                                <w:rFonts w:ascii="標楷體" w:eastAsia="標楷體" w:hAnsi="標楷體"/>
                                <w:b/>
                                <w:sz w:val="20"/>
                                <w:szCs w:val="20"/>
                              </w:rPr>
                              <w:t>372</w:t>
                            </w:r>
                          </w:p>
                        </w:tc>
                        <w:tc>
                          <w:tcPr>
                            <w:tcW w:w="1191" w:type="dxa"/>
                            <w:vAlign w:val="center"/>
                          </w:tcPr>
                          <w:p w14:paraId="2F310601"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r w:rsidRPr="004D7C92">
                              <w:rPr>
                                <w:rStyle w:val="fontstyle01"/>
                                <w:rFonts w:ascii="標楷體" w:eastAsia="標楷體" w:hAnsi="標楷體"/>
                                <w:b/>
                                <w:sz w:val="20"/>
                                <w:szCs w:val="20"/>
                              </w:rPr>
                              <w:t>430,706</w:t>
                            </w:r>
                          </w:p>
                        </w:tc>
                        <w:tc>
                          <w:tcPr>
                            <w:tcW w:w="1134" w:type="dxa"/>
                            <w:vAlign w:val="center"/>
                          </w:tcPr>
                          <w:p w14:paraId="06C00DD6"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r w:rsidRPr="004D7C92">
                              <w:rPr>
                                <w:rStyle w:val="fontstyle01"/>
                                <w:rFonts w:ascii="標楷體" w:eastAsia="標楷體" w:hAnsi="標楷體"/>
                                <w:b/>
                                <w:sz w:val="20"/>
                                <w:szCs w:val="20"/>
                              </w:rPr>
                              <w:t>5,243</w:t>
                            </w:r>
                          </w:p>
                        </w:tc>
                        <w:tc>
                          <w:tcPr>
                            <w:tcW w:w="851" w:type="dxa"/>
                            <w:vAlign w:val="center"/>
                          </w:tcPr>
                          <w:p w14:paraId="10DF8A6F" w14:textId="77777777" w:rsidR="00A0212B" w:rsidRPr="004D7C92" w:rsidRDefault="00A0212B" w:rsidP="00F60428">
                            <w:pPr>
                              <w:overflowPunct w:val="0"/>
                              <w:spacing w:line="240" w:lineRule="exact"/>
                              <w:jc w:val="right"/>
                              <w:rPr>
                                <w:rStyle w:val="fontstyle01"/>
                                <w:rFonts w:ascii="標楷體" w:eastAsia="標楷體" w:hAnsi="標楷體"/>
                                <w:b/>
                                <w:sz w:val="20"/>
                                <w:szCs w:val="20"/>
                              </w:rPr>
                            </w:pPr>
                            <w:r w:rsidRPr="004D7C92">
                              <w:rPr>
                                <w:rStyle w:val="fontstyle01"/>
                                <w:rFonts w:ascii="標楷體" w:eastAsia="標楷體" w:hAnsi="標楷體"/>
                                <w:b/>
                                <w:sz w:val="20"/>
                                <w:szCs w:val="20"/>
                              </w:rPr>
                              <w:t>100.00</w:t>
                            </w:r>
                          </w:p>
                        </w:tc>
                      </w:tr>
                      <w:tr w:rsidR="00A0212B" w:rsidRPr="00B46290" w14:paraId="1333EA78" w14:textId="77777777" w:rsidTr="00F60428">
                        <w:trPr>
                          <w:trHeight w:val="340"/>
                        </w:trPr>
                        <w:tc>
                          <w:tcPr>
                            <w:tcW w:w="1418" w:type="dxa"/>
                            <w:vAlign w:val="center"/>
                          </w:tcPr>
                          <w:p w14:paraId="101B6B06" w14:textId="77777777" w:rsidR="00A0212B" w:rsidRPr="004D7C92" w:rsidRDefault="00A0212B" w:rsidP="00F60428">
                            <w:pPr>
                              <w:overflowPunct w:val="0"/>
                              <w:spacing w:line="240" w:lineRule="exact"/>
                              <w:jc w:val="both"/>
                              <w:rPr>
                                <w:rStyle w:val="fontstyle01"/>
                                <w:rFonts w:ascii="標楷體" w:eastAsia="標楷體" w:hAnsi="標楷體"/>
                                <w:sz w:val="20"/>
                                <w:szCs w:val="20"/>
                              </w:rPr>
                            </w:pPr>
                            <w:r w:rsidRPr="004D7C92">
                              <w:rPr>
                                <w:rStyle w:val="fontstyle01"/>
                                <w:rFonts w:ascii="標楷體" w:eastAsia="標楷體" w:hAnsi="標楷體" w:hint="eastAsia"/>
                                <w:sz w:val="20"/>
                                <w:szCs w:val="20"/>
                              </w:rPr>
                              <w:t>臺商回臺方</w:t>
                            </w:r>
                            <w:r w:rsidRPr="004D7C92">
                              <w:rPr>
                                <w:rStyle w:val="fontstyle01"/>
                                <w:rFonts w:ascii="標楷體" w:eastAsia="標楷體" w:hAnsi="標楷體"/>
                                <w:sz w:val="20"/>
                                <w:szCs w:val="20"/>
                              </w:rPr>
                              <w:t>案</w:t>
                            </w:r>
                          </w:p>
                        </w:tc>
                        <w:tc>
                          <w:tcPr>
                            <w:tcW w:w="851" w:type="dxa"/>
                            <w:vAlign w:val="center"/>
                          </w:tcPr>
                          <w:p w14:paraId="06E583C0"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234</w:t>
                            </w:r>
                          </w:p>
                        </w:tc>
                        <w:tc>
                          <w:tcPr>
                            <w:tcW w:w="1191" w:type="dxa"/>
                            <w:vAlign w:val="center"/>
                          </w:tcPr>
                          <w:p w14:paraId="2DFC0390"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329,682</w:t>
                            </w:r>
                          </w:p>
                        </w:tc>
                        <w:tc>
                          <w:tcPr>
                            <w:tcW w:w="1134" w:type="dxa"/>
                            <w:vAlign w:val="center"/>
                          </w:tcPr>
                          <w:p w14:paraId="38218899"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4,479</w:t>
                            </w:r>
                          </w:p>
                        </w:tc>
                        <w:tc>
                          <w:tcPr>
                            <w:tcW w:w="851" w:type="dxa"/>
                            <w:vAlign w:val="center"/>
                          </w:tcPr>
                          <w:p w14:paraId="798234E3"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85.44</w:t>
                            </w:r>
                          </w:p>
                        </w:tc>
                      </w:tr>
                      <w:tr w:rsidR="00A0212B" w:rsidRPr="00B46290" w14:paraId="31D6C3C6" w14:textId="77777777" w:rsidTr="00F60428">
                        <w:trPr>
                          <w:trHeight w:val="340"/>
                        </w:trPr>
                        <w:tc>
                          <w:tcPr>
                            <w:tcW w:w="1418" w:type="dxa"/>
                            <w:vAlign w:val="center"/>
                          </w:tcPr>
                          <w:p w14:paraId="49B6B6C4" w14:textId="77777777" w:rsidR="00A0212B" w:rsidRPr="004D7C92" w:rsidRDefault="00A0212B" w:rsidP="00F60428">
                            <w:pPr>
                              <w:overflowPunct w:val="0"/>
                              <w:spacing w:line="240" w:lineRule="exact"/>
                              <w:jc w:val="both"/>
                              <w:rPr>
                                <w:rStyle w:val="fontstyle01"/>
                                <w:rFonts w:ascii="標楷體" w:eastAsia="標楷體" w:hAnsi="標楷體"/>
                                <w:sz w:val="20"/>
                                <w:szCs w:val="20"/>
                              </w:rPr>
                            </w:pPr>
                            <w:r w:rsidRPr="004D7C92">
                              <w:rPr>
                                <w:rStyle w:val="fontstyle01"/>
                                <w:rFonts w:ascii="標楷體" w:eastAsia="標楷體" w:hAnsi="標楷體" w:hint="eastAsia"/>
                                <w:sz w:val="20"/>
                                <w:szCs w:val="20"/>
                              </w:rPr>
                              <w:t>根留臺灣方</w:t>
                            </w:r>
                            <w:r w:rsidRPr="004D7C92">
                              <w:rPr>
                                <w:rStyle w:val="fontstyle01"/>
                                <w:rFonts w:ascii="標楷體" w:eastAsia="標楷體" w:hAnsi="標楷體"/>
                                <w:sz w:val="20"/>
                                <w:szCs w:val="20"/>
                              </w:rPr>
                              <w:t>案</w:t>
                            </w:r>
                          </w:p>
                        </w:tc>
                        <w:tc>
                          <w:tcPr>
                            <w:tcW w:w="851" w:type="dxa"/>
                            <w:vAlign w:val="center"/>
                          </w:tcPr>
                          <w:p w14:paraId="018E4763"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138</w:t>
                            </w:r>
                          </w:p>
                        </w:tc>
                        <w:tc>
                          <w:tcPr>
                            <w:tcW w:w="1191" w:type="dxa"/>
                            <w:vAlign w:val="center"/>
                          </w:tcPr>
                          <w:p w14:paraId="4A554DB2"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101,023</w:t>
                            </w:r>
                          </w:p>
                        </w:tc>
                        <w:tc>
                          <w:tcPr>
                            <w:tcW w:w="1134" w:type="dxa"/>
                            <w:vAlign w:val="center"/>
                          </w:tcPr>
                          <w:p w14:paraId="4592905D"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763</w:t>
                            </w:r>
                          </w:p>
                        </w:tc>
                        <w:tc>
                          <w:tcPr>
                            <w:tcW w:w="851" w:type="dxa"/>
                            <w:vAlign w:val="center"/>
                          </w:tcPr>
                          <w:p w14:paraId="22B917E7" w14:textId="77777777" w:rsidR="00A0212B" w:rsidRPr="004D7C92" w:rsidRDefault="00A0212B" w:rsidP="00F60428">
                            <w:pPr>
                              <w:overflowPunct w:val="0"/>
                              <w:spacing w:line="240" w:lineRule="exact"/>
                              <w:jc w:val="right"/>
                              <w:rPr>
                                <w:rStyle w:val="fontstyle01"/>
                                <w:rFonts w:ascii="標楷體" w:eastAsia="標楷體" w:hAnsi="標楷體"/>
                                <w:sz w:val="20"/>
                                <w:szCs w:val="20"/>
                              </w:rPr>
                            </w:pPr>
                            <w:r w:rsidRPr="004D7C92">
                              <w:rPr>
                                <w:rStyle w:val="fontstyle01"/>
                                <w:rFonts w:ascii="標楷體" w:eastAsia="標楷體" w:hAnsi="標楷體"/>
                                <w:sz w:val="20"/>
                                <w:szCs w:val="20"/>
                              </w:rPr>
                              <w:t>14.56</w:t>
                            </w:r>
                          </w:p>
                        </w:tc>
                      </w:tr>
                      <w:tr w:rsidR="00A0212B" w:rsidRPr="00B46290" w14:paraId="72D4870F" w14:textId="77777777" w:rsidTr="00F60428">
                        <w:tc>
                          <w:tcPr>
                            <w:tcW w:w="1134" w:type="dxa"/>
                            <w:gridSpan w:val="5"/>
                            <w:tcBorders>
                              <w:left w:val="nil"/>
                              <w:bottom w:val="nil"/>
                              <w:right w:val="nil"/>
                            </w:tcBorders>
                          </w:tcPr>
                          <w:p w14:paraId="17214804" w14:textId="3F359CCA" w:rsidR="00A0212B" w:rsidRPr="004D7C92" w:rsidRDefault="00A0212B" w:rsidP="00F60428">
                            <w:pPr>
                              <w:overflowPunct w:val="0"/>
                              <w:spacing w:line="200" w:lineRule="exact"/>
                              <w:ind w:left="540" w:hangingChars="300" w:hanging="540"/>
                              <w:jc w:val="both"/>
                              <w:rPr>
                                <w:rStyle w:val="fontstyle01"/>
                                <w:rFonts w:ascii="標楷體" w:eastAsia="標楷體" w:hAnsi="標楷體"/>
                              </w:rPr>
                            </w:pPr>
                            <w:r w:rsidRPr="004D7C92">
                              <w:rPr>
                                <w:rStyle w:val="fontstyle01"/>
                                <w:rFonts w:ascii="標楷體" w:eastAsia="標楷體" w:hAnsi="標楷體" w:hint="eastAsia"/>
                                <w:sz w:val="18"/>
                                <w:szCs w:val="18"/>
                              </w:rPr>
                              <w:t>資料來源：整理自</w:t>
                            </w:r>
                            <w:r w:rsidRPr="00695090">
                              <w:rPr>
                                <w:rStyle w:val="fontstyle01"/>
                                <w:rFonts w:ascii="標楷體" w:eastAsia="標楷體" w:hAnsi="標楷體" w:hint="eastAsia"/>
                                <w:sz w:val="18"/>
                                <w:szCs w:val="18"/>
                              </w:rPr>
                              <w:t>行政院國家發展基金</w:t>
                            </w:r>
                            <w:r w:rsidRPr="004D7C92">
                              <w:rPr>
                                <w:rStyle w:val="fontstyle01"/>
                                <w:rFonts w:ascii="標楷體" w:eastAsia="標楷體" w:hAnsi="標楷體" w:hint="eastAsia"/>
                                <w:sz w:val="18"/>
                                <w:szCs w:val="18"/>
                              </w:rPr>
                              <w:t>提供資料。</w:t>
                            </w:r>
                          </w:p>
                        </w:tc>
                      </w:tr>
                    </w:tbl>
                    <w:p w14:paraId="5E4E40D6" w14:textId="77777777" w:rsidR="00A0212B" w:rsidRPr="004D7C92" w:rsidRDefault="00A0212B" w:rsidP="00F60428">
                      <w:pPr>
                        <w:rPr>
                          <w:rFonts w:ascii="標楷體" w:eastAsia="標楷體" w:hAnsi="標楷體"/>
                        </w:rPr>
                      </w:pPr>
                    </w:p>
                  </w:txbxContent>
                </v:textbox>
                <w10:wrap type="tight" anchorx="margin"/>
              </v:shape>
            </w:pict>
          </mc:Fallback>
        </mc:AlternateContent>
      </w:r>
      <w:r w:rsidR="00F60428" w:rsidRPr="00F60428">
        <w:rPr>
          <w:rFonts w:ascii="標楷體" w:eastAsia="標楷體" w:hAnsi="標楷體" w:cstheme="minorBidi" w:hint="eastAsia"/>
          <w:b/>
          <w:bCs/>
          <w:szCs w:val="24"/>
        </w:rPr>
        <w:t>3.</w:t>
      </w:r>
      <w:r w:rsidR="000D3521" w:rsidRPr="00F60428">
        <w:rPr>
          <w:rFonts w:ascii="標楷體" w:eastAsia="標楷體" w:hAnsi="標楷體" w:cs="標楷體" w:hint="eastAsia"/>
          <w:kern w:val="52"/>
          <w:szCs w:val="32"/>
        </w:rPr>
        <w:t xml:space="preserve">　</w:t>
      </w:r>
      <w:r w:rsidR="00F60428" w:rsidRPr="00F60428">
        <w:rPr>
          <w:rFonts w:ascii="標楷體" w:eastAsia="標楷體" w:hAnsi="標楷體" w:cstheme="minorBidi" w:hint="eastAsia"/>
          <w:b/>
          <w:bCs/>
          <w:szCs w:val="24"/>
        </w:rPr>
        <w:t>國發基金執行臺商回臺及根留臺灣等二方案已逾5年，</w:t>
      </w:r>
      <w:r w:rsidR="00F60428" w:rsidRPr="002069C4">
        <w:rPr>
          <w:rFonts w:ascii="標楷體" w:eastAsia="標楷體" w:hAnsi="標楷體" w:cstheme="minorBidi" w:hint="eastAsia"/>
          <w:b/>
          <w:bCs/>
          <w:szCs w:val="24"/>
        </w:rPr>
        <w:t>並</w:t>
      </w:r>
      <w:r w:rsidR="00F60428" w:rsidRPr="004D7C92">
        <w:rPr>
          <w:rFonts w:ascii="標楷體" w:eastAsia="標楷體" w:hAnsi="標楷體" w:cstheme="minorBidi" w:hint="eastAsia"/>
          <w:b/>
          <w:bCs/>
          <w:szCs w:val="24"/>
        </w:rPr>
        <w:t>支付</w:t>
      </w:r>
      <w:r w:rsidR="00F60428" w:rsidRPr="00F60428">
        <w:rPr>
          <w:rFonts w:ascii="標楷體" w:eastAsia="標楷體" w:hAnsi="標楷體" w:cstheme="minorBidi" w:hint="eastAsia"/>
          <w:b/>
          <w:bCs/>
          <w:szCs w:val="24"/>
        </w:rPr>
        <w:t>融資貸款委辦手續費5</w:t>
      </w:r>
      <w:r w:rsidR="00F60428" w:rsidRPr="00F60428">
        <w:rPr>
          <w:rFonts w:ascii="標楷體" w:eastAsia="標楷體" w:hAnsi="標楷體" w:cstheme="minorBidi"/>
          <w:b/>
          <w:bCs/>
          <w:szCs w:val="24"/>
        </w:rPr>
        <w:t>2</w:t>
      </w:r>
      <w:r w:rsidR="00F60428" w:rsidRPr="00F60428">
        <w:rPr>
          <w:rFonts w:ascii="標楷體" w:eastAsia="標楷體" w:hAnsi="標楷體" w:cstheme="minorBidi" w:hint="eastAsia"/>
          <w:b/>
          <w:bCs/>
          <w:szCs w:val="24"/>
        </w:rPr>
        <w:t>億餘元，惟均未派員實地查核，相較中小基金執行中小企業方案實地抽查情形，監督管理機制有待強化：</w:t>
      </w:r>
      <w:r w:rsidR="00F60428" w:rsidRPr="00F60428">
        <w:rPr>
          <w:rFonts w:ascii="標楷體" w:eastAsia="標楷體" w:hAnsi="標楷體" w:cstheme="minorBidi" w:hint="eastAsia"/>
          <w:szCs w:val="24"/>
        </w:rPr>
        <w:t>投資臺灣三大方案由行政院國家發展基金（下稱國發基金，辦理臺商回臺、根留臺灣等二方案）及經濟部中小企業發展基金（下稱中小基金，辦理中小企業方案）共匡列</w:t>
      </w:r>
      <w:r w:rsidR="00F60428" w:rsidRPr="00F60428">
        <w:rPr>
          <w:rFonts w:ascii="標楷體" w:eastAsia="標楷體" w:hAnsi="標楷體" w:cstheme="minorBidi"/>
          <w:szCs w:val="24"/>
        </w:rPr>
        <w:t>1</w:t>
      </w:r>
      <w:r w:rsidR="00F60428" w:rsidRPr="00F60428">
        <w:rPr>
          <w:rFonts w:ascii="標楷體" w:eastAsia="標楷體" w:hAnsi="標楷體" w:cstheme="minorBidi" w:hint="eastAsia"/>
          <w:szCs w:val="24"/>
        </w:rPr>
        <w:t>兆</w:t>
      </w:r>
      <w:r w:rsidR="00F60428" w:rsidRPr="00F60428">
        <w:rPr>
          <w:rFonts w:ascii="標楷體" w:eastAsia="標楷體" w:hAnsi="標楷體" w:cstheme="minorBidi"/>
          <w:szCs w:val="24"/>
        </w:rPr>
        <w:t>2,600</w:t>
      </w:r>
      <w:r w:rsidR="00F60428" w:rsidRPr="00F60428">
        <w:rPr>
          <w:rFonts w:ascii="標楷體" w:eastAsia="標楷體" w:hAnsi="標楷體" w:cstheme="minorBidi" w:hint="eastAsia"/>
          <w:szCs w:val="24"/>
        </w:rPr>
        <w:t>億元之專案融資貸款額度，委由金融機構以自有資金貸放（風險由銀行承擔），並支付金融機構委辦手續費以協助廠商融資需求。依據行政院國家發展基金管理會（下稱國發基金管理會）訂頒各該專案貸款要點或承貸銀行應行注意事項等規範，資金應用於經濟部核定函所規範之投資計畫，亦規定申貸廠商如投資計畫及建廠未於核定函所定年限內完成投資等情，國發基金不再支付委辦手續費，國發基金管理會及各承貸銀行等並得派員調查有關貸款運用情形，如有移用貸款情事，應將該案自違約事實發生日起已支付之委辦手續費，償還政府基金。經查截至1</w:t>
      </w:r>
      <w:r w:rsidR="00F60428" w:rsidRPr="00F60428">
        <w:rPr>
          <w:rFonts w:ascii="標楷體" w:eastAsia="標楷體" w:hAnsi="標楷體" w:cstheme="minorBidi"/>
          <w:szCs w:val="24"/>
        </w:rPr>
        <w:t>12</w:t>
      </w:r>
      <w:r w:rsidR="00F60428" w:rsidRPr="00F60428">
        <w:rPr>
          <w:rFonts w:ascii="標楷體" w:eastAsia="標楷體" w:hAnsi="標楷體" w:cstheme="minorBidi" w:hint="eastAsia"/>
          <w:szCs w:val="24"/>
        </w:rPr>
        <w:t>年底止，臺商回臺及根留臺灣等二方案共372件貸款案，國</w:t>
      </w:r>
      <w:r w:rsidR="00F60428" w:rsidRPr="002069C4">
        <w:rPr>
          <w:rFonts w:ascii="標楷體" w:eastAsia="標楷體" w:hAnsi="標楷體" w:cstheme="minorBidi" w:hint="eastAsia"/>
          <w:szCs w:val="24"/>
        </w:rPr>
        <w:t>發基金</w:t>
      </w:r>
      <w:r w:rsidR="00F60428" w:rsidRPr="004D7C92">
        <w:rPr>
          <w:rFonts w:ascii="標楷體" w:eastAsia="標楷體" w:hAnsi="標楷體" w:cstheme="minorBidi" w:hint="eastAsia"/>
          <w:szCs w:val="24"/>
        </w:rPr>
        <w:t>支付</w:t>
      </w:r>
      <w:r w:rsidR="00F60428" w:rsidRPr="002069C4">
        <w:rPr>
          <w:rFonts w:ascii="標楷體" w:eastAsia="標楷體" w:hAnsi="標楷體" w:cstheme="minorBidi" w:hint="eastAsia"/>
          <w:szCs w:val="24"/>
        </w:rPr>
        <w:t>委辦</w:t>
      </w:r>
      <w:r w:rsidR="00F60428" w:rsidRPr="00F60428">
        <w:rPr>
          <w:rFonts w:ascii="標楷體" w:eastAsia="標楷體" w:hAnsi="標楷體" w:cstheme="minorBidi" w:hint="eastAsia"/>
          <w:szCs w:val="24"/>
        </w:rPr>
        <w:t>手續費計52億餘元（</w:t>
      </w:r>
      <w:r w:rsidR="00F60428" w:rsidRPr="006678C5">
        <w:rPr>
          <w:rFonts w:ascii="標楷體" w:eastAsia="標楷體" w:hAnsi="標楷體" w:cstheme="minorBidi" w:hint="eastAsia"/>
          <w:szCs w:val="24"/>
        </w:rPr>
        <w:t>表</w:t>
      </w:r>
      <w:r w:rsidRPr="006678C5">
        <w:rPr>
          <w:rFonts w:ascii="標楷體" w:eastAsia="標楷體" w:hAnsi="標楷體" w:cstheme="minorBidi"/>
          <w:szCs w:val="24"/>
        </w:rPr>
        <w:t>7</w:t>
      </w:r>
      <w:r w:rsidR="00F60428" w:rsidRPr="00F60428">
        <w:rPr>
          <w:rFonts w:ascii="標楷體" w:eastAsia="標楷體" w:hAnsi="標楷體" w:cstheme="minorBidi" w:hint="eastAsia"/>
          <w:szCs w:val="24"/>
        </w:rPr>
        <w:t>），惟僅採書面審核方式，由承</w:t>
      </w:r>
      <w:r w:rsidR="00F60428" w:rsidRPr="00F60428">
        <w:rPr>
          <w:rFonts w:ascii="標楷體" w:eastAsia="標楷體" w:hAnsi="標楷體" w:cstheme="minorBidi"/>
          <w:szCs w:val="24"/>
        </w:rPr>
        <w:t>貸銀行</w:t>
      </w:r>
      <w:r w:rsidR="00F60428" w:rsidRPr="00F60428">
        <w:rPr>
          <w:rFonts w:ascii="標楷體" w:eastAsia="標楷體" w:hAnsi="標楷體" w:cstheme="minorBidi" w:hint="eastAsia"/>
          <w:szCs w:val="24"/>
        </w:rPr>
        <w:t>提供該基金</w:t>
      </w:r>
      <w:r w:rsidR="00F60428" w:rsidRPr="00F60428">
        <w:rPr>
          <w:rFonts w:ascii="標楷體" w:eastAsia="標楷體" w:hAnsi="標楷體" w:cstheme="minorBidi"/>
          <w:szCs w:val="24"/>
        </w:rPr>
        <w:t>欲確認事項</w:t>
      </w:r>
      <w:r w:rsidR="00F60428" w:rsidRPr="00F60428">
        <w:rPr>
          <w:rFonts w:ascii="標楷體" w:eastAsia="標楷體" w:hAnsi="標楷體" w:cstheme="minorBidi" w:hint="eastAsia"/>
          <w:szCs w:val="24"/>
        </w:rPr>
        <w:t>之</w:t>
      </w:r>
      <w:r w:rsidR="00F60428" w:rsidRPr="00F60428">
        <w:rPr>
          <w:rFonts w:ascii="標楷體" w:eastAsia="標楷體" w:hAnsi="標楷體" w:cstheme="minorBidi"/>
          <w:szCs w:val="24"/>
        </w:rPr>
        <w:t>撥款資料，判斷貸款用途是否符合</w:t>
      </w:r>
      <w:r w:rsidR="00F60428" w:rsidRPr="00F60428">
        <w:rPr>
          <w:rFonts w:ascii="標楷體" w:eastAsia="標楷體" w:hAnsi="標楷體" w:cstheme="minorBidi" w:hint="eastAsia"/>
          <w:szCs w:val="24"/>
        </w:rPr>
        <w:t>規定；自109至112年度審核結果，僅發現3案或因貸款用途與規定未符，或未能於核定函所定期限完成投資，另有2案為承貸銀行及中小基金發現未符規定主動返還，合計收回委辦手續費291萬餘元，方案推動迄今已逾5年，</w:t>
      </w:r>
      <w:r w:rsidR="00F60428" w:rsidRPr="00F60428">
        <w:rPr>
          <w:rFonts w:ascii="標楷體" w:eastAsia="標楷體" w:hAnsi="標楷體" w:cstheme="minorBidi" w:hint="eastAsia"/>
          <w:szCs w:val="22"/>
        </w:rPr>
        <w:t>國發基金管理會未</w:t>
      </w:r>
      <w:r w:rsidR="00F60428" w:rsidRPr="00F60428">
        <w:rPr>
          <w:rFonts w:ascii="標楷體" w:eastAsia="標楷體" w:hAnsi="標楷體" w:cstheme="minorBidi"/>
          <w:szCs w:val="22"/>
        </w:rPr>
        <w:t>派員</w:t>
      </w:r>
      <w:r w:rsidR="00F60428" w:rsidRPr="00F60428">
        <w:rPr>
          <w:rFonts w:ascii="標楷體" w:eastAsia="標楷體" w:hAnsi="標楷體" w:cstheme="minorBidi" w:hint="eastAsia"/>
          <w:szCs w:val="22"/>
        </w:rPr>
        <w:t>實地</w:t>
      </w:r>
      <w:r w:rsidR="00F60428" w:rsidRPr="00F60428">
        <w:rPr>
          <w:rFonts w:ascii="標楷體" w:eastAsia="標楷體" w:hAnsi="標楷體" w:cstheme="minorBidi"/>
          <w:szCs w:val="22"/>
        </w:rPr>
        <w:t>調查有關貸款運用情形</w:t>
      </w:r>
      <w:r w:rsidR="00F60428" w:rsidRPr="00F60428">
        <w:rPr>
          <w:rFonts w:ascii="標楷體" w:eastAsia="標楷體" w:hAnsi="標楷體" w:cstheme="minorBidi" w:hint="eastAsia"/>
          <w:szCs w:val="22"/>
        </w:rPr>
        <w:t>，或於書面審核發現異常時，擴大抽樣範圍。相較中小基金辦理之中小企業方案，係按</w:t>
      </w:r>
      <w:r w:rsidR="00F60428" w:rsidRPr="00F60428">
        <w:rPr>
          <w:rFonts w:ascii="標楷體" w:eastAsia="標楷體" w:hAnsi="標楷體" w:cstheme="minorBidi"/>
          <w:szCs w:val="22"/>
        </w:rPr>
        <w:t>年度所定選案機制，</w:t>
      </w:r>
      <w:r w:rsidR="00F60428" w:rsidRPr="00F60428">
        <w:rPr>
          <w:rFonts w:ascii="標楷體" w:eastAsia="標楷體" w:hAnsi="標楷體" w:cstheme="minorBidi" w:hint="eastAsia"/>
          <w:szCs w:val="22"/>
        </w:rPr>
        <w:t>派員赴承貸銀行瞭解委辦手續費之作業情形，截至112年底止，計782件貸款案，</w:t>
      </w:r>
      <w:r w:rsidR="00F60428" w:rsidRPr="004D7C92">
        <w:rPr>
          <w:rFonts w:ascii="標楷體" w:eastAsia="標楷體" w:hAnsi="標楷體" w:cstheme="minorBidi" w:hint="eastAsia"/>
          <w:szCs w:val="24"/>
        </w:rPr>
        <w:t>支付</w:t>
      </w:r>
      <w:r w:rsidR="00F60428" w:rsidRPr="00F60428">
        <w:rPr>
          <w:rFonts w:ascii="標楷體" w:eastAsia="標楷體" w:hAnsi="標楷體" w:cstheme="minorBidi" w:hint="eastAsia"/>
          <w:szCs w:val="22"/>
        </w:rPr>
        <w:t>委辦手續費共24億餘元，累計抽查208案，抽查比率約26.60％，收回委辦手續費計1</w:t>
      </w:r>
      <w:r w:rsidR="00F60428" w:rsidRPr="00F60428">
        <w:rPr>
          <w:rFonts w:ascii="標楷體" w:eastAsia="標楷體" w:hAnsi="標楷體" w:cstheme="minorBidi"/>
          <w:szCs w:val="22"/>
        </w:rPr>
        <w:t>,</w:t>
      </w:r>
      <w:r w:rsidR="00F60428" w:rsidRPr="00F60428">
        <w:rPr>
          <w:rFonts w:ascii="標楷體" w:eastAsia="標楷體" w:hAnsi="標楷體" w:cstheme="minorBidi" w:hint="eastAsia"/>
          <w:szCs w:val="22"/>
        </w:rPr>
        <w:t>116萬餘元，顯示國發基金對於臺商回臺及根留臺灣等二方案之監督管理機制尚待強化，經函請國家發展委員會檢討改善。據復：</w:t>
      </w:r>
      <w:r w:rsidR="00F60428" w:rsidRPr="004D7C92">
        <w:rPr>
          <w:rFonts w:ascii="標楷體" w:eastAsia="標楷體" w:hAnsi="標楷體" w:cstheme="minorBidi" w:hint="eastAsia"/>
          <w:szCs w:val="22"/>
        </w:rPr>
        <w:t>國發基金為瞭解承貸廠商是否遵照貸款要點所定條件及承貸銀行是否落實監督廠商貸款運用情形之責，刻正研擬貸款查核機制，包含抽查比率及派員赴承貸銀行實地訪查等，以瞭解該兩項貸款業務執行情形，若發現承貸廠商有移用貸款情事，將請承貸銀行歸還已領取之委辦手續費</w:t>
      </w:r>
      <w:r w:rsidR="00F60428" w:rsidRPr="002069C4">
        <w:rPr>
          <w:rFonts w:ascii="標楷體" w:eastAsia="標楷體" w:hAnsi="標楷體" w:cstheme="minorBidi" w:hint="eastAsia"/>
          <w:szCs w:val="22"/>
        </w:rPr>
        <w:t>。</w:t>
      </w:r>
    </w:p>
    <w:p w14:paraId="399717E6" w14:textId="3A76F356" w:rsidR="00F60428" w:rsidRPr="00F60428" w:rsidRDefault="00F60428" w:rsidP="004D7C92">
      <w:pPr>
        <w:overflowPunct w:val="0"/>
        <w:adjustRightInd w:val="0"/>
        <w:snapToGrid w:val="0"/>
        <w:spacing w:line="410" w:lineRule="exact"/>
        <w:ind w:firstLineChars="450" w:firstLine="1081"/>
        <w:jc w:val="both"/>
        <w:rPr>
          <w:rFonts w:ascii="標楷體" w:eastAsia="標楷體" w:hAnsi="標楷體" w:cs="標楷體"/>
          <w:kern w:val="52"/>
          <w:szCs w:val="32"/>
        </w:rPr>
      </w:pPr>
      <w:r w:rsidRPr="00F60428">
        <w:rPr>
          <w:rFonts w:ascii="標楷體" w:eastAsia="標楷體" w:hAnsi="標楷體" w:cs="標楷體"/>
          <w:b/>
          <w:bCs/>
          <w:kern w:val="52"/>
          <w:szCs w:val="32"/>
        </w:rPr>
        <w:t>4</w:t>
      </w:r>
      <w:r w:rsidRPr="00F60428">
        <w:rPr>
          <w:rFonts w:ascii="標楷體" w:eastAsia="標楷體" w:hAnsi="標楷體" w:cs="標楷體" w:hint="eastAsia"/>
          <w:b/>
          <w:bCs/>
          <w:kern w:val="52"/>
          <w:szCs w:val="32"/>
        </w:rPr>
        <w:t>.　近1</w:t>
      </w:r>
      <w:r w:rsidRPr="00F60428">
        <w:rPr>
          <w:rFonts w:ascii="標楷體" w:eastAsia="標楷體" w:hAnsi="標楷體" w:cs="標楷體"/>
          <w:b/>
          <w:bCs/>
          <w:kern w:val="52"/>
          <w:szCs w:val="32"/>
        </w:rPr>
        <w:t>0</w:t>
      </w:r>
      <w:r w:rsidR="00C37AF4">
        <w:rPr>
          <w:rFonts w:ascii="標楷體" w:eastAsia="標楷體" w:hAnsi="標楷體" w:cs="標楷體"/>
          <w:b/>
          <w:bCs/>
          <w:kern w:val="52"/>
          <w:szCs w:val="32"/>
        </w:rPr>
        <w:t>年來我國產業技術自主性已有</w:t>
      </w:r>
      <w:r w:rsidRPr="00F60428">
        <w:rPr>
          <w:rFonts w:ascii="標楷體" w:eastAsia="標楷體" w:hAnsi="標楷體" w:cs="標楷體"/>
          <w:b/>
          <w:bCs/>
          <w:kern w:val="52"/>
          <w:szCs w:val="32"/>
        </w:rPr>
        <w:t>提升</w:t>
      </w:r>
      <w:r w:rsidRPr="00F60428">
        <w:rPr>
          <w:rFonts w:ascii="標楷體" w:eastAsia="標楷體" w:hAnsi="標楷體" w:cs="標楷體" w:hint="eastAsia"/>
          <w:b/>
          <w:bCs/>
          <w:kern w:val="52"/>
          <w:szCs w:val="32"/>
        </w:rPr>
        <w:t>，111年度並首度呈技術貿易順差，惟產業技術仰賴美日仍甚深：</w:t>
      </w:r>
      <w:r w:rsidRPr="00F60428">
        <w:rPr>
          <w:rFonts w:ascii="標楷體" w:eastAsia="標楷體" w:hAnsi="標楷體" w:cs="標楷體" w:hint="eastAsia"/>
          <w:bCs/>
          <w:kern w:val="52"/>
          <w:szCs w:val="32"/>
        </w:rPr>
        <w:t>技術貿</w:t>
      </w:r>
      <w:r w:rsidRPr="00F60428">
        <w:rPr>
          <w:rFonts w:ascii="標楷體" w:eastAsia="標楷體" w:hAnsi="標楷體" w:cs="標楷體" w:hint="eastAsia"/>
          <w:kern w:val="52"/>
          <w:szCs w:val="32"/>
          <w:shd w:val="clear" w:color="auto" w:fill="FFFFFF"/>
        </w:rPr>
        <w:t>易之輸出、輸入為衡量國家產業技術自主性之重要指標，依據國家科學及技術委員會</w:t>
      </w:r>
      <w:r w:rsidRPr="004D7C92">
        <w:rPr>
          <w:rFonts w:ascii="標楷體" w:eastAsia="標楷體" w:hAnsi="標楷體" w:cs="標楷體" w:hint="eastAsia"/>
          <w:kern w:val="52"/>
          <w:szCs w:val="32"/>
          <w:shd w:val="clear" w:color="auto" w:fill="FFFFFF"/>
        </w:rPr>
        <w:t>（下稱國科會）</w:t>
      </w:r>
      <w:r w:rsidRPr="00F60428">
        <w:rPr>
          <w:rFonts w:ascii="標楷體" w:eastAsia="標楷體" w:hAnsi="標楷體" w:cs="標楷體" w:hint="eastAsia"/>
          <w:kern w:val="52"/>
          <w:szCs w:val="32"/>
          <w:shd w:val="clear" w:color="auto" w:fill="FFFFFF"/>
        </w:rPr>
        <w:t xml:space="preserve">發布之「科學技術統計要覽Indicators of Science and </w:t>
      </w:r>
      <w:r w:rsidRPr="00F60428">
        <w:rPr>
          <w:rFonts w:ascii="標楷體" w:eastAsia="標楷體" w:hAnsi="標楷體" w:cs="標楷體" w:hint="eastAsia"/>
          <w:kern w:val="52"/>
          <w:szCs w:val="32"/>
          <w:shd w:val="clear" w:color="auto" w:fill="FFFFFF"/>
        </w:rPr>
        <w:lastRenderedPageBreak/>
        <w:t>Technology （2023年版）」及經濟部113年3月出版之「中華民國．</w:t>
      </w:r>
      <w:r w:rsidR="006F1AE2">
        <w:rPr>
          <w:rFonts w:ascii="標楷體" w:eastAsia="標楷體" w:hAnsi="標楷體" w:cs="標楷體" w:hint="eastAsia"/>
          <w:kern w:val="52"/>
          <w:szCs w:val="32"/>
          <w:shd w:val="clear" w:color="auto" w:fill="FFFFFF"/>
        </w:rPr>
        <w:t>臺</w:t>
      </w:r>
      <w:r w:rsidRPr="00F60428">
        <w:rPr>
          <w:rFonts w:ascii="標楷體" w:eastAsia="標楷體" w:hAnsi="標楷體" w:cs="標楷體" w:hint="eastAsia"/>
          <w:kern w:val="52"/>
          <w:szCs w:val="32"/>
          <w:shd w:val="clear" w:color="auto" w:fill="FFFFFF"/>
        </w:rPr>
        <w:t>閩地區工廠校正及營運調查報告」（下稱工廠營運調查報告）列載，我國技術銷售至國外（輸出）金額由102年度之307億餘元，增加至111年度之613億餘元；向國外購買（輸入）金額由102年度之1,513億餘元，減少至111年度之593億餘元（</w:t>
      </w:r>
      <w:r w:rsidRPr="00855CF4">
        <w:rPr>
          <w:rFonts w:ascii="標楷體" w:eastAsia="標楷體" w:hAnsi="標楷體" w:cs="標楷體" w:hint="eastAsia"/>
          <w:kern w:val="52"/>
          <w:szCs w:val="32"/>
        </w:rPr>
        <w:t>圖</w:t>
      </w:r>
      <w:r w:rsidR="00695090" w:rsidRPr="00855CF4">
        <w:rPr>
          <w:rFonts w:ascii="標楷體" w:eastAsia="標楷體" w:hAnsi="標楷體" w:cs="標楷體"/>
          <w:kern w:val="52"/>
          <w:szCs w:val="32"/>
        </w:rPr>
        <w:t>7</w:t>
      </w:r>
      <w:r w:rsidRPr="00F60428">
        <w:rPr>
          <w:rFonts w:ascii="標楷體" w:eastAsia="標楷體" w:hAnsi="標楷體" w:cs="標楷體" w:hint="eastAsia"/>
          <w:kern w:val="52"/>
          <w:szCs w:val="32"/>
          <w:shd w:val="clear" w:color="auto" w:fill="FFFFFF"/>
        </w:rPr>
        <w:t>），技術貿易逆差由102年度之1,205億餘元，縮減至109</w:t>
      </w:r>
      <w:r w:rsidRPr="00F60428">
        <w:rPr>
          <w:rFonts w:ascii="標楷體" w:eastAsia="標楷體" w:hAnsi="標楷體" w:cs="標楷體"/>
          <w:kern w:val="52"/>
          <w:szCs w:val="32"/>
          <w:shd w:val="clear" w:color="auto" w:fill="FFFFFF"/>
        </w:rPr>
        <w:t>年度之</w:t>
      </w:r>
      <w:r w:rsidRPr="00F60428">
        <w:rPr>
          <w:rFonts w:ascii="標楷體" w:eastAsia="標楷體" w:hAnsi="標楷體" w:cs="標楷體" w:hint="eastAsia"/>
          <w:kern w:val="52"/>
          <w:szCs w:val="32"/>
          <w:shd w:val="clear" w:color="auto" w:fill="FFFFFF"/>
        </w:rPr>
        <w:t>151</w:t>
      </w:r>
      <w:r w:rsidRPr="00F60428">
        <w:rPr>
          <w:rFonts w:ascii="標楷體" w:eastAsia="標楷體" w:hAnsi="標楷體" w:cs="標楷體"/>
          <w:kern w:val="52"/>
          <w:szCs w:val="32"/>
          <w:shd w:val="clear" w:color="auto" w:fill="FFFFFF"/>
        </w:rPr>
        <w:t>億餘元</w:t>
      </w:r>
      <w:r w:rsidRPr="00F60428">
        <w:rPr>
          <w:rFonts w:ascii="標楷體" w:eastAsia="標楷體" w:hAnsi="標楷體" w:cs="標楷體" w:hint="eastAsia"/>
          <w:kern w:val="52"/>
          <w:szCs w:val="32"/>
          <w:shd w:val="clear" w:color="auto" w:fill="FFFFFF"/>
        </w:rPr>
        <w:t>，</w:t>
      </w:r>
      <w:r w:rsidRPr="00F60428">
        <w:rPr>
          <w:rFonts w:ascii="標楷體" w:eastAsia="標楷體" w:hAnsi="標楷體" w:cs="標楷體"/>
          <w:kern w:val="52"/>
          <w:szCs w:val="32"/>
          <w:shd w:val="clear" w:color="auto" w:fill="FFFFFF"/>
        </w:rPr>
        <w:t>至</w:t>
      </w:r>
      <w:r w:rsidRPr="00F60428">
        <w:rPr>
          <w:rFonts w:ascii="標楷體" w:eastAsia="標楷體" w:hAnsi="標楷體" w:cs="標楷體" w:hint="eastAsia"/>
          <w:kern w:val="52"/>
          <w:szCs w:val="32"/>
          <w:shd w:val="clear" w:color="auto" w:fill="FFFFFF"/>
        </w:rPr>
        <w:t>111年度已首度出現技術順差</w:t>
      </w:r>
      <w:r w:rsidRPr="00F60428">
        <w:rPr>
          <w:rFonts w:ascii="標楷體" w:eastAsia="標楷體" w:hAnsi="標楷體" w:cs="標楷體"/>
          <w:kern w:val="52"/>
          <w:szCs w:val="32"/>
          <w:shd w:val="clear" w:color="auto" w:fill="FFFFFF"/>
        </w:rPr>
        <w:t>19</w:t>
      </w:r>
      <w:r w:rsidRPr="00F60428">
        <w:rPr>
          <w:rFonts w:ascii="標楷體" w:eastAsia="標楷體" w:hAnsi="標楷體" w:cs="標楷體" w:hint="eastAsia"/>
          <w:kern w:val="52"/>
          <w:szCs w:val="32"/>
          <w:shd w:val="clear" w:color="auto" w:fill="FFFFFF"/>
        </w:rPr>
        <w:t>億餘元。又以技術輸入、輸出來源國分析，我國111年度向美國、日本購買技術貿易金額分別為</w:t>
      </w:r>
      <w:r w:rsidRPr="00F60428">
        <w:rPr>
          <w:rFonts w:ascii="標楷體" w:eastAsia="標楷體" w:hAnsi="標楷體" w:cs="標楷體"/>
          <w:kern w:val="52"/>
          <w:szCs w:val="32"/>
          <w:shd w:val="clear" w:color="auto" w:fill="FFFFFF"/>
        </w:rPr>
        <w:t>288億</w:t>
      </w:r>
      <w:r w:rsidRPr="00F60428">
        <w:rPr>
          <w:rFonts w:ascii="標楷體" w:eastAsia="標楷體" w:hAnsi="標楷體" w:cs="標楷體" w:hint="eastAsia"/>
          <w:kern w:val="52"/>
          <w:szCs w:val="32"/>
          <w:shd w:val="clear" w:color="auto" w:fill="FFFFFF"/>
        </w:rPr>
        <w:t>餘元、</w:t>
      </w:r>
      <w:r w:rsidRPr="00F60428">
        <w:rPr>
          <w:rFonts w:ascii="標楷體" w:eastAsia="標楷體" w:hAnsi="標楷體" w:cs="標楷體"/>
          <w:kern w:val="52"/>
          <w:szCs w:val="32"/>
          <w:shd w:val="clear" w:color="auto" w:fill="FFFFFF"/>
        </w:rPr>
        <w:t>157</w:t>
      </w:r>
      <w:r w:rsidRPr="00F60428">
        <w:rPr>
          <w:rFonts w:ascii="標楷體" w:eastAsia="標楷體" w:hAnsi="標楷體" w:cs="標楷體" w:hint="eastAsia"/>
          <w:kern w:val="52"/>
          <w:szCs w:val="32"/>
          <w:shd w:val="clear" w:color="auto" w:fill="FFFFFF"/>
        </w:rPr>
        <w:t>億餘元，分占全部向國外購買金額593億餘元之48.65％、26.61％，兩者占比達75</w:t>
      </w:r>
      <w:r w:rsidRPr="00F60428">
        <w:rPr>
          <w:rFonts w:ascii="標楷體" w:eastAsia="標楷體" w:hAnsi="標楷體" w:cs="標楷體"/>
          <w:kern w:val="52"/>
          <w:szCs w:val="32"/>
          <w:shd w:val="clear" w:color="auto" w:fill="FFFFFF"/>
        </w:rPr>
        <w:t>.</w:t>
      </w:r>
      <w:r w:rsidRPr="00F60428">
        <w:rPr>
          <w:rFonts w:ascii="標楷體" w:eastAsia="標楷體" w:hAnsi="標楷體" w:cs="標楷體" w:hint="eastAsia"/>
          <w:kern w:val="52"/>
          <w:szCs w:val="32"/>
          <w:shd w:val="clear" w:color="auto" w:fill="FFFFFF"/>
        </w:rPr>
        <w:t>26％（</w:t>
      </w:r>
      <w:r w:rsidRPr="00855CF4">
        <w:rPr>
          <w:rFonts w:ascii="標楷體" w:eastAsia="標楷體" w:hAnsi="標楷體" w:cs="標楷體" w:hint="eastAsia"/>
          <w:kern w:val="52"/>
          <w:szCs w:val="32"/>
        </w:rPr>
        <w:t>圖</w:t>
      </w:r>
      <w:r w:rsidR="00695090" w:rsidRPr="00855CF4">
        <w:rPr>
          <w:rFonts w:ascii="標楷體" w:eastAsia="標楷體" w:hAnsi="標楷體" w:cs="標楷體"/>
          <w:kern w:val="52"/>
          <w:szCs w:val="32"/>
        </w:rPr>
        <w:t>8</w:t>
      </w:r>
      <w:r w:rsidRPr="00F60428">
        <w:rPr>
          <w:rFonts w:ascii="標楷體" w:eastAsia="標楷體" w:hAnsi="標楷體" w:cs="標楷體" w:hint="eastAsia"/>
          <w:kern w:val="52"/>
          <w:szCs w:val="32"/>
          <w:shd w:val="clear" w:color="auto" w:fill="FFFFFF"/>
        </w:rPr>
        <w:t>）；銷售至新加坡、中國大陸技術貿易金額分別為22</w:t>
      </w:r>
      <w:r w:rsidRPr="00F60428">
        <w:rPr>
          <w:rFonts w:ascii="標楷體" w:eastAsia="標楷體" w:hAnsi="標楷體" w:cs="標楷體"/>
          <w:kern w:val="52"/>
          <w:szCs w:val="32"/>
          <w:shd w:val="clear" w:color="auto" w:fill="FFFFFF"/>
        </w:rPr>
        <w:t>5</w:t>
      </w:r>
      <w:r w:rsidRPr="00F60428">
        <w:rPr>
          <w:rFonts w:ascii="標楷體" w:eastAsia="標楷體" w:hAnsi="標楷體" w:cs="標楷體" w:hint="eastAsia"/>
          <w:kern w:val="52"/>
          <w:szCs w:val="32"/>
          <w:shd w:val="clear" w:color="auto" w:fill="FFFFFF"/>
        </w:rPr>
        <w:t>億餘元、188億餘元，分占全部銷售至國外金額613億餘元之36.87％、30.</w:t>
      </w:r>
      <w:r w:rsidRPr="00F60428">
        <w:rPr>
          <w:rFonts w:ascii="標楷體" w:eastAsia="標楷體" w:hAnsi="標楷體" w:cs="標楷體"/>
          <w:kern w:val="52"/>
          <w:szCs w:val="32"/>
          <w:shd w:val="clear" w:color="auto" w:fill="FFFFFF"/>
        </w:rPr>
        <w:t>72</w:t>
      </w:r>
      <w:r w:rsidRPr="00F60428">
        <w:rPr>
          <w:rFonts w:ascii="標楷體" w:eastAsia="標楷體" w:hAnsi="標楷體" w:cs="標楷體" w:hint="eastAsia"/>
          <w:kern w:val="52"/>
          <w:szCs w:val="32"/>
          <w:shd w:val="clear" w:color="auto" w:fill="FFFFFF"/>
        </w:rPr>
        <w:t>％，兩者占比達67.5</w:t>
      </w:r>
      <w:r w:rsidRPr="00F60428">
        <w:rPr>
          <w:rFonts w:ascii="標楷體" w:eastAsia="標楷體" w:hAnsi="標楷體" w:cs="標楷體"/>
          <w:kern w:val="52"/>
          <w:szCs w:val="32"/>
          <w:shd w:val="clear" w:color="auto" w:fill="FFFFFF"/>
        </w:rPr>
        <w:t>8</w:t>
      </w:r>
      <w:r w:rsidRPr="00F60428">
        <w:rPr>
          <w:rFonts w:ascii="標楷體" w:eastAsia="標楷體" w:hAnsi="標楷體" w:cs="標楷體" w:hint="eastAsia"/>
          <w:kern w:val="52"/>
          <w:szCs w:val="32"/>
          <w:shd w:val="clear" w:color="auto" w:fill="FFFFFF"/>
        </w:rPr>
        <w:t>％（</w:t>
      </w:r>
      <w:r w:rsidRPr="00855CF4">
        <w:rPr>
          <w:rFonts w:ascii="標楷體" w:eastAsia="標楷體" w:hAnsi="標楷體" w:cs="標楷體" w:hint="eastAsia"/>
          <w:kern w:val="52"/>
          <w:szCs w:val="32"/>
        </w:rPr>
        <w:t>圖</w:t>
      </w:r>
      <w:r w:rsidR="00695090" w:rsidRPr="00855CF4">
        <w:rPr>
          <w:rFonts w:ascii="標楷體" w:eastAsia="標楷體" w:hAnsi="標楷體" w:cs="標楷體"/>
          <w:kern w:val="52"/>
          <w:szCs w:val="32"/>
        </w:rPr>
        <w:t>9</w:t>
      </w:r>
      <w:r w:rsidRPr="00F60428">
        <w:rPr>
          <w:rFonts w:ascii="標楷體" w:eastAsia="標楷體" w:hAnsi="標楷體" w:cs="標楷體" w:hint="eastAsia"/>
          <w:kern w:val="52"/>
          <w:szCs w:val="32"/>
          <w:shd w:val="clear" w:color="auto" w:fill="FFFFFF"/>
        </w:rPr>
        <w:t>）。另以輸入行業別分析，111年度向國外</w:t>
      </w:r>
      <w:r w:rsidR="00862B24">
        <w:rPr>
          <w:rFonts w:ascii="標楷體" w:eastAsia="標楷體" w:hAnsi="標楷體" w:cs="標楷體" w:hint="eastAsia"/>
          <w:noProof/>
          <w:kern w:val="52"/>
          <w:szCs w:val="32"/>
        </w:rPr>
        <mc:AlternateContent>
          <mc:Choice Requires="wpg">
            <w:drawing>
              <wp:anchor distT="0" distB="0" distL="114300" distR="114300" simplePos="0" relativeHeight="251687936" behindDoc="0" locked="0" layoutInCell="1" allowOverlap="1" wp14:anchorId="4CE5512F" wp14:editId="75516A68">
                <wp:simplePos x="0" y="0"/>
                <wp:positionH relativeFrom="column">
                  <wp:posOffset>250825</wp:posOffset>
                </wp:positionH>
                <wp:positionV relativeFrom="paragraph">
                  <wp:posOffset>2610485</wp:posOffset>
                </wp:positionV>
                <wp:extent cx="5831840" cy="3329940"/>
                <wp:effectExtent l="0" t="0" r="0" b="3810"/>
                <wp:wrapSquare wrapText="bothSides"/>
                <wp:docPr id="482" name="群組 482"/>
                <wp:cNvGraphicFramePr/>
                <a:graphic xmlns:a="http://schemas.openxmlformats.org/drawingml/2006/main">
                  <a:graphicData uri="http://schemas.microsoft.com/office/word/2010/wordprocessingGroup">
                    <wpg:wgp>
                      <wpg:cNvGrpSpPr/>
                      <wpg:grpSpPr>
                        <a:xfrm>
                          <a:off x="0" y="0"/>
                          <a:ext cx="5831840" cy="3329940"/>
                          <a:chOff x="0" y="0"/>
                          <a:chExt cx="5832230" cy="3329940"/>
                        </a:xfrm>
                      </wpg:grpSpPr>
                      <wps:wsp>
                        <wps:cNvPr id="477" name="文字方塊 477"/>
                        <wps:cNvSpPr txBox="1"/>
                        <wps:spPr>
                          <a:xfrm>
                            <a:off x="0" y="0"/>
                            <a:ext cx="5791200" cy="3329940"/>
                          </a:xfrm>
                          <a:prstGeom prst="rect">
                            <a:avLst/>
                          </a:prstGeom>
                          <a:solidFill>
                            <a:sysClr val="window" lastClr="FFFFFF"/>
                          </a:solidFill>
                          <a:ln w="6350">
                            <a:noFill/>
                          </a:ln>
                        </wps:spPr>
                        <wps:txbx>
                          <w:txbxContent>
                            <w:p w14:paraId="4D91B2F2" w14:textId="77777777" w:rsidR="00A0212B" w:rsidRDefault="00A0212B" w:rsidP="00862B24">
                              <w:r>
                                <w:rPr>
                                  <w:noProof/>
                                </w:rPr>
                                <w:drawing>
                                  <wp:inline distT="0" distB="0" distL="0" distR="0" wp14:anchorId="4BFF774F" wp14:editId="2290F5BB">
                                    <wp:extent cx="5425440" cy="2743200"/>
                                    <wp:effectExtent l="0" t="0" r="0" b="0"/>
                                    <wp:docPr id="480" name="圖表 4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98AC0B5" w14:textId="77777777" w:rsidR="00A0212B" w:rsidRDefault="00A0212B" w:rsidP="00862B24">
                              <w:pPr>
                                <w:adjustRightInd w:val="0"/>
                                <w:snapToGrid w:val="0"/>
                                <w:ind w:left="900" w:hangingChars="500" w:hanging="900"/>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經</w:t>
                              </w:r>
                              <w:r>
                                <w:rPr>
                                  <w:rFonts w:ascii="標楷體" w:eastAsia="標楷體" w:hAnsi="標楷體"/>
                                  <w:sz w:val="18"/>
                                  <w:szCs w:val="18"/>
                                </w:rPr>
                                <w:t>濟部</w:t>
                              </w:r>
                              <w:r>
                                <w:rPr>
                                  <w:rFonts w:ascii="標楷體" w:eastAsia="標楷體" w:hAnsi="標楷體" w:hint="eastAsia"/>
                                  <w:sz w:val="18"/>
                                  <w:szCs w:val="18"/>
                                </w:rPr>
                                <w:t>105及110年</w:t>
                              </w:r>
                              <w:r>
                                <w:rPr>
                                  <w:rFonts w:ascii="標楷體" w:eastAsia="標楷體" w:hAnsi="標楷體"/>
                                  <w:sz w:val="18"/>
                                  <w:szCs w:val="18"/>
                                </w:rPr>
                                <w:t>度</w:t>
                              </w:r>
                              <w:r>
                                <w:rPr>
                                  <w:rFonts w:ascii="標楷體" w:eastAsia="標楷體" w:hAnsi="標楷體" w:hint="eastAsia"/>
                                  <w:sz w:val="18"/>
                                  <w:szCs w:val="18"/>
                                </w:rPr>
                                <w:t>未</w:t>
                              </w:r>
                              <w:r>
                                <w:rPr>
                                  <w:rFonts w:ascii="標楷體" w:eastAsia="標楷體" w:hAnsi="標楷體"/>
                                  <w:sz w:val="18"/>
                                  <w:szCs w:val="18"/>
                                </w:rPr>
                                <w:t>辦理</w:t>
                              </w:r>
                              <w:r w:rsidRPr="00EB7D88">
                                <w:rPr>
                                  <w:rFonts w:ascii="標楷體" w:eastAsia="標楷體" w:hAnsi="標楷體" w:hint="eastAsia"/>
                                  <w:sz w:val="18"/>
                                  <w:szCs w:val="18"/>
                                </w:rPr>
                                <w:t>工廠校正及營運調查</w:t>
                              </w:r>
                              <w:r>
                                <w:rPr>
                                  <w:rFonts w:ascii="標楷體" w:eastAsia="標楷體" w:hAnsi="標楷體" w:hint="eastAsia"/>
                                  <w:sz w:val="18"/>
                                  <w:szCs w:val="18"/>
                                </w:rPr>
                                <w:t>。</w:t>
                              </w:r>
                            </w:p>
                            <w:p w14:paraId="0B0FD4F2" w14:textId="77777777" w:rsidR="00A0212B" w:rsidRDefault="00A0212B" w:rsidP="004D7C92">
                              <w:pPr>
                                <w:adjustRightInd w:val="0"/>
                                <w:snapToGrid w:val="0"/>
                                <w:ind w:leftChars="150" w:left="540" w:hangingChars="100" w:hanging="180"/>
                              </w:pPr>
                              <w:r>
                                <w:rPr>
                                  <w:rFonts w:ascii="標楷體" w:eastAsia="標楷體" w:hAnsi="標楷體"/>
                                  <w:sz w:val="18"/>
                                  <w:szCs w:val="18"/>
                                </w:rPr>
                                <w:t>2.</w:t>
                              </w:r>
                              <w:r w:rsidRPr="00BE560C">
                                <w:rPr>
                                  <w:rFonts w:ascii="標楷體" w:eastAsia="標楷體" w:hAnsi="標楷體" w:hint="eastAsia"/>
                                  <w:sz w:val="18"/>
                                  <w:szCs w:val="18"/>
                                </w:rPr>
                                <w:t>資</w:t>
                              </w:r>
                              <w:r w:rsidRPr="00BE560C">
                                <w:rPr>
                                  <w:rFonts w:ascii="標楷體" w:eastAsia="標楷體" w:hAnsi="標楷體"/>
                                  <w:sz w:val="18"/>
                                  <w:szCs w:val="18"/>
                                </w:rPr>
                                <w:t>料來源：整理自</w:t>
                              </w:r>
                              <w:r w:rsidRPr="00BE560C">
                                <w:rPr>
                                  <w:rFonts w:ascii="標楷體" w:eastAsia="標楷體" w:hAnsi="標楷體" w:hint="eastAsia"/>
                                  <w:sz w:val="18"/>
                                  <w:szCs w:val="18"/>
                                </w:rPr>
                                <w:t xml:space="preserve">國家科學及技術委員會「科學技術統計要覽Indicators of Science and Technology </w:t>
                              </w:r>
                              <w:r>
                                <w:rPr>
                                  <w:rFonts w:ascii="標楷體" w:eastAsia="標楷體" w:hAnsi="標楷體" w:hint="eastAsia"/>
                                  <w:sz w:val="18"/>
                                  <w:szCs w:val="18"/>
                                </w:rPr>
                                <w:t>（</w:t>
                              </w:r>
                              <w:r w:rsidRPr="00BE560C">
                                <w:rPr>
                                  <w:rFonts w:ascii="標楷體" w:eastAsia="標楷體" w:hAnsi="標楷體" w:hint="eastAsia"/>
                                  <w:sz w:val="18"/>
                                  <w:szCs w:val="18"/>
                                </w:rPr>
                                <w:t>2023年版</w:t>
                              </w:r>
                              <w:r>
                                <w:rPr>
                                  <w:rFonts w:ascii="標楷體" w:eastAsia="標楷體" w:hAnsi="標楷體" w:hint="eastAsia"/>
                                  <w:sz w:val="18"/>
                                  <w:szCs w:val="18"/>
                                </w:rPr>
                                <w:t>）</w:t>
                              </w:r>
                              <w:r w:rsidRPr="00BE560C">
                                <w:rPr>
                                  <w:rFonts w:ascii="標楷體" w:eastAsia="標楷體" w:hAnsi="標楷體" w:hint="eastAsia"/>
                                  <w:sz w:val="18"/>
                                  <w:szCs w:val="18"/>
                                </w:rPr>
                                <w:t>」及</w:t>
                              </w:r>
                              <w:r>
                                <w:rPr>
                                  <w:rFonts w:ascii="標楷體" w:eastAsia="標楷體" w:hAnsi="標楷體" w:hint="eastAsia"/>
                                  <w:sz w:val="18"/>
                                  <w:szCs w:val="18"/>
                                </w:rPr>
                                <w:t>經</w:t>
                              </w:r>
                              <w:r>
                                <w:rPr>
                                  <w:rFonts w:ascii="標楷體" w:eastAsia="標楷體" w:hAnsi="標楷體"/>
                                  <w:sz w:val="18"/>
                                  <w:szCs w:val="18"/>
                                </w:rPr>
                                <w:t>濟部</w:t>
                              </w:r>
                              <w:r>
                                <w:rPr>
                                  <w:rFonts w:ascii="標楷體" w:eastAsia="標楷體" w:hAnsi="標楷體" w:hint="eastAsia"/>
                                  <w:sz w:val="18"/>
                                  <w:szCs w:val="18"/>
                                </w:rPr>
                                <w:t>工廠</w:t>
                              </w:r>
                              <w:r>
                                <w:rPr>
                                  <w:rFonts w:ascii="標楷體" w:eastAsia="標楷體" w:hAnsi="標楷體"/>
                                  <w:sz w:val="18"/>
                                  <w:szCs w:val="18"/>
                                </w:rPr>
                                <w:t>營運調查報告</w:t>
                              </w:r>
                              <w:r>
                                <w:rPr>
                                  <w:rFonts w:ascii="標楷體" w:eastAsia="標楷體" w:hAnsi="標楷體" w:hint="eastAsia"/>
                                  <w:sz w:val="18"/>
                                  <w:szCs w:val="18"/>
                                </w:rPr>
                                <w:t>（113年3月</w:t>
                              </w:r>
                              <w:r>
                                <w:rPr>
                                  <w:rFonts w:ascii="標楷體" w:eastAsia="標楷體" w:hAnsi="標楷體"/>
                                  <w:sz w:val="18"/>
                                  <w:szCs w:val="18"/>
                                </w:rPr>
                                <w:t>）</w:t>
                              </w:r>
                              <w:r w:rsidRPr="00BE560C">
                                <w:rPr>
                                  <w:rFonts w:ascii="標楷體" w:eastAsia="標楷體" w:hAnsi="標楷體" w:hint="eastAsia"/>
                                  <w:sz w:val="18"/>
                                  <w:szCs w:val="18"/>
                                </w:rPr>
                                <w:t>。</w:t>
                              </w:r>
                            </w:p>
                            <w:p w14:paraId="7968FEAF" w14:textId="77777777" w:rsidR="00A0212B" w:rsidRDefault="00A0212B" w:rsidP="00862B2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1" name="文字方塊 1"/>
                        <wps:cNvSpPr txBox="1"/>
                        <wps:spPr>
                          <a:xfrm>
                            <a:off x="5345722" y="2151185"/>
                            <a:ext cx="486508" cy="431800"/>
                          </a:xfrm>
                          <a:prstGeom prst="rect">
                            <a:avLst/>
                          </a:prstGeom>
                        </wps:spPr>
                        <wps:txbx>
                          <w:txbxContent>
                            <w:p w14:paraId="313481F6" w14:textId="77777777" w:rsidR="00A0212B" w:rsidRPr="00C37AF4" w:rsidRDefault="00A0212B" w:rsidP="00862B24">
                              <w:pPr>
                                <w:pStyle w:val="Web"/>
                                <w:spacing w:before="0" w:beforeAutospacing="0" w:after="0" w:afterAutospacing="0" w:line="200" w:lineRule="exact"/>
                                <w:rPr>
                                  <w:spacing w:val="-4"/>
                                </w:rPr>
                              </w:pPr>
                              <w:r w:rsidRPr="00C37AF4">
                                <w:rPr>
                                  <w:rFonts w:ascii="標楷體" w:eastAsia="標楷體" w:hAnsi="標楷體" w:cstheme="minorBidi" w:hint="eastAsia"/>
                                  <w:spacing w:val="-4"/>
                                  <w:sz w:val="20"/>
                                  <w:szCs w:val="20"/>
                                </w:rPr>
                                <w:t>年度</w:t>
                              </w:r>
                            </w:p>
                          </w:txbxContent>
                        </wps:txbx>
                        <wps:bodyPr vertOverflow="clip" wrap="square" rtlCol="0"/>
                      </wps:wsp>
                    </wpg:wgp>
                  </a:graphicData>
                </a:graphic>
                <wp14:sizeRelH relativeFrom="margin">
                  <wp14:pctWidth>0</wp14:pctWidth>
                </wp14:sizeRelH>
              </wp:anchor>
            </w:drawing>
          </mc:Choice>
          <mc:Fallback>
            <w:pict>
              <v:group w14:anchorId="4CE5512F" id="群組 482" o:spid="_x0000_s1039" style="position:absolute;left:0;text-align:left;margin-left:19.75pt;margin-top:205.55pt;width:459.2pt;height:262.2pt;z-index:251687936;mso-width-relative:margin" coordsize="58322,33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">
                <v:shape id="文字方塊 477" o:spid="_x0000_s1040" type="#_x0000_t202" style="position:absolute;width:57912;height:33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" fillcolor="window" stroked="f" strokeweight=".5pt">
                  <v:textbox>
                    <w:txbxContent>
                      <w:p w14:paraId="4D91B2F2" w14:textId="77777777" w:rsidR="00A0212B" w:rsidRDefault="00A0212B" w:rsidP="00862B24">
                        <w:r>
                          <w:rPr>
                            <w:noProof/>
                          </w:rPr>
                          <w:drawing>
                            <wp:inline distT="0" distB="0" distL="0" distR="0" wp14:anchorId="4BFF774F" wp14:editId="2290F5BB">
                              <wp:extent cx="5425440" cy="2743200"/>
                              <wp:effectExtent l="0" t="0" r="0" b="0"/>
                              <wp:docPr id="480" name="圖表 4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98AC0B5" w14:textId="77777777" w:rsidR="00A0212B" w:rsidRDefault="00A0212B" w:rsidP="00862B24">
                        <w:pPr>
                          <w:adjustRightInd w:val="0"/>
                          <w:snapToGrid w:val="0"/>
                          <w:ind w:left="900" w:hangingChars="500" w:hanging="900"/>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經</w:t>
                        </w:r>
                        <w:r>
                          <w:rPr>
                            <w:rFonts w:ascii="標楷體" w:eastAsia="標楷體" w:hAnsi="標楷體"/>
                            <w:sz w:val="18"/>
                            <w:szCs w:val="18"/>
                          </w:rPr>
                          <w:t>濟部</w:t>
                        </w:r>
                        <w:r>
                          <w:rPr>
                            <w:rFonts w:ascii="標楷體" w:eastAsia="標楷體" w:hAnsi="標楷體" w:hint="eastAsia"/>
                            <w:sz w:val="18"/>
                            <w:szCs w:val="18"/>
                          </w:rPr>
                          <w:t>105及110年</w:t>
                        </w:r>
                        <w:r>
                          <w:rPr>
                            <w:rFonts w:ascii="標楷體" w:eastAsia="標楷體" w:hAnsi="標楷體"/>
                            <w:sz w:val="18"/>
                            <w:szCs w:val="18"/>
                          </w:rPr>
                          <w:t>度</w:t>
                        </w:r>
                        <w:r>
                          <w:rPr>
                            <w:rFonts w:ascii="標楷體" w:eastAsia="標楷體" w:hAnsi="標楷體" w:hint="eastAsia"/>
                            <w:sz w:val="18"/>
                            <w:szCs w:val="18"/>
                          </w:rPr>
                          <w:t>未</w:t>
                        </w:r>
                        <w:r>
                          <w:rPr>
                            <w:rFonts w:ascii="標楷體" w:eastAsia="標楷體" w:hAnsi="標楷體"/>
                            <w:sz w:val="18"/>
                            <w:szCs w:val="18"/>
                          </w:rPr>
                          <w:t>辦理</w:t>
                        </w:r>
                        <w:r w:rsidRPr="00EB7D88">
                          <w:rPr>
                            <w:rFonts w:ascii="標楷體" w:eastAsia="標楷體" w:hAnsi="標楷體" w:hint="eastAsia"/>
                            <w:sz w:val="18"/>
                            <w:szCs w:val="18"/>
                          </w:rPr>
                          <w:t>工廠校正及營運調查</w:t>
                        </w:r>
                        <w:r>
                          <w:rPr>
                            <w:rFonts w:ascii="標楷體" w:eastAsia="標楷體" w:hAnsi="標楷體" w:hint="eastAsia"/>
                            <w:sz w:val="18"/>
                            <w:szCs w:val="18"/>
                          </w:rPr>
                          <w:t>。</w:t>
                        </w:r>
                      </w:p>
                      <w:p w14:paraId="0B0FD4F2" w14:textId="77777777" w:rsidR="00A0212B" w:rsidRDefault="00A0212B" w:rsidP="004D7C92">
                        <w:pPr>
                          <w:adjustRightInd w:val="0"/>
                          <w:snapToGrid w:val="0"/>
                          <w:ind w:leftChars="150" w:left="540" w:hangingChars="100" w:hanging="180"/>
                        </w:pPr>
                        <w:r>
                          <w:rPr>
                            <w:rFonts w:ascii="標楷體" w:eastAsia="標楷體" w:hAnsi="標楷體"/>
                            <w:sz w:val="18"/>
                            <w:szCs w:val="18"/>
                          </w:rPr>
                          <w:t>2.</w:t>
                        </w:r>
                        <w:r w:rsidRPr="00BE560C">
                          <w:rPr>
                            <w:rFonts w:ascii="標楷體" w:eastAsia="標楷體" w:hAnsi="標楷體" w:hint="eastAsia"/>
                            <w:sz w:val="18"/>
                            <w:szCs w:val="18"/>
                          </w:rPr>
                          <w:t>資</w:t>
                        </w:r>
                        <w:r w:rsidRPr="00BE560C">
                          <w:rPr>
                            <w:rFonts w:ascii="標楷體" w:eastAsia="標楷體" w:hAnsi="標楷體"/>
                            <w:sz w:val="18"/>
                            <w:szCs w:val="18"/>
                          </w:rPr>
                          <w:t>料來源：整理自</w:t>
                        </w:r>
                        <w:r w:rsidRPr="00BE560C">
                          <w:rPr>
                            <w:rFonts w:ascii="標楷體" w:eastAsia="標楷體" w:hAnsi="標楷體" w:hint="eastAsia"/>
                            <w:sz w:val="18"/>
                            <w:szCs w:val="18"/>
                          </w:rPr>
                          <w:t xml:space="preserve">國家科學及技術委員會「科學技術統計要覽Indicators of Science and Technology </w:t>
                        </w:r>
                        <w:r>
                          <w:rPr>
                            <w:rFonts w:ascii="標楷體" w:eastAsia="標楷體" w:hAnsi="標楷體" w:hint="eastAsia"/>
                            <w:sz w:val="18"/>
                            <w:szCs w:val="18"/>
                          </w:rPr>
                          <w:t>（</w:t>
                        </w:r>
                        <w:r w:rsidRPr="00BE560C">
                          <w:rPr>
                            <w:rFonts w:ascii="標楷體" w:eastAsia="標楷體" w:hAnsi="標楷體" w:hint="eastAsia"/>
                            <w:sz w:val="18"/>
                            <w:szCs w:val="18"/>
                          </w:rPr>
                          <w:t>2023年版</w:t>
                        </w:r>
                        <w:r>
                          <w:rPr>
                            <w:rFonts w:ascii="標楷體" w:eastAsia="標楷體" w:hAnsi="標楷體" w:hint="eastAsia"/>
                            <w:sz w:val="18"/>
                            <w:szCs w:val="18"/>
                          </w:rPr>
                          <w:t>）</w:t>
                        </w:r>
                        <w:r w:rsidRPr="00BE560C">
                          <w:rPr>
                            <w:rFonts w:ascii="標楷體" w:eastAsia="標楷體" w:hAnsi="標楷體" w:hint="eastAsia"/>
                            <w:sz w:val="18"/>
                            <w:szCs w:val="18"/>
                          </w:rPr>
                          <w:t>」及</w:t>
                        </w:r>
                        <w:r>
                          <w:rPr>
                            <w:rFonts w:ascii="標楷體" w:eastAsia="標楷體" w:hAnsi="標楷體" w:hint="eastAsia"/>
                            <w:sz w:val="18"/>
                            <w:szCs w:val="18"/>
                          </w:rPr>
                          <w:t>經</w:t>
                        </w:r>
                        <w:r>
                          <w:rPr>
                            <w:rFonts w:ascii="標楷體" w:eastAsia="標楷體" w:hAnsi="標楷體"/>
                            <w:sz w:val="18"/>
                            <w:szCs w:val="18"/>
                          </w:rPr>
                          <w:t>濟部</w:t>
                        </w:r>
                        <w:r>
                          <w:rPr>
                            <w:rFonts w:ascii="標楷體" w:eastAsia="標楷體" w:hAnsi="標楷體" w:hint="eastAsia"/>
                            <w:sz w:val="18"/>
                            <w:szCs w:val="18"/>
                          </w:rPr>
                          <w:t>工廠</w:t>
                        </w:r>
                        <w:r>
                          <w:rPr>
                            <w:rFonts w:ascii="標楷體" w:eastAsia="標楷體" w:hAnsi="標楷體"/>
                            <w:sz w:val="18"/>
                            <w:szCs w:val="18"/>
                          </w:rPr>
                          <w:t>營運調查報告</w:t>
                        </w:r>
                        <w:r>
                          <w:rPr>
                            <w:rFonts w:ascii="標楷體" w:eastAsia="標楷體" w:hAnsi="標楷體" w:hint="eastAsia"/>
                            <w:sz w:val="18"/>
                            <w:szCs w:val="18"/>
                          </w:rPr>
                          <w:t>（113年3月</w:t>
                        </w:r>
                        <w:r>
                          <w:rPr>
                            <w:rFonts w:ascii="標楷體" w:eastAsia="標楷體" w:hAnsi="標楷體"/>
                            <w:sz w:val="18"/>
                            <w:szCs w:val="18"/>
                          </w:rPr>
                          <w:t>）</w:t>
                        </w:r>
                        <w:r w:rsidRPr="00BE560C">
                          <w:rPr>
                            <w:rFonts w:ascii="標楷體" w:eastAsia="標楷體" w:hAnsi="標楷體" w:hint="eastAsia"/>
                            <w:sz w:val="18"/>
                            <w:szCs w:val="18"/>
                          </w:rPr>
                          <w:t>。</w:t>
                        </w:r>
                      </w:p>
                      <w:p w14:paraId="7968FEAF" w14:textId="77777777" w:rsidR="00A0212B" w:rsidRDefault="00A0212B" w:rsidP="00862B24"/>
                    </w:txbxContent>
                  </v:textbox>
                </v:shape>
                <v:shape id="文字方塊 1" o:spid="_x0000_s1041" type="#_x0000_t202" style="position:absolute;left:53457;top:21511;width:486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" filled="f" stroked="f">
                  <v:textbox>
                    <w:txbxContent>
                      <w:p w14:paraId="313481F6" w14:textId="77777777" w:rsidR="00A0212B" w:rsidRPr="00C37AF4" w:rsidRDefault="00A0212B" w:rsidP="00862B24">
                        <w:pPr>
                          <w:pStyle w:val="Web"/>
                          <w:spacing w:before="0" w:beforeAutospacing="0" w:after="0" w:afterAutospacing="0" w:line="200" w:lineRule="exact"/>
                          <w:rPr>
                            <w:spacing w:val="-4"/>
                          </w:rPr>
                        </w:pPr>
                        <w:r w:rsidRPr="00C37AF4">
                          <w:rPr>
                            <w:rFonts w:ascii="標楷體" w:eastAsia="標楷體" w:hAnsi="標楷體" w:cstheme="minorBidi" w:hint="eastAsia"/>
                            <w:spacing w:val="-4"/>
                            <w:sz w:val="20"/>
                            <w:szCs w:val="20"/>
                          </w:rPr>
                          <w:t>年度</w:t>
                        </w:r>
                      </w:p>
                    </w:txbxContent>
                  </v:textbox>
                </v:shape>
                <w10:wrap type="square"/>
              </v:group>
            </w:pict>
          </mc:Fallback>
        </mc:AlternateContent>
      </w:r>
      <w:r w:rsidR="00862B24" w:rsidRPr="00862B24">
        <w:rPr>
          <w:rFonts w:ascii="標楷體" w:eastAsia="標楷體" w:hAnsi="標楷體" w:cs="標楷體" w:hint="eastAsia"/>
          <w:noProof/>
          <w:kern w:val="52"/>
          <w:szCs w:val="32"/>
          <w:shd w:val="clear" w:color="auto" w:fill="FFFFFF"/>
        </w:rPr>
        <mc:AlternateContent>
          <mc:Choice Requires="wpg">
            <w:drawing>
              <wp:anchor distT="0" distB="0" distL="114300" distR="114300" simplePos="0" relativeHeight="251662336" behindDoc="0" locked="0" layoutInCell="1" allowOverlap="1" wp14:anchorId="7AE09F5A" wp14:editId="66E0592D">
                <wp:simplePos x="0" y="0"/>
                <wp:positionH relativeFrom="column">
                  <wp:posOffset>-139277</wp:posOffset>
                </wp:positionH>
                <wp:positionV relativeFrom="paragraph">
                  <wp:posOffset>5991225</wp:posOffset>
                </wp:positionV>
                <wp:extent cx="6843395" cy="2575560"/>
                <wp:effectExtent l="0" t="0" r="0" b="0"/>
                <wp:wrapSquare wrapText="bothSides"/>
                <wp:docPr id="474" name="群組 474"/>
                <wp:cNvGraphicFramePr/>
                <a:graphic xmlns:a="http://schemas.openxmlformats.org/drawingml/2006/main">
                  <a:graphicData uri="http://schemas.microsoft.com/office/word/2010/wordprocessingGroup">
                    <wpg:wgp>
                      <wpg:cNvGrpSpPr/>
                      <wpg:grpSpPr>
                        <a:xfrm>
                          <a:off x="0" y="0"/>
                          <a:ext cx="6843395" cy="2575560"/>
                          <a:chOff x="0" y="0"/>
                          <a:chExt cx="6843598" cy="2575560"/>
                        </a:xfrm>
                      </wpg:grpSpPr>
                      <wps:wsp>
                        <wps:cNvPr id="475" name="文字方塊 100"/>
                        <wps:cNvSpPr txBox="1">
                          <a:spLocks/>
                        </wps:cNvSpPr>
                        <wps:spPr>
                          <a:xfrm>
                            <a:off x="0" y="0"/>
                            <a:ext cx="3360114" cy="2575560"/>
                          </a:xfrm>
                          <a:prstGeom prst="rect">
                            <a:avLst/>
                          </a:prstGeom>
                          <a:solidFill>
                            <a:sysClr val="window" lastClr="FFFFFF"/>
                          </a:solidFill>
                          <a:ln w="6350">
                            <a:noFill/>
                          </a:ln>
                        </wps:spPr>
                        <wps:txbx>
                          <w:txbxContent>
                            <w:p w14:paraId="1063FA23" w14:textId="77777777" w:rsidR="00A0212B" w:rsidRDefault="00A0212B" w:rsidP="00862B24">
                              <w:r>
                                <w:rPr>
                                  <w:noProof/>
                                </w:rPr>
                                <w:drawing>
                                  <wp:inline distT="0" distB="0" distL="0" distR="0" wp14:anchorId="5245330E" wp14:editId="040B1033">
                                    <wp:extent cx="3266902" cy="2280285"/>
                                    <wp:effectExtent l="0" t="0" r="0" b="0"/>
                                    <wp:docPr id="478" name="圖表 1">
                                      <a:extLst xmlns:a="http://schemas.openxmlformats.org/drawingml/2006/main">
                                        <a:ext uri="{FF2B5EF4-FFF2-40B4-BE49-F238E27FC236}">
                                          <a16:creationId xmlns:a16="http://schemas.microsoft.com/office/drawing/2014/main" id="{395D7BDF-EC3B-8807-D81C-D29C53B672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67FDCC4" w14:textId="77777777" w:rsidR="00A0212B" w:rsidRPr="00684097" w:rsidRDefault="00A0212B" w:rsidP="00862B24">
                              <w:pPr>
                                <w:adjustRightInd w:val="0"/>
                                <w:snapToGrid w:val="0"/>
                                <w:ind w:leftChars="50" w:left="980" w:hangingChars="500" w:hanging="860"/>
                                <w:rPr>
                                  <w:rFonts w:ascii="標楷體" w:eastAsia="標楷體" w:hAnsi="標楷體"/>
                                  <w:spacing w:val="-4"/>
                                  <w:sz w:val="18"/>
                                  <w:szCs w:val="18"/>
                                </w:rPr>
                              </w:pPr>
                              <w:r w:rsidRPr="00684097">
                                <w:rPr>
                                  <w:rFonts w:ascii="標楷體" w:eastAsia="標楷體" w:hAnsi="標楷體" w:hint="eastAsia"/>
                                  <w:spacing w:val="-4"/>
                                  <w:sz w:val="18"/>
                                  <w:szCs w:val="18"/>
                                </w:rPr>
                                <w:t>資料來源：整理自經</w:t>
                              </w:r>
                              <w:r w:rsidRPr="00684097">
                                <w:rPr>
                                  <w:rFonts w:ascii="標楷體" w:eastAsia="標楷體" w:hAnsi="標楷體"/>
                                  <w:spacing w:val="-4"/>
                                  <w:sz w:val="18"/>
                                  <w:szCs w:val="18"/>
                                </w:rPr>
                                <w:t>濟部</w:t>
                              </w:r>
                              <w:r w:rsidRPr="00684097">
                                <w:rPr>
                                  <w:rFonts w:ascii="標楷體" w:eastAsia="標楷體" w:hAnsi="標楷體" w:hint="eastAsia"/>
                                  <w:spacing w:val="-4"/>
                                  <w:sz w:val="18"/>
                                  <w:szCs w:val="18"/>
                                </w:rPr>
                                <w:t>工廠營運調查報告（113年3月）。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6" name="文字方塊 98"/>
                        <wps:cNvSpPr txBox="1">
                          <a:spLocks/>
                        </wps:cNvSpPr>
                        <wps:spPr>
                          <a:xfrm>
                            <a:off x="3451860" y="0"/>
                            <a:ext cx="3391738" cy="2575560"/>
                          </a:xfrm>
                          <a:prstGeom prst="rect">
                            <a:avLst/>
                          </a:prstGeom>
                          <a:solidFill>
                            <a:sysClr val="window" lastClr="FFFFFF"/>
                          </a:solidFill>
                          <a:ln w="6350">
                            <a:noFill/>
                          </a:ln>
                        </wps:spPr>
                        <wps:txbx>
                          <w:txbxContent>
                            <w:p w14:paraId="621C1B10" w14:textId="77777777" w:rsidR="00A0212B" w:rsidRDefault="00A0212B" w:rsidP="00862B24">
                              <w:r>
                                <w:rPr>
                                  <w:noProof/>
                                </w:rPr>
                                <w:drawing>
                                  <wp:inline distT="0" distB="0" distL="0" distR="0" wp14:anchorId="230C4BAF" wp14:editId="5F5858C0">
                                    <wp:extent cx="3341717" cy="2235835"/>
                                    <wp:effectExtent l="0" t="0" r="0" b="0"/>
                                    <wp:docPr id="479" name="圖表 4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B4722BB" w14:textId="77777777" w:rsidR="00A0212B" w:rsidRPr="00960D3F" w:rsidRDefault="00A0212B" w:rsidP="00862B24">
                              <w:pPr>
                                <w:adjustRightInd w:val="0"/>
                                <w:snapToGrid w:val="0"/>
                                <w:ind w:leftChars="50" w:left="980" w:hangingChars="500" w:hanging="860"/>
                                <w:rPr>
                                  <w:rFonts w:ascii="標楷體" w:eastAsia="標楷體" w:hAnsi="標楷體"/>
                                  <w:sz w:val="18"/>
                                  <w:szCs w:val="18"/>
                                </w:rPr>
                              </w:pPr>
                              <w:r w:rsidRPr="00684097">
                                <w:rPr>
                                  <w:rFonts w:ascii="標楷體" w:eastAsia="標楷體" w:hAnsi="標楷體" w:hint="eastAsia"/>
                                  <w:spacing w:val="-4"/>
                                  <w:sz w:val="18"/>
                                  <w:szCs w:val="18"/>
                                </w:rPr>
                                <w:t>資料來源：整理自經</w:t>
                              </w:r>
                              <w:r w:rsidRPr="00684097">
                                <w:rPr>
                                  <w:rFonts w:ascii="標楷體" w:eastAsia="標楷體" w:hAnsi="標楷體"/>
                                  <w:spacing w:val="-4"/>
                                  <w:sz w:val="18"/>
                                  <w:szCs w:val="18"/>
                                </w:rPr>
                                <w:t>濟部</w:t>
                              </w:r>
                              <w:r w:rsidRPr="00684097">
                                <w:rPr>
                                  <w:rFonts w:ascii="標楷體" w:eastAsia="標楷體" w:hAnsi="標楷體" w:hint="eastAsia"/>
                                  <w:spacing w:val="-4"/>
                                  <w:sz w:val="18"/>
                                  <w:szCs w:val="18"/>
                                </w:rPr>
                                <w:t>工</w:t>
                              </w:r>
                              <w:r w:rsidRPr="00684097">
                                <w:rPr>
                                  <w:rFonts w:ascii="標楷體" w:eastAsia="標楷體" w:hAnsi="標楷體"/>
                                  <w:spacing w:val="-4"/>
                                  <w:sz w:val="18"/>
                                  <w:szCs w:val="18"/>
                                </w:rPr>
                                <w:t>廠營</w:t>
                              </w:r>
                              <w:r w:rsidRPr="00684097">
                                <w:rPr>
                                  <w:rFonts w:ascii="標楷體" w:eastAsia="標楷體" w:hAnsi="標楷體" w:hint="eastAsia"/>
                                  <w:spacing w:val="-4"/>
                                  <w:sz w:val="18"/>
                                  <w:szCs w:val="18"/>
                                </w:rPr>
                                <w:t>運調</w:t>
                              </w:r>
                              <w:r w:rsidRPr="00684097">
                                <w:rPr>
                                  <w:rFonts w:ascii="標楷體" w:eastAsia="標楷體" w:hAnsi="標楷體"/>
                                  <w:spacing w:val="-4"/>
                                  <w:sz w:val="18"/>
                                  <w:szCs w:val="18"/>
                                </w:rPr>
                                <w:t>查報告</w:t>
                              </w:r>
                              <w:r w:rsidRPr="00684097">
                                <w:rPr>
                                  <w:rFonts w:ascii="標楷體" w:eastAsia="標楷體" w:hAnsi="標楷體" w:hint="eastAsia"/>
                                  <w:spacing w:val="-8"/>
                                  <w:sz w:val="18"/>
                                  <w:szCs w:val="18"/>
                                </w:rPr>
                                <w:t>（113年3月</w:t>
                              </w:r>
                              <w:r w:rsidRPr="00684097">
                                <w:rPr>
                                  <w:rFonts w:ascii="標楷體" w:eastAsia="標楷體" w:hAnsi="標楷體"/>
                                  <w:spacing w:val="-8"/>
                                  <w:sz w:val="18"/>
                                  <w:szCs w:val="18"/>
                                </w:rPr>
                                <w:t>）</w:t>
                              </w:r>
                              <w:r w:rsidRPr="00684097">
                                <w:rPr>
                                  <w:rFonts w:ascii="標楷體" w:eastAsia="標楷體" w:hAnsi="標楷體" w:hint="eastAsia"/>
                                  <w:spacing w:val="-8"/>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AE09F5A" id="群組 474" o:spid="_x0000_s1042" style="position:absolute;left:0;text-align:left;margin-left:-10.95pt;margin-top:471.75pt;width:538.85pt;height:202.8pt;z-index:251662336" coordsize="68435,257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">
                <v:shape id="文字方塊 100" o:spid="_x0000_s1043" type="#_x0000_t202" style="position:absolute;width:33601;height:25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" fillcolor="window" stroked="f" strokeweight=".5pt">
                  <v:path arrowok="t"/>
                  <v:textbox>
                    <w:txbxContent>
                      <w:p w14:paraId="1063FA23" w14:textId="77777777" w:rsidR="00A0212B" w:rsidRDefault="00A0212B" w:rsidP="00862B24">
                        <w:r>
                          <w:rPr>
                            <w:noProof/>
                          </w:rPr>
                          <w:drawing>
                            <wp:inline distT="0" distB="0" distL="0" distR="0" wp14:anchorId="5245330E" wp14:editId="040B1033">
                              <wp:extent cx="3266902" cy="2280285"/>
                              <wp:effectExtent l="0" t="0" r="0" b="0"/>
                              <wp:docPr id="478" name="圖表 1">
                                <a:extLst xmlns:a="http://schemas.openxmlformats.org/drawingml/2006/main">
                                  <a:ext uri="{FF2B5EF4-FFF2-40B4-BE49-F238E27FC236}">
                                    <a16:creationId xmlns:a16="http://schemas.microsoft.com/office/drawing/2014/main" id="{395D7BDF-EC3B-8807-D81C-D29C53B672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67FDCC4" w14:textId="77777777" w:rsidR="00A0212B" w:rsidRPr="00684097" w:rsidRDefault="00A0212B" w:rsidP="00862B24">
                        <w:pPr>
                          <w:adjustRightInd w:val="0"/>
                          <w:snapToGrid w:val="0"/>
                          <w:ind w:leftChars="50" w:left="980" w:hangingChars="500" w:hanging="860"/>
                          <w:rPr>
                            <w:rFonts w:ascii="標楷體" w:eastAsia="標楷體" w:hAnsi="標楷體"/>
                            <w:spacing w:val="-4"/>
                            <w:sz w:val="18"/>
                            <w:szCs w:val="18"/>
                          </w:rPr>
                        </w:pPr>
                        <w:r w:rsidRPr="00684097">
                          <w:rPr>
                            <w:rFonts w:ascii="標楷體" w:eastAsia="標楷體" w:hAnsi="標楷體" w:hint="eastAsia"/>
                            <w:spacing w:val="-4"/>
                            <w:sz w:val="18"/>
                            <w:szCs w:val="18"/>
                          </w:rPr>
                          <w:t>資料來源：整理自經</w:t>
                        </w:r>
                        <w:r w:rsidRPr="00684097">
                          <w:rPr>
                            <w:rFonts w:ascii="標楷體" w:eastAsia="標楷體" w:hAnsi="標楷體"/>
                            <w:spacing w:val="-4"/>
                            <w:sz w:val="18"/>
                            <w:szCs w:val="18"/>
                          </w:rPr>
                          <w:t>濟部</w:t>
                        </w:r>
                        <w:r w:rsidRPr="00684097">
                          <w:rPr>
                            <w:rFonts w:ascii="標楷體" w:eastAsia="標楷體" w:hAnsi="標楷體" w:hint="eastAsia"/>
                            <w:spacing w:val="-4"/>
                            <w:sz w:val="18"/>
                            <w:szCs w:val="18"/>
                          </w:rPr>
                          <w:t>工廠營運調查報告（113年3月）。</w:t>
                        </w:r>
                      </w:p>
                    </w:txbxContent>
                  </v:textbox>
                </v:shape>
                <v:shape id="文字方塊 98" o:spid="_x0000_s1044" type="#_x0000_t202" style="position:absolute;left:34518;width:33917;height:25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" fillcolor="window" stroked="f" strokeweight=".5pt">
                  <v:path arrowok="t"/>
                  <v:textbox>
                    <w:txbxContent>
                      <w:p w14:paraId="621C1B10" w14:textId="77777777" w:rsidR="00A0212B" w:rsidRDefault="00A0212B" w:rsidP="00862B24">
                        <w:r>
                          <w:rPr>
                            <w:noProof/>
                          </w:rPr>
                          <w:drawing>
                            <wp:inline distT="0" distB="0" distL="0" distR="0" wp14:anchorId="230C4BAF" wp14:editId="5F5858C0">
                              <wp:extent cx="3341717" cy="2235835"/>
                              <wp:effectExtent l="0" t="0" r="0" b="0"/>
                              <wp:docPr id="479" name="圖表 4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B4722BB" w14:textId="77777777" w:rsidR="00A0212B" w:rsidRPr="00960D3F" w:rsidRDefault="00A0212B" w:rsidP="00862B24">
                        <w:pPr>
                          <w:adjustRightInd w:val="0"/>
                          <w:snapToGrid w:val="0"/>
                          <w:ind w:leftChars="50" w:left="980" w:hangingChars="500" w:hanging="860"/>
                          <w:rPr>
                            <w:rFonts w:ascii="標楷體" w:eastAsia="標楷體" w:hAnsi="標楷體"/>
                            <w:sz w:val="18"/>
                            <w:szCs w:val="18"/>
                          </w:rPr>
                        </w:pPr>
                        <w:r w:rsidRPr="00684097">
                          <w:rPr>
                            <w:rFonts w:ascii="標楷體" w:eastAsia="標楷體" w:hAnsi="標楷體" w:hint="eastAsia"/>
                            <w:spacing w:val="-4"/>
                            <w:sz w:val="18"/>
                            <w:szCs w:val="18"/>
                          </w:rPr>
                          <w:t>資料來源：整理自經</w:t>
                        </w:r>
                        <w:r w:rsidRPr="00684097">
                          <w:rPr>
                            <w:rFonts w:ascii="標楷體" w:eastAsia="標楷體" w:hAnsi="標楷體"/>
                            <w:spacing w:val="-4"/>
                            <w:sz w:val="18"/>
                            <w:szCs w:val="18"/>
                          </w:rPr>
                          <w:t>濟部</w:t>
                        </w:r>
                        <w:r w:rsidRPr="00684097">
                          <w:rPr>
                            <w:rFonts w:ascii="標楷體" w:eastAsia="標楷體" w:hAnsi="標楷體" w:hint="eastAsia"/>
                            <w:spacing w:val="-4"/>
                            <w:sz w:val="18"/>
                            <w:szCs w:val="18"/>
                          </w:rPr>
                          <w:t>工</w:t>
                        </w:r>
                        <w:r w:rsidRPr="00684097">
                          <w:rPr>
                            <w:rFonts w:ascii="標楷體" w:eastAsia="標楷體" w:hAnsi="標楷體"/>
                            <w:spacing w:val="-4"/>
                            <w:sz w:val="18"/>
                            <w:szCs w:val="18"/>
                          </w:rPr>
                          <w:t>廠營</w:t>
                        </w:r>
                        <w:r w:rsidRPr="00684097">
                          <w:rPr>
                            <w:rFonts w:ascii="標楷體" w:eastAsia="標楷體" w:hAnsi="標楷體" w:hint="eastAsia"/>
                            <w:spacing w:val="-4"/>
                            <w:sz w:val="18"/>
                            <w:szCs w:val="18"/>
                          </w:rPr>
                          <w:t>運調</w:t>
                        </w:r>
                        <w:r w:rsidRPr="00684097">
                          <w:rPr>
                            <w:rFonts w:ascii="標楷體" w:eastAsia="標楷體" w:hAnsi="標楷體"/>
                            <w:spacing w:val="-4"/>
                            <w:sz w:val="18"/>
                            <w:szCs w:val="18"/>
                          </w:rPr>
                          <w:t>查報告</w:t>
                        </w:r>
                        <w:r w:rsidRPr="00684097">
                          <w:rPr>
                            <w:rFonts w:ascii="標楷體" w:eastAsia="標楷體" w:hAnsi="標楷體" w:hint="eastAsia"/>
                            <w:spacing w:val="-8"/>
                            <w:sz w:val="18"/>
                            <w:szCs w:val="18"/>
                          </w:rPr>
                          <w:t>（113年3月</w:t>
                        </w:r>
                        <w:r w:rsidRPr="00684097">
                          <w:rPr>
                            <w:rFonts w:ascii="標楷體" w:eastAsia="標楷體" w:hAnsi="標楷體"/>
                            <w:spacing w:val="-8"/>
                            <w:sz w:val="18"/>
                            <w:szCs w:val="18"/>
                          </w:rPr>
                          <w:t>）</w:t>
                        </w:r>
                        <w:r w:rsidRPr="00684097">
                          <w:rPr>
                            <w:rFonts w:ascii="標楷體" w:eastAsia="標楷體" w:hAnsi="標楷體" w:hint="eastAsia"/>
                            <w:spacing w:val="-8"/>
                            <w:sz w:val="18"/>
                            <w:szCs w:val="18"/>
                          </w:rPr>
                          <w:t>。</w:t>
                        </w:r>
                      </w:p>
                    </w:txbxContent>
                  </v:textbox>
                </v:shape>
                <w10:wrap type="square"/>
              </v:group>
            </w:pict>
          </mc:Fallback>
        </mc:AlternateContent>
      </w:r>
      <w:r w:rsidRPr="00F60428">
        <w:rPr>
          <w:rFonts w:ascii="標楷體" w:eastAsia="標楷體" w:hAnsi="標楷體" w:cs="標楷體" w:hint="eastAsia"/>
          <w:kern w:val="52"/>
          <w:szCs w:val="32"/>
          <w:shd w:val="clear" w:color="auto" w:fill="FFFFFF"/>
        </w:rPr>
        <w:t>購買技術金額593億餘元中，以電子零組件製造業219億餘元（37.01％）為最，電腦、電子產</w:t>
      </w:r>
      <w:r w:rsidRPr="00F60428">
        <w:rPr>
          <w:rFonts w:ascii="標楷體" w:eastAsia="標楷體" w:hAnsi="標楷體" w:cs="標楷體" w:hint="eastAsia"/>
          <w:kern w:val="52"/>
          <w:szCs w:val="32"/>
          <w:shd w:val="clear" w:color="auto" w:fill="FFFFFF"/>
        </w:rPr>
        <w:lastRenderedPageBreak/>
        <w:t>品及光學製品製造業106億餘元（17.91％）次之，兩者占比達54.91％，顯示我國產業技術自主性已有所提升，惟產業技術仰賴美國、日本程度仍甚深，且資訊電子工業技術輸入金額仍鉅</w:t>
      </w:r>
      <w:r w:rsidR="00325ABA">
        <w:rPr>
          <w:rFonts w:ascii="標楷體" w:eastAsia="標楷體" w:hAnsi="標楷體" w:cs="標楷體" w:hint="eastAsia"/>
          <w:kern w:val="52"/>
          <w:szCs w:val="32"/>
          <w:shd w:val="clear" w:color="auto" w:fill="FFFFFF"/>
        </w:rPr>
        <w:t>。</w:t>
      </w:r>
      <w:r w:rsidRPr="00F60428">
        <w:rPr>
          <w:rFonts w:ascii="標楷體" w:eastAsia="標楷體" w:hAnsi="標楷體" w:cs="標楷體" w:hint="eastAsia"/>
          <w:kern w:val="52"/>
          <w:szCs w:val="32"/>
          <w:shd w:val="clear" w:color="auto" w:fill="FFFFFF"/>
        </w:rPr>
        <w:t>經函請行政院督促權責機關確實盤點我國產業技術缺口，積極研謀強化產業技術之自主性，提升國際競爭力。據復：</w:t>
      </w:r>
      <w:r w:rsidRPr="004D7C92">
        <w:rPr>
          <w:rFonts w:ascii="標楷體" w:eastAsia="標楷體" w:hAnsi="標楷體" w:cs="標楷體" w:hint="eastAsia"/>
          <w:kern w:val="52"/>
          <w:szCs w:val="32"/>
        </w:rPr>
        <w:t>經濟部配合國科會推動之「晶創台灣方案」，及政府整體科技政策施政方向，聚焦業界技術需求缺口，在次世代通訊部分，將進行</w:t>
      </w:r>
      <w:r w:rsidRPr="004D7C92">
        <w:rPr>
          <w:rFonts w:ascii="標楷體" w:eastAsia="標楷體" w:hAnsi="標楷體" w:cs="標楷體"/>
          <w:kern w:val="52"/>
          <w:szCs w:val="32"/>
        </w:rPr>
        <w:t>6G先期產業關鍵技術研發等；在半導體部分，將進行AI晶片設計等，並推動高頻、高功率化合物半導體發展；在人工智慧部分，將發展我國專屬生成式AI核心技術，並建立產業領域AI模型與應用典範案例。另國科會將持續推動各項科研成果商業化措施，並配合經濟部協助精進研發，持續強化產業技術自主性，提升國際競爭力</w:t>
      </w:r>
      <w:r w:rsidRPr="00F60428">
        <w:rPr>
          <w:rFonts w:ascii="標楷體" w:eastAsia="標楷體" w:hAnsi="標楷體" w:cs="標楷體" w:hint="eastAsia"/>
          <w:kern w:val="52"/>
          <w:szCs w:val="32"/>
        </w:rPr>
        <w:t>。</w:t>
      </w:r>
    </w:p>
    <w:p w14:paraId="4B3A27DE" w14:textId="4F0150AB" w:rsidR="00283CE1" w:rsidRPr="002C489F" w:rsidRDefault="00283CE1" w:rsidP="004D7C92">
      <w:pPr>
        <w:pStyle w:val="affffff3"/>
        <w:overflowPunct w:val="0"/>
        <w:outlineLvl w:val="1"/>
        <w:rPr>
          <w:color w:val="FF0000"/>
        </w:rPr>
      </w:pPr>
      <w:r w:rsidRPr="004D155E">
        <w:rPr>
          <w:rFonts w:hint="eastAsia"/>
        </w:rPr>
        <w:t>（</w:t>
      </w:r>
      <w:r>
        <w:rPr>
          <w:rFonts w:hint="eastAsia"/>
        </w:rPr>
        <w:t>五</w:t>
      </w:r>
      <w:r w:rsidRPr="004D155E">
        <w:rPr>
          <w:rFonts w:hint="eastAsia"/>
        </w:rPr>
        <w:t>）</w:t>
      </w:r>
      <w:r w:rsidRPr="007B13CE">
        <w:rPr>
          <w:rFonts w:hint="eastAsia"/>
        </w:rPr>
        <w:t xml:space="preserve">　行政院為有效打擊詐欺，訂頒新世代打擊詐欺行動綱領</w:t>
      </w:r>
      <w:r w:rsidRPr="007B13CE">
        <w:t>1.5</w:t>
      </w:r>
      <w:r w:rsidRPr="007B13CE">
        <w:rPr>
          <w:rFonts w:hint="eastAsia"/>
        </w:rPr>
        <w:t>版及推動打詐新</w:t>
      </w:r>
      <w:r w:rsidRPr="007B13CE">
        <w:t>4</w:t>
      </w:r>
      <w:r w:rsidRPr="007B13CE">
        <w:rPr>
          <w:rFonts w:hint="eastAsia"/>
        </w:rPr>
        <w:t>法之立法作業，已獲致相當成果，惟詐欺案件發生數及財損金額仍高，尤以投資詐欺最為嚴重，且外籍移工帳戶涉詐案件有增加情形，另境外網路業者管制及阻斷詐騙網站（域）作為尚乏法源依據及主政機關，又</w:t>
      </w:r>
      <w:r>
        <w:rPr>
          <w:rFonts w:hint="eastAsia"/>
        </w:rPr>
        <w:t>物流隱碼</w:t>
      </w:r>
      <w:r w:rsidRPr="007B13CE">
        <w:rPr>
          <w:rFonts w:hint="eastAsia"/>
        </w:rPr>
        <w:t>防詐技術推廣應用對象仍有不足等，均待督促研謀改善，以維護民眾財產安全，提升治安滿意度。</w:t>
      </w:r>
    </w:p>
    <w:p w14:paraId="1118509C" w14:textId="5980C431" w:rsidR="00283CE1" w:rsidRPr="00F02817" w:rsidRDefault="00283CE1" w:rsidP="004D7C92">
      <w:pPr>
        <w:pStyle w:val="1e"/>
        <w:overflowPunct w:val="0"/>
        <w:spacing w:line="410" w:lineRule="exact"/>
        <w:ind w:firstLineChars="200" w:firstLine="480"/>
        <w:rPr>
          <w:rFonts w:hAnsi="標楷體"/>
        </w:rPr>
      </w:pPr>
      <w:r>
        <w:rPr>
          <w:rFonts w:hAnsi="標楷體" w:hint="eastAsia"/>
        </w:rPr>
        <w:t>行政院</w:t>
      </w:r>
      <w:r w:rsidRPr="00F02817">
        <w:rPr>
          <w:rFonts w:hAnsi="標楷體" w:hint="eastAsia"/>
        </w:rPr>
        <w:t>衡諸詐欺犯罪集團組織層面廣泛且犯罪手</w:t>
      </w:r>
      <w:r>
        <w:rPr>
          <w:rFonts w:hAnsi="標楷體" w:hint="eastAsia"/>
        </w:rPr>
        <w:t>法</w:t>
      </w:r>
      <w:r w:rsidRPr="00F02817">
        <w:rPr>
          <w:rFonts w:hAnsi="標楷體" w:hint="eastAsia"/>
        </w:rPr>
        <w:t>日新月異，衍生社會治安及國家安全問題，於111年7月15日訂頒「新世代打擊詐欺策</w:t>
      </w:r>
      <w:r>
        <w:rPr>
          <w:rFonts w:hAnsi="標楷體" w:hint="eastAsia"/>
        </w:rPr>
        <w:t>略行動綱領」，運用「增加詐欺犯罪成本，減少民眾財產損害」概念，</w:t>
      </w:r>
      <w:r w:rsidRPr="00F02817">
        <w:rPr>
          <w:rFonts w:hAnsi="標楷體" w:hint="eastAsia"/>
        </w:rPr>
        <w:t>由內政部</w:t>
      </w:r>
      <w:r>
        <w:rPr>
          <w:rFonts w:hAnsi="標楷體" w:hint="eastAsia"/>
        </w:rPr>
        <w:t>、</w:t>
      </w:r>
      <w:r w:rsidRPr="00F02817">
        <w:rPr>
          <w:rFonts w:hAnsi="標楷體" w:hint="eastAsia"/>
        </w:rPr>
        <w:t>國家通訊傳播委員會</w:t>
      </w:r>
      <w:r>
        <w:rPr>
          <w:rFonts w:hAnsi="標楷體" w:hint="eastAsia"/>
        </w:rPr>
        <w:t>（下稱通傳會）、</w:t>
      </w:r>
      <w:r w:rsidRPr="00F02817">
        <w:rPr>
          <w:rFonts w:hAnsi="標楷體" w:hint="eastAsia"/>
        </w:rPr>
        <w:t>金融監督管理委員會</w:t>
      </w:r>
      <w:r>
        <w:rPr>
          <w:rFonts w:hAnsi="標楷體" w:hint="eastAsia"/>
        </w:rPr>
        <w:t>（下稱金管會）及法務部分別統籌</w:t>
      </w:r>
      <w:r w:rsidRPr="00F02817">
        <w:rPr>
          <w:rFonts w:hAnsi="標楷體" w:hint="eastAsia"/>
        </w:rPr>
        <w:t>「識詐</w:t>
      </w:r>
      <w:r>
        <w:rPr>
          <w:rFonts w:hAnsi="標楷體" w:hint="eastAsia"/>
        </w:rPr>
        <w:t>－宣導教育面」</w:t>
      </w:r>
      <w:r w:rsidRPr="00F02817">
        <w:rPr>
          <w:rFonts w:hAnsi="標楷體" w:hint="eastAsia"/>
        </w:rPr>
        <w:t>、「堵詐</w:t>
      </w:r>
      <w:r>
        <w:rPr>
          <w:rFonts w:hAnsi="標楷體" w:hint="eastAsia"/>
        </w:rPr>
        <w:t>－</w:t>
      </w:r>
      <w:r w:rsidRPr="00F02817">
        <w:rPr>
          <w:rFonts w:hAnsi="標楷體" w:hint="eastAsia"/>
        </w:rPr>
        <w:t>電信網路面」、「阻詐</w:t>
      </w:r>
      <w:r>
        <w:rPr>
          <w:rFonts w:hAnsi="標楷體" w:hint="eastAsia"/>
        </w:rPr>
        <w:t>－</w:t>
      </w:r>
      <w:r w:rsidRPr="00F02817">
        <w:rPr>
          <w:rFonts w:hAnsi="標楷體" w:hint="eastAsia"/>
        </w:rPr>
        <w:t>贓款流向面」及「懲詐</w:t>
      </w:r>
      <w:r>
        <w:rPr>
          <w:rFonts w:hAnsi="標楷體" w:hint="eastAsia"/>
        </w:rPr>
        <w:t>－偵查打擊面」</w:t>
      </w:r>
      <w:r w:rsidRPr="00F02817">
        <w:rPr>
          <w:rFonts w:hAnsi="標楷體" w:hint="eastAsia"/>
        </w:rPr>
        <w:t>等4大面向</w:t>
      </w:r>
      <w:r>
        <w:rPr>
          <w:rFonts w:hAnsi="標楷體" w:hint="eastAsia"/>
        </w:rPr>
        <w:t>，</w:t>
      </w:r>
      <w:r w:rsidRPr="00F02817">
        <w:rPr>
          <w:rFonts w:hAnsi="標楷體" w:hint="eastAsia"/>
        </w:rPr>
        <w:t>訂定</w:t>
      </w:r>
      <w:r>
        <w:rPr>
          <w:rFonts w:hAnsi="標楷體" w:hint="eastAsia"/>
        </w:rPr>
        <w:t>具體</w:t>
      </w:r>
      <w:r w:rsidRPr="00F02817">
        <w:rPr>
          <w:rFonts w:hAnsi="標楷體" w:hint="eastAsia"/>
        </w:rPr>
        <w:t>行動策略及分項指標，</w:t>
      </w:r>
      <w:r>
        <w:rPr>
          <w:rFonts w:hAnsi="標楷體" w:hint="eastAsia"/>
        </w:rPr>
        <w:t>強化各項犯罪偵防工作。嗣經行政院持續滾動檢討打擊詐欺策略，並於</w:t>
      </w:r>
      <w:r w:rsidRPr="00F02817">
        <w:rPr>
          <w:rFonts w:hAnsi="標楷體" w:hint="eastAsia"/>
        </w:rPr>
        <w:t>112年6月9日訂頒「新世代打擊詐欺策略行動綱領1.5版」，執行期程至113年12月31日止，</w:t>
      </w:r>
      <w:r>
        <w:rPr>
          <w:rFonts w:hAnsi="標楷體" w:hint="eastAsia"/>
        </w:rPr>
        <w:t>預計112至113年度合計投入14億餘元，</w:t>
      </w:r>
      <w:r w:rsidRPr="00F02817">
        <w:rPr>
          <w:rFonts w:hAnsi="標楷體" w:hint="eastAsia"/>
        </w:rPr>
        <w:t>透過公私協力推動各項防詐作為，俾達成「減少接觸、減少誤信、減少損害」之3減目標，全面降低詐騙受害事件。</w:t>
      </w:r>
      <w:r>
        <w:rPr>
          <w:rFonts w:hAnsi="標楷體" w:hint="eastAsia"/>
        </w:rPr>
        <w:t>112年度編列預算8億</w:t>
      </w:r>
      <w:r w:rsidRPr="003A096F">
        <w:rPr>
          <w:rFonts w:hAnsi="標楷體"/>
        </w:rPr>
        <w:t>3,878</w:t>
      </w:r>
      <w:r w:rsidRPr="003A096F">
        <w:rPr>
          <w:rFonts w:hAnsi="標楷體" w:hint="eastAsia"/>
        </w:rPr>
        <w:t>萬餘元，</w:t>
      </w:r>
      <w:r>
        <w:rPr>
          <w:rFonts w:hAnsi="標楷體" w:hint="eastAsia"/>
        </w:rPr>
        <w:t>決算數8億3</w:t>
      </w:r>
      <w:r>
        <w:rPr>
          <w:rFonts w:hAnsi="標楷體"/>
        </w:rPr>
        <w:t>,</w:t>
      </w:r>
      <w:r>
        <w:rPr>
          <w:rFonts w:hAnsi="標楷體" w:hint="eastAsia"/>
        </w:rPr>
        <w:t>181萬餘元</w:t>
      </w:r>
      <w:r>
        <w:rPr>
          <w:rFonts w:hAnsi="標楷體" w:hint="eastAsia"/>
          <w:snapToGrid w:val="0"/>
          <w:kern w:val="0"/>
        </w:rPr>
        <w:t>（</w:t>
      </w:r>
      <w:r w:rsidRPr="003A096F">
        <w:rPr>
          <w:rFonts w:hAnsi="標楷體" w:hint="eastAsia"/>
          <w:snapToGrid w:val="0"/>
          <w:kern w:val="0"/>
        </w:rPr>
        <w:t>99.17％</w:t>
      </w:r>
      <w:r>
        <w:rPr>
          <w:rFonts w:hAnsi="標楷體" w:hint="eastAsia"/>
          <w:snapToGrid w:val="0"/>
          <w:kern w:val="0"/>
        </w:rPr>
        <w:t>）</w:t>
      </w:r>
      <w:r w:rsidR="00325ABA">
        <w:rPr>
          <w:rFonts w:hAnsi="標楷體" w:hint="eastAsia"/>
          <w:snapToGrid w:val="0"/>
          <w:kern w:val="0"/>
        </w:rPr>
        <w:t>。</w:t>
      </w:r>
      <w:r w:rsidRPr="00F02817">
        <w:rPr>
          <w:rFonts w:hAnsi="標楷體" w:hint="eastAsia"/>
        </w:rPr>
        <w:t>經查</w:t>
      </w:r>
      <w:r>
        <w:rPr>
          <w:rFonts w:hAnsi="標楷體" w:hint="eastAsia"/>
        </w:rPr>
        <w:t>打詐策略及相關措施</w:t>
      </w:r>
      <w:r w:rsidRPr="00F02817">
        <w:rPr>
          <w:rFonts w:hAnsi="標楷體" w:hint="eastAsia"/>
        </w:rPr>
        <w:t>執行情形，核有下列事項：</w:t>
      </w:r>
    </w:p>
    <w:p w14:paraId="6CD925CB" w14:textId="299F25E6" w:rsidR="00283CE1" w:rsidRPr="004D155E" w:rsidRDefault="00283CE1" w:rsidP="004D7C92">
      <w:pPr>
        <w:overflowPunct w:val="0"/>
        <w:snapToGrid w:val="0"/>
        <w:spacing w:line="410" w:lineRule="exact"/>
        <w:ind w:firstLineChars="450" w:firstLine="1081"/>
        <w:jc w:val="both"/>
        <w:rPr>
          <w:rFonts w:ascii="標楷體" w:eastAsia="標楷體" w:hAnsi="標楷體"/>
          <w:szCs w:val="24"/>
        </w:rPr>
      </w:pPr>
      <w:r w:rsidRPr="004D155E">
        <w:rPr>
          <w:rFonts w:ascii="標楷體" w:eastAsia="標楷體" w:hAnsi="標楷體" w:hint="eastAsia"/>
          <w:b/>
          <w:kern w:val="0"/>
          <w:szCs w:val="24"/>
        </w:rPr>
        <w:t>1.</w:t>
      </w:r>
      <w:r>
        <w:rPr>
          <w:rFonts w:ascii="標楷體" w:eastAsia="標楷體" w:hAnsi="標楷體" w:hint="eastAsia"/>
          <w:b/>
          <w:kern w:val="0"/>
          <w:szCs w:val="24"/>
        </w:rPr>
        <w:t xml:space="preserve">　</w:t>
      </w:r>
      <w:r w:rsidRPr="007070C8">
        <w:rPr>
          <w:rFonts w:ascii="標楷體" w:eastAsia="標楷體" w:hAnsi="標楷體"/>
          <w:b/>
          <w:bCs/>
          <w:szCs w:val="24"/>
        </w:rPr>
        <w:t>訂頒新世代打擊詐欺行動綱領1.5版，透過公私合作全力打詐，並推動打詐新4</w:t>
      </w:r>
      <w:r>
        <w:rPr>
          <w:rFonts w:ascii="標楷體" w:eastAsia="標楷體" w:hAnsi="標楷體"/>
          <w:b/>
          <w:bCs/>
          <w:szCs w:val="24"/>
        </w:rPr>
        <w:t>法之立法作業</w:t>
      </w:r>
      <w:r w:rsidRPr="007070C8">
        <w:rPr>
          <w:rFonts w:ascii="標楷體" w:eastAsia="標楷體" w:hAnsi="標楷體"/>
          <w:b/>
          <w:bCs/>
          <w:szCs w:val="24"/>
        </w:rPr>
        <w:t>，惟詐欺發生案件數及財損金額仍居高不下，各方對於打詐</w:t>
      </w:r>
      <w:r w:rsidRPr="007070C8">
        <w:rPr>
          <w:rFonts w:ascii="標楷體" w:eastAsia="標楷體" w:hAnsi="標楷體" w:hint="eastAsia"/>
          <w:b/>
          <w:bCs/>
          <w:szCs w:val="24"/>
        </w:rPr>
        <w:t>事務</w:t>
      </w:r>
      <w:r w:rsidRPr="007070C8">
        <w:rPr>
          <w:rFonts w:ascii="標楷體" w:eastAsia="標楷體" w:hAnsi="標楷體"/>
          <w:b/>
          <w:bCs/>
          <w:szCs w:val="24"/>
        </w:rPr>
        <w:t>仍有</w:t>
      </w:r>
      <w:r w:rsidRPr="007070C8">
        <w:rPr>
          <w:rFonts w:ascii="標楷體" w:eastAsia="標楷體" w:hAnsi="標楷體" w:hint="eastAsia"/>
          <w:b/>
          <w:bCs/>
          <w:szCs w:val="24"/>
        </w:rPr>
        <w:t>期許建議</w:t>
      </w:r>
      <w:r w:rsidRPr="000D3086">
        <w:rPr>
          <w:rFonts w:ascii="標楷體" w:eastAsia="標楷體" w:hAnsi="標楷體" w:hint="eastAsia"/>
          <w:b/>
          <w:bCs/>
          <w:szCs w:val="24"/>
        </w:rPr>
        <w:t>：</w:t>
      </w:r>
      <w:r w:rsidRPr="000D3086">
        <w:rPr>
          <w:rFonts w:ascii="標楷體" w:eastAsia="標楷體" w:hAnsi="標楷體" w:hint="eastAsia"/>
          <w:bCs/>
          <w:szCs w:val="24"/>
        </w:rPr>
        <w:t>依行政院打擊詐欺辦公室統計，112年度詐欺案件發生數3萬7,984件，較111年度之2萬9,</w:t>
      </w:r>
      <w:r w:rsidRPr="000D3086">
        <w:rPr>
          <w:rFonts w:ascii="標楷體" w:eastAsia="標楷體" w:hAnsi="標楷體"/>
          <w:bCs/>
          <w:szCs w:val="24"/>
        </w:rPr>
        <w:t>509</w:t>
      </w:r>
      <w:r w:rsidRPr="000D3086">
        <w:rPr>
          <w:rFonts w:ascii="標楷體" w:eastAsia="標楷體" w:hAnsi="標楷體" w:hint="eastAsia"/>
          <w:bCs/>
          <w:szCs w:val="24"/>
        </w:rPr>
        <w:t>件增加8</w:t>
      </w:r>
      <w:r w:rsidRPr="000D3086">
        <w:rPr>
          <w:rFonts w:ascii="標楷體" w:eastAsia="標楷體" w:hAnsi="標楷體"/>
          <w:bCs/>
          <w:szCs w:val="24"/>
        </w:rPr>
        <w:t>,</w:t>
      </w:r>
      <w:r w:rsidRPr="000D3086">
        <w:rPr>
          <w:rFonts w:ascii="標楷體" w:eastAsia="標楷體" w:hAnsi="標楷體" w:hint="eastAsia"/>
          <w:bCs/>
          <w:szCs w:val="24"/>
        </w:rPr>
        <w:t>475件（28.72％），財損金額88億餘元，較111年度之73億餘元增加15億餘元（21.17</w:t>
      </w:r>
      <w:r>
        <w:rPr>
          <w:rFonts w:ascii="標楷體" w:eastAsia="標楷體" w:hAnsi="標楷體" w:hint="eastAsia"/>
          <w:bCs/>
          <w:szCs w:val="24"/>
        </w:rPr>
        <w:t>％），詐欺案件發生數及財損金額仍持續增加。</w:t>
      </w:r>
      <w:r w:rsidRPr="000D3086">
        <w:rPr>
          <w:rFonts w:ascii="標楷體" w:eastAsia="標楷體" w:hAnsi="標楷體" w:hint="eastAsia"/>
          <w:bCs/>
          <w:szCs w:val="24"/>
        </w:rPr>
        <w:t>行政院經結合各部會檢視我國現行法規，並參考外國立法例，</w:t>
      </w:r>
      <w:r w:rsidRPr="00A53A42">
        <w:rPr>
          <w:rFonts w:ascii="標楷體" w:eastAsia="標楷體" w:hAnsi="標楷體" w:hint="eastAsia"/>
        </w:rPr>
        <w:t>及</w:t>
      </w:r>
      <w:r w:rsidR="00BA3DD0">
        <w:rPr>
          <w:rFonts w:ascii="標楷體" w:eastAsia="標楷體" w:hAnsi="標楷體" w:hint="eastAsia"/>
        </w:rPr>
        <w:t>蒐</w:t>
      </w:r>
      <w:r w:rsidRPr="00A53A42">
        <w:rPr>
          <w:rFonts w:ascii="標楷體" w:eastAsia="標楷體" w:hAnsi="標楷體" w:hint="eastAsia"/>
          <w:color w:val="000000"/>
          <w:szCs w:val="32"/>
        </w:rPr>
        <w:t>羅國內各界意見，</w:t>
      </w:r>
      <w:r w:rsidRPr="000D3086">
        <w:rPr>
          <w:rFonts w:ascii="標楷體" w:eastAsia="標楷體" w:hAnsi="標楷體" w:hint="eastAsia"/>
          <w:bCs/>
          <w:szCs w:val="24"/>
        </w:rPr>
        <w:t>擬</w:t>
      </w:r>
      <w:r>
        <w:rPr>
          <w:rFonts w:ascii="標楷體" w:eastAsia="標楷體" w:hAnsi="標楷體" w:hint="eastAsia"/>
          <w:bCs/>
          <w:szCs w:val="24"/>
        </w:rPr>
        <w:t>具「詐欺犯罪危害防制條例」草案</w:t>
      </w:r>
      <w:r w:rsidRPr="00A53A42">
        <w:rPr>
          <w:rFonts w:ascii="標楷體" w:eastAsia="標楷體" w:hAnsi="標楷體" w:hint="eastAsia"/>
          <w:bCs/>
          <w:szCs w:val="24"/>
        </w:rPr>
        <w:t>，主要為強化金融、電信及網路各面向之防詐作為，課予相關業者防詐義務等，以回應國</w:t>
      </w:r>
      <w:r>
        <w:rPr>
          <w:rFonts w:ascii="標楷體" w:eastAsia="標楷體" w:hAnsi="標楷體" w:hint="eastAsia"/>
          <w:bCs/>
          <w:szCs w:val="24"/>
        </w:rPr>
        <w:t>人對於有效打擊詐欺法律工具之期待；</w:t>
      </w:r>
      <w:r w:rsidRPr="00A53A42">
        <w:rPr>
          <w:rFonts w:ascii="標楷體" w:eastAsia="標楷體" w:hAnsi="標楷體" w:hint="eastAsia"/>
          <w:bCs/>
          <w:szCs w:val="24"/>
        </w:rPr>
        <w:t>另法務部研擬「科技偵查及保障法」草案、「通訊保障及監察法」部分條文修正草</w:t>
      </w:r>
      <w:r w:rsidRPr="00A53A42">
        <w:rPr>
          <w:rFonts w:ascii="標楷體" w:eastAsia="標楷體" w:hAnsi="標楷體" w:hint="eastAsia"/>
          <w:bCs/>
          <w:szCs w:val="24"/>
        </w:rPr>
        <w:lastRenderedPageBreak/>
        <w:t>案及「洗錢防制法」修正草案（</w:t>
      </w:r>
      <w:r>
        <w:rPr>
          <w:rFonts w:ascii="標楷體" w:eastAsia="標楷體" w:hAnsi="標楷體" w:hint="eastAsia"/>
          <w:bCs/>
          <w:szCs w:val="24"/>
        </w:rPr>
        <w:t>下</w:t>
      </w:r>
      <w:r w:rsidRPr="00A53A42">
        <w:rPr>
          <w:rFonts w:ascii="標楷體" w:eastAsia="標楷體" w:hAnsi="標楷體" w:hint="eastAsia"/>
          <w:bCs/>
          <w:szCs w:val="24"/>
        </w:rPr>
        <w:t>稱打詐新4法），其中「科技偵查及保障法」草案及「通訊保障及監察法」部分條文修正草案，賦予執法機關透過正當程序，運用科技偵查工具加強執法之依據；「洗錢防制法」修正草案修正洗錢定義、洗錢犯罪之構成要件及刑度</w:t>
      </w:r>
      <w:r>
        <w:rPr>
          <w:rFonts w:ascii="標楷體" w:eastAsia="標楷體" w:hAnsi="標楷體" w:hint="eastAsia"/>
          <w:bCs/>
          <w:szCs w:val="24"/>
        </w:rPr>
        <w:t>等</w:t>
      </w:r>
      <w:r w:rsidRPr="00A53A42">
        <w:rPr>
          <w:rFonts w:ascii="標楷體" w:eastAsia="標楷體" w:hAnsi="標楷體" w:hint="eastAsia"/>
          <w:bCs/>
          <w:szCs w:val="24"/>
        </w:rPr>
        <w:t>，除符合國際規範要求，並強化偵查辦案之法源依據，俾及時破獲並瓦解詐欺犯罪集團</w:t>
      </w:r>
      <w:r>
        <w:rPr>
          <w:rFonts w:ascii="標楷體" w:eastAsia="標楷體" w:hAnsi="標楷體" w:hint="eastAsia"/>
          <w:bCs/>
          <w:szCs w:val="24"/>
        </w:rPr>
        <w:t>。</w:t>
      </w:r>
      <w:r w:rsidRPr="000D3086">
        <w:rPr>
          <w:rFonts w:ascii="標楷體" w:eastAsia="標楷體" w:hAnsi="標楷體" w:hint="eastAsia"/>
          <w:bCs/>
          <w:szCs w:val="24"/>
        </w:rPr>
        <w:t>上開打詐新4法已於113年5月9日經行政院院會通過，並於113年6月間陸續經立法院初審通過</w:t>
      </w:r>
      <w:r>
        <w:rPr>
          <w:rFonts w:ascii="標楷體" w:eastAsia="標楷體" w:hAnsi="標楷體" w:hint="eastAsia"/>
          <w:bCs/>
          <w:szCs w:val="24"/>
        </w:rPr>
        <w:t>。</w:t>
      </w:r>
      <w:r w:rsidRPr="000D3086">
        <w:rPr>
          <w:rFonts w:ascii="標楷體" w:eastAsia="標楷體" w:hAnsi="標楷體" w:hint="eastAsia"/>
          <w:bCs/>
          <w:szCs w:val="24"/>
        </w:rPr>
        <w:t>惟本部辦理調查期間，各方屢有反映相關期許建議及待檢討策進事項，包括：</w:t>
      </w:r>
      <w:r>
        <w:rPr>
          <w:rFonts w:ascii="標楷體" w:eastAsia="標楷體" w:hAnsi="標楷體" w:hint="eastAsia"/>
          <w:bCs/>
          <w:szCs w:val="24"/>
        </w:rPr>
        <w:t>金管會</w:t>
      </w:r>
      <w:r w:rsidRPr="000D3086">
        <w:rPr>
          <w:rFonts w:ascii="標楷體" w:eastAsia="標楷體" w:hAnsi="標楷體" w:hint="eastAsia"/>
          <w:szCs w:val="24"/>
        </w:rPr>
        <w:t>尚未以立法方式訂定虛擬資產業者之監理規範</w:t>
      </w:r>
      <w:r>
        <w:rPr>
          <w:rFonts w:ascii="標楷體" w:eastAsia="標楷體" w:hAnsi="標楷體" w:hint="eastAsia"/>
          <w:szCs w:val="24"/>
        </w:rPr>
        <w:t>，</w:t>
      </w:r>
      <w:r w:rsidRPr="00454FEE">
        <w:rPr>
          <w:rFonts w:ascii="標楷體" w:eastAsia="標楷體" w:hAnsi="標楷體" w:hint="eastAsia"/>
          <w:szCs w:val="24"/>
        </w:rPr>
        <w:t>舉</w:t>
      </w:r>
      <w:r>
        <w:rPr>
          <w:rFonts w:ascii="標楷體" w:eastAsia="標楷體" w:hAnsi="標楷體" w:hint="eastAsia"/>
          <w:szCs w:val="24"/>
        </w:rPr>
        <w:t>如客戶資產保管、交易公正透明、市場誠信、利益衝突管理及資訊揭露等項目</w:t>
      </w:r>
      <w:r w:rsidRPr="00454FEE">
        <w:rPr>
          <w:rFonts w:ascii="標楷體" w:eastAsia="標楷體" w:hAnsi="標楷體" w:hint="eastAsia"/>
          <w:szCs w:val="24"/>
        </w:rPr>
        <w:t>，監理強度仍有不足</w:t>
      </w:r>
      <w:r>
        <w:rPr>
          <w:rFonts w:ascii="標楷體" w:eastAsia="標楷體" w:hAnsi="標楷體" w:hint="eastAsia"/>
          <w:szCs w:val="24"/>
        </w:rPr>
        <w:t>；</w:t>
      </w:r>
      <w:r w:rsidRPr="00FA707F">
        <w:rPr>
          <w:rFonts w:ascii="標楷體" w:eastAsia="標楷體" w:hAnsi="標楷體" w:hint="eastAsia"/>
          <w:szCs w:val="24"/>
        </w:rPr>
        <w:t>境外高風險電信事業名單須俟草案立法通過後，由通傳會會商司法警察機關公告</w:t>
      </w:r>
      <w:r>
        <w:rPr>
          <w:rFonts w:ascii="標楷體" w:eastAsia="標楷體" w:hAnsi="標楷體" w:hint="eastAsia"/>
          <w:szCs w:val="24"/>
        </w:rPr>
        <w:t>，</w:t>
      </w:r>
      <w:r w:rsidRPr="00FA707F">
        <w:rPr>
          <w:rFonts w:ascii="標楷體" w:eastAsia="標楷體" w:hAnsi="標楷體" w:hint="eastAsia"/>
          <w:szCs w:val="24"/>
        </w:rPr>
        <w:t>另非屬境外高風險電信事業售出之無記名黑莓卡，倘涉及詐騙，將由通傳會要求電信業者配合協助停止該卡國際漫遊服務，專法立法後仍須通傳會與</w:t>
      </w:r>
      <w:r>
        <w:rPr>
          <w:rFonts w:ascii="標楷體" w:eastAsia="標楷體" w:hAnsi="標楷體" w:hint="eastAsia"/>
          <w:szCs w:val="24"/>
        </w:rPr>
        <w:t>內政部</w:t>
      </w:r>
      <w:r w:rsidRPr="00FA707F">
        <w:rPr>
          <w:rFonts w:ascii="標楷體" w:eastAsia="標楷體" w:hAnsi="標楷體" w:hint="eastAsia"/>
          <w:szCs w:val="24"/>
        </w:rPr>
        <w:t>警政署加強維持密切聯繫及通報機制</w:t>
      </w:r>
      <w:r>
        <w:rPr>
          <w:rFonts w:ascii="標楷體" w:eastAsia="標楷體" w:hAnsi="標楷體" w:hint="eastAsia"/>
          <w:szCs w:val="24"/>
        </w:rPr>
        <w:t>；</w:t>
      </w:r>
      <w:r w:rsidRPr="000D3086">
        <w:rPr>
          <w:rFonts w:ascii="標楷體" w:eastAsia="標楷體" w:hAnsi="標楷體" w:hint="eastAsia"/>
          <w:bCs/>
          <w:szCs w:val="24"/>
        </w:rPr>
        <w:t>「詐欺犯罪危害防制條例」草案</w:t>
      </w:r>
      <w:r w:rsidRPr="00FA707F">
        <w:rPr>
          <w:rFonts w:ascii="標楷體" w:eastAsia="標楷體" w:hAnsi="標楷體" w:hint="eastAsia"/>
          <w:bCs/>
          <w:szCs w:val="24"/>
        </w:rPr>
        <w:t>雖訂有檢警調機關向網路廣告平臺業者、電商業者及網路連線遊戲業者調取資料時限</w:t>
      </w:r>
      <w:r w:rsidR="000B2CFB">
        <w:rPr>
          <w:rFonts w:ascii="標楷體" w:eastAsia="標楷體" w:hAnsi="標楷體" w:hint="eastAsia"/>
          <w:bCs/>
          <w:szCs w:val="24"/>
        </w:rPr>
        <w:t>，</w:t>
      </w:r>
      <w:r w:rsidRPr="00FA707F">
        <w:rPr>
          <w:rFonts w:ascii="標楷體" w:eastAsia="標楷體" w:hAnsi="標楷體" w:hint="eastAsia"/>
          <w:bCs/>
          <w:szCs w:val="24"/>
        </w:rPr>
        <w:t>為收受調取通知之日起3日內之規範，惟向網路平臺業者調閱資料範圍，僅限於「廣告」服務相關內容，未擴及其他服務項目資料</w:t>
      </w:r>
      <w:r w:rsidRPr="003D63B4">
        <w:rPr>
          <w:rFonts w:ascii="標楷體" w:eastAsia="標楷體" w:hAnsi="標楷體" w:hint="eastAsia"/>
          <w:bCs/>
          <w:szCs w:val="24"/>
        </w:rPr>
        <w:t>，又尚未將行動通訊業者服務內容之調取及回覆期限納入規範</w:t>
      </w:r>
      <w:r w:rsidRPr="000D3086">
        <w:rPr>
          <w:rFonts w:ascii="標楷體" w:eastAsia="標楷體" w:hAnsi="標楷體" w:hint="eastAsia"/>
          <w:bCs/>
          <w:szCs w:val="24"/>
        </w:rPr>
        <w:t>等</w:t>
      </w:r>
      <w:r w:rsidR="000B2CFB">
        <w:rPr>
          <w:rFonts w:ascii="標楷體" w:eastAsia="標楷體" w:hAnsi="標楷體" w:hint="eastAsia"/>
          <w:bCs/>
          <w:szCs w:val="24"/>
        </w:rPr>
        <w:t>。</w:t>
      </w:r>
      <w:r w:rsidRPr="000D3086">
        <w:rPr>
          <w:rFonts w:ascii="標楷體" w:eastAsia="標楷體" w:hAnsi="標楷體" w:hint="eastAsia"/>
          <w:bCs/>
          <w:szCs w:val="24"/>
        </w:rPr>
        <w:t>經函請行政院督促權責部會加強溝通協調，積極凝聚共識及爭取各界支持，加速推動打詐新4法之立法進程，</w:t>
      </w:r>
      <w:r w:rsidRPr="00FA707F">
        <w:rPr>
          <w:rFonts w:ascii="標楷體" w:eastAsia="標楷體" w:hAnsi="標楷體" w:hint="eastAsia"/>
          <w:bCs/>
          <w:szCs w:val="24"/>
        </w:rPr>
        <w:t>暨督促金融、電信、數位經濟等主管機關就各方對於打詐事務之相關建議事項，研謀精進措施</w:t>
      </w:r>
      <w:r w:rsidRPr="000D3086">
        <w:rPr>
          <w:rFonts w:ascii="標楷體" w:eastAsia="標楷體" w:hAnsi="標楷體" w:hint="eastAsia"/>
          <w:bCs/>
          <w:szCs w:val="24"/>
        </w:rPr>
        <w:t>。</w:t>
      </w:r>
      <w:r w:rsidRPr="0017605F">
        <w:rPr>
          <w:rFonts w:ascii="標楷體" w:eastAsia="標楷體" w:hAnsi="標楷體" w:hint="eastAsia"/>
          <w:szCs w:val="24"/>
        </w:rPr>
        <w:t>據復：</w:t>
      </w:r>
      <w:r w:rsidRPr="0017605F">
        <w:rPr>
          <w:rFonts w:ascii="標楷體" w:eastAsia="標楷體" w:hAnsi="標楷體"/>
          <w:szCs w:val="24"/>
        </w:rPr>
        <w:t>已於11</w:t>
      </w:r>
      <w:r w:rsidRPr="0017605F">
        <w:rPr>
          <w:rFonts w:ascii="標楷體" w:eastAsia="標楷體" w:hAnsi="標楷體" w:hint="eastAsia"/>
          <w:szCs w:val="24"/>
        </w:rPr>
        <w:t>3</w:t>
      </w:r>
      <w:r w:rsidRPr="0017605F">
        <w:rPr>
          <w:rFonts w:ascii="標楷體" w:eastAsia="標楷體" w:hAnsi="標楷體"/>
          <w:szCs w:val="24"/>
        </w:rPr>
        <w:t>年</w:t>
      </w:r>
      <w:r w:rsidRPr="0017605F">
        <w:rPr>
          <w:rFonts w:ascii="標楷體" w:eastAsia="標楷體" w:hAnsi="標楷體" w:hint="eastAsia"/>
          <w:szCs w:val="24"/>
        </w:rPr>
        <w:t>6</w:t>
      </w:r>
      <w:r w:rsidRPr="0017605F">
        <w:rPr>
          <w:rFonts w:ascii="標楷體" w:eastAsia="標楷體" w:hAnsi="標楷體"/>
          <w:szCs w:val="24"/>
        </w:rPr>
        <w:t>月</w:t>
      </w:r>
      <w:r w:rsidRPr="0017605F">
        <w:rPr>
          <w:rFonts w:ascii="標楷體" w:eastAsia="標楷體" w:hAnsi="標楷體" w:hint="eastAsia"/>
          <w:szCs w:val="24"/>
        </w:rPr>
        <w:t>24</w:t>
      </w:r>
      <w:r w:rsidRPr="0017605F">
        <w:rPr>
          <w:rFonts w:ascii="標楷體" w:eastAsia="標楷體" w:hAnsi="標楷體"/>
          <w:szCs w:val="24"/>
        </w:rPr>
        <w:t>日函請</w:t>
      </w:r>
      <w:r w:rsidRPr="0017605F">
        <w:rPr>
          <w:rFonts w:ascii="標楷體" w:eastAsia="標楷體" w:hAnsi="標楷體" w:hint="eastAsia"/>
          <w:szCs w:val="24"/>
        </w:rPr>
        <w:t>相關部會</w:t>
      </w:r>
      <w:r w:rsidRPr="0017605F">
        <w:rPr>
          <w:rFonts w:ascii="標楷體" w:eastAsia="標楷體" w:hAnsi="標楷體"/>
          <w:szCs w:val="24"/>
        </w:rPr>
        <w:t>研處。</w:t>
      </w:r>
    </w:p>
    <w:p w14:paraId="618BD4A1" w14:textId="6F744126" w:rsidR="00283CE1" w:rsidRDefault="00283CE1" w:rsidP="004D7C92">
      <w:pPr>
        <w:overflowPunct w:val="0"/>
        <w:snapToGrid w:val="0"/>
        <w:spacing w:line="410" w:lineRule="exact"/>
        <w:ind w:firstLineChars="450" w:firstLine="1081"/>
        <w:jc w:val="both"/>
        <w:rPr>
          <w:rFonts w:ascii="標楷體" w:eastAsia="標楷體" w:hAnsi="標楷體"/>
          <w:szCs w:val="24"/>
        </w:rPr>
      </w:pPr>
      <w:r w:rsidRPr="004D155E">
        <w:rPr>
          <w:rFonts w:ascii="標楷體" w:eastAsia="標楷體" w:hAnsi="標楷體" w:hint="eastAsia"/>
          <w:b/>
          <w:kern w:val="0"/>
          <w:szCs w:val="24"/>
        </w:rPr>
        <w:t>2.</w:t>
      </w:r>
      <w:r>
        <w:rPr>
          <w:rFonts w:ascii="標楷體" w:eastAsia="標楷體" w:hAnsi="標楷體" w:hint="eastAsia"/>
          <w:b/>
          <w:kern w:val="0"/>
          <w:szCs w:val="24"/>
        </w:rPr>
        <w:t xml:space="preserve">　</w:t>
      </w:r>
      <w:r w:rsidRPr="009F3AED">
        <w:rPr>
          <w:rFonts w:ascii="標楷體" w:eastAsia="標楷體" w:hAnsi="標楷體"/>
          <w:b/>
          <w:szCs w:val="24"/>
        </w:rPr>
        <w:t>投資詐欺</w:t>
      </w:r>
      <w:r w:rsidRPr="009F3AED">
        <w:rPr>
          <w:rFonts w:ascii="標楷體" w:eastAsia="標楷體" w:hAnsi="標楷體" w:hint="eastAsia"/>
          <w:b/>
          <w:szCs w:val="24"/>
        </w:rPr>
        <w:t>案</w:t>
      </w:r>
      <w:r w:rsidRPr="009F3AED">
        <w:rPr>
          <w:rFonts w:ascii="標楷體" w:eastAsia="標楷體" w:hAnsi="標楷體"/>
          <w:b/>
          <w:szCs w:val="24"/>
        </w:rPr>
        <w:t>件數及金額快速成長，已居全般詐欺案件類型之冠，</w:t>
      </w:r>
      <w:r w:rsidRPr="009F3AED">
        <w:rPr>
          <w:rFonts w:ascii="標楷體" w:eastAsia="標楷體" w:hAnsi="標楷體" w:hint="eastAsia"/>
          <w:b/>
          <w:szCs w:val="24"/>
        </w:rPr>
        <w:t>政府已修正</w:t>
      </w:r>
      <w:r w:rsidRPr="009F3AED">
        <w:rPr>
          <w:rFonts w:ascii="標楷體" w:eastAsia="標楷體" w:hAnsi="標楷體"/>
          <w:b/>
          <w:szCs w:val="24"/>
        </w:rPr>
        <w:t>投信投顧法</w:t>
      </w:r>
      <w:r w:rsidRPr="009F3AED">
        <w:rPr>
          <w:rFonts w:ascii="標楷體" w:eastAsia="標楷體" w:hAnsi="標楷體" w:hint="eastAsia"/>
          <w:b/>
          <w:szCs w:val="24"/>
        </w:rPr>
        <w:t>因應，</w:t>
      </w:r>
      <w:r w:rsidRPr="009F3AED">
        <w:rPr>
          <w:rFonts w:ascii="標楷體" w:eastAsia="標楷體" w:hAnsi="標楷體"/>
          <w:b/>
          <w:szCs w:val="24"/>
        </w:rPr>
        <w:t>增</w:t>
      </w:r>
      <w:r w:rsidRPr="009F3AED">
        <w:rPr>
          <w:rFonts w:ascii="標楷體" w:eastAsia="標楷體" w:hAnsi="標楷體" w:hint="eastAsia"/>
          <w:b/>
          <w:szCs w:val="24"/>
        </w:rPr>
        <w:t>訂</w:t>
      </w:r>
      <w:r w:rsidRPr="009F3AED">
        <w:rPr>
          <w:rFonts w:ascii="標楷體" w:eastAsia="標楷體" w:hAnsi="標楷體"/>
          <w:b/>
          <w:szCs w:val="24"/>
        </w:rPr>
        <w:t>投資廣告實名制及移除違規廣告之規定，惟實務執行仍面臨冒名刊登、移除後重複刊登情形嚴重、境外公司廣告源頭管制不易等</w:t>
      </w:r>
      <w:r>
        <w:rPr>
          <w:rFonts w:ascii="標楷體" w:eastAsia="標楷體" w:hAnsi="標楷體" w:hint="eastAsia"/>
          <w:b/>
          <w:szCs w:val="24"/>
        </w:rPr>
        <w:t>困境</w:t>
      </w:r>
      <w:r w:rsidRPr="00D471F5">
        <w:rPr>
          <w:rFonts w:ascii="標楷體" w:eastAsia="標楷體" w:hAnsi="標楷體" w:hint="eastAsia"/>
          <w:b/>
          <w:szCs w:val="24"/>
        </w:rPr>
        <w:t>：</w:t>
      </w:r>
      <w:r w:rsidRPr="00D471F5">
        <w:rPr>
          <w:rFonts w:ascii="標楷體" w:eastAsia="標楷體" w:hAnsi="標楷體" w:hint="eastAsia"/>
          <w:szCs w:val="24"/>
        </w:rPr>
        <w:t>依內政部警政署刑事警察局（下稱刑事警察局）統計，我國108至112年度投資詐欺案件發生數及財損值大幅增加，其中112年度11,719件，總金額53.45億元，較111年度增加5,177件及16.41億元，增幅各達79.13％及44.30</w:t>
      </w:r>
      <w:r>
        <w:rPr>
          <w:rFonts w:ascii="標楷體" w:eastAsia="標楷體" w:hAnsi="標楷體" w:hint="eastAsia"/>
          <w:szCs w:val="24"/>
        </w:rPr>
        <w:t>％。另依</w:t>
      </w:r>
      <w:r w:rsidRPr="00F55029">
        <w:rPr>
          <w:rFonts w:ascii="標楷體" w:eastAsia="標楷體" w:hAnsi="標楷體" w:hint="eastAsia"/>
          <w:szCs w:val="24"/>
        </w:rPr>
        <w:t>證券投資信託及顧問法</w:t>
      </w:r>
      <w:r>
        <w:rPr>
          <w:rFonts w:ascii="標楷體" w:eastAsia="標楷體" w:hAnsi="標楷體" w:hint="eastAsia"/>
          <w:szCs w:val="24"/>
        </w:rPr>
        <w:t>（下稱投信投顧法</w:t>
      </w:r>
      <w:r w:rsidRPr="00C057EE">
        <w:rPr>
          <w:rFonts w:ascii="標楷體" w:eastAsia="標楷體" w:hAnsi="標楷體" w:hint="eastAsia"/>
          <w:szCs w:val="24"/>
        </w:rPr>
        <w:t>）</w:t>
      </w:r>
      <w:r w:rsidRPr="00D471F5">
        <w:rPr>
          <w:rFonts w:ascii="標楷體" w:eastAsia="標楷體" w:hAnsi="標楷體" w:hint="eastAsia"/>
          <w:szCs w:val="24"/>
        </w:rPr>
        <w:t>第70條之1第3項規定，網路平臺業者不得刊播違反禁止事項及未採實名制之有價證券投資廣告</w:t>
      </w:r>
      <w:r>
        <w:rPr>
          <w:rFonts w:ascii="標楷體" w:eastAsia="標楷體" w:hAnsi="標楷體" w:hint="eastAsia"/>
          <w:szCs w:val="24"/>
        </w:rPr>
        <w:t>，</w:t>
      </w:r>
      <w:r w:rsidRPr="00D471F5">
        <w:rPr>
          <w:rFonts w:ascii="標楷體" w:eastAsia="標楷體" w:hAnsi="標楷體" w:hint="eastAsia"/>
          <w:szCs w:val="24"/>
        </w:rPr>
        <w:t>刊播後始知廣告違規，應主動或於司法警察機關（刑事警察局）通知期限內移除廣告、限制瀏覽、停止播送或為其他必要之處置。據行政院打擊詐欺辦公室113年1月25日「網路平臺業者精進投資廣告內部審查制度研商會議」說明，金管會證券期貨局自蒐報違規廣告過程中，發現Google及Meta公司雖已於</w:t>
      </w:r>
      <w:r w:rsidRPr="004D7C92">
        <w:rPr>
          <w:rFonts w:ascii="標楷體" w:eastAsia="標楷體" w:hAnsi="標楷體" w:hint="eastAsia"/>
          <w:spacing w:val="-4"/>
          <w:szCs w:val="24"/>
        </w:rPr>
        <w:t>各自之廣告政策要求刊播廣告之遵法性，惟仍有違規廣告未落實實名制、刊播違規廣告高度集中特定外國公司、違規廣告重複刊登等情事。行政院鑑於詐欺資訊經常利用網際網路傳播或散布，網路廣告平臺業者在網路詐欺防制上具有特殊地位，爰於</w:t>
      </w:r>
      <w:r>
        <w:rPr>
          <w:rFonts w:ascii="標楷體" w:eastAsia="標楷體" w:hAnsi="標楷體" w:hint="eastAsia"/>
          <w:bCs/>
          <w:szCs w:val="24"/>
        </w:rPr>
        <w:t>「詐欺犯罪危害防制條例」草案</w:t>
      </w:r>
      <w:r w:rsidRPr="00D471F5">
        <w:rPr>
          <w:rFonts w:ascii="標楷體" w:eastAsia="標楷體" w:hAnsi="標楷體" w:hint="eastAsia"/>
          <w:szCs w:val="24"/>
        </w:rPr>
        <w:t>訂定數位經濟防詐措施，包括：網路廣告平臺業者落地納管、業者對於違法用</w:t>
      </w:r>
      <w:r>
        <w:rPr>
          <w:rFonts w:ascii="標楷體" w:eastAsia="標楷體" w:hAnsi="標楷體" w:hint="eastAsia"/>
          <w:szCs w:val="24"/>
        </w:rPr>
        <w:t>戶之停權處置、廣告貼文涉詐下架等內容，由數位發展部擔任主管機關；</w:t>
      </w:r>
      <w:r w:rsidRPr="001C7BCC">
        <w:rPr>
          <w:rFonts w:ascii="標楷體" w:eastAsia="標楷體" w:hAnsi="標楷體" w:hint="eastAsia"/>
          <w:szCs w:val="32"/>
        </w:rPr>
        <w:t>依</w:t>
      </w:r>
      <w:r>
        <w:rPr>
          <w:rFonts w:ascii="標楷體" w:eastAsia="標楷體" w:hAnsi="標楷體" w:hint="eastAsia"/>
          <w:szCs w:val="32"/>
        </w:rPr>
        <w:t>該</w:t>
      </w:r>
      <w:r w:rsidRPr="001C7BCC">
        <w:rPr>
          <w:rFonts w:ascii="標楷體" w:eastAsia="標楷體" w:hAnsi="標楷體" w:hint="eastAsia"/>
          <w:szCs w:val="32"/>
        </w:rPr>
        <w:t>草案第32條規定，網路廣告平臺業者知悉其刊登或推播之廣告為詐欺廣告或明顯涉及詐欺時，應主動或依司法警察機關、數位經濟相關產業主管機關</w:t>
      </w:r>
      <w:r w:rsidRPr="001C7BCC">
        <w:rPr>
          <w:rFonts w:ascii="標楷體" w:eastAsia="標楷體" w:hAnsi="標楷體" w:hint="eastAsia"/>
          <w:szCs w:val="24"/>
        </w:rPr>
        <w:t>（數位發展部）</w:t>
      </w:r>
      <w:r w:rsidRPr="001C7BCC">
        <w:rPr>
          <w:rFonts w:ascii="標楷體" w:eastAsia="標楷體" w:hAnsi="標楷體" w:hint="eastAsia"/>
          <w:szCs w:val="32"/>
        </w:rPr>
        <w:t>或各目的事業主管機關之通知期限內，移除、限制瀏覽、停止播送</w:t>
      </w:r>
      <w:r w:rsidRPr="001C7BCC">
        <w:rPr>
          <w:rFonts w:ascii="標楷體" w:eastAsia="標楷體" w:hAnsi="標楷體" w:hint="eastAsia"/>
          <w:szCs w:val="32"/>
        </w:rPr>
        <w:lastRenderedPageBreak/>
        <w:t>該廣告或採取其他必要之處置。</w:t>
      </w:r>
      <w:r w:rsidRPr="00D471F5">
        <w:rPr>
          <w:rFonts w:ascii="標楷體" w:eastAsia="標楷體" w:hAnsi="標楷體" w:hint="eastAsia"/>
          <w:szCs w:val="24"/>
        </w:rPr>
        <w:t>惟查詐騙類型及態樣多元，可能涉及數個目的事業主管，或有因不易劃分權責，導致管轄歸屬爭議，或平臺業者可能同時面對數個主責機關（司法警察機關、數位發展部、各目的事業主管機關）通知其下架違規廣告，恐滋生多頭馬車情形</w:t>
      </w:r>
      <w:r w:rsidR="0000376C">
        <w:rPr>
          <w:rFonts w:ascii="標楷體" w:eastAsia="標楷體" w:hAnsi="標楷體" w:hint="eastAsia"/>
          <w:szCs w:val="24"/>
        </w:rPr>
        <w:t>。</w:t>
      </w:r>
      <w:r w:rsidRPr="00D471F5">
        <w:rPr>
          <w:rFonts w:ascii="標楷體" w:eastAsia="標楷體" w:hAnsi="標楷體" w:hint="eastAsia"/>
          <w:szCs w:val="24"/>
        </w:rPr>
        <w:t>經函請行政院促請數位發展部預為籌謀分工機制及加強與各網路平臺廣告業者溝通宣導，並與各主責機關協力合作，順遂詐欺廣告下架作業。</w:t>
      </w:r>
      <w:r w:rsidRPr="0017605F">
        <w:rPr>
          <w:rFonts w:ascii="標楷體" w:eastAsia="標楷體" w:hAnsi="標楷體" w:hint="eastAsia"/>
          <w:szCs w:val="24"/>
        </w:rPr>
        <w:t>據復：</w:t>
      </w:r>
      <w:r w:rsidRPr="0017605F">
        <w:rPr>
          <w:rFonts w:ascii="標楷體" w:eastAsia="標楷體" w:hAnsi="標楷體"/>
          <w:szCs w:val="24"/>
        </w:rPr>
        <w:t>已於11</w:t>
      </w:r>
      <w:r w:rsidRPr="0017605F">
        <w:rPr>
          <w:rFonts w:ascii="標楷體" w:eastAsia="標楷體" w:hAnsi="標楷體" w:hint="eastAsia"/>
          <w:szCs w:val="24"/>
        </w:rPr>
        <w:t>3</w:t>
      </w:r>
      <w:r w:rsidRPr="0017605F">
        <w:rPr>
          <w:rFonts w:ascii="標楷體" w:eastAsia="標楷體" w:hAnsi="標楷體"/>
          <w:szCs w:val="24"/>
        </w:rPr>
        <w:t>年</w:t>
      </w:r>
      <w:r w:rsidRPr="0017605F">
        <w:rPr>
          <w:rFonts w:ascii="標楷體" w:eastAsia="標楷體" w:hAnsi="標楷體" w:hint="eastAsia"/>
          <w:szCs w:val="24"/>
        </w:rPr>
        <w:t>6</w:t>
      </w:r>
      <w:r w:rsidRPr="0017605F">
        <w:rPr>
          <w:rFonts w:ascii="標楷體" w:eastAsia="標楷體" w:hAnsi="標楷體"/>
          <w:szCs w:val="24"/>
        </w:rPr>
        <w:t>月</w:t>
      </w:r>
      <w:r w:rsidRPr="0017605F">
        <w:rPr>
          <w:rFonts w:ascii="標楷體" w:eastAsia="標楷體" w:hAnsi="標楷體" w:hint="eastAsia"/>
          <w:szCs w:val="24"/>
        </w:rPr>
        <w:t>24</w:t>
      </w:r>
      <w:r w:rsidRPr="0017605F">
        <w:rPr>
          <w:rFonts w:ascii="標楷體" w:eastAsia="標楷體" w:hAnsi="標楷體"/>
          <w:szCs w:val="24"/>
        </w:rPr>
        <w:t>日函請</w:t>
      </w:r>
      <w:r>
        <w:rPr>
          <w:rFonts w:ascii="標楷體" w:eastAsia="標楷體" w:hAnsi="標楷體" w:hint="eastAsia"/>
          <w:szCs w:val="24"/>
        </w:rPr>
        <w:t>數位發展部</w:t>
      </w:r>
      <w:r w:rsidRPr="0017605F">
        <w:rPr>
          <w:rFonts w:ascii="標楷體" w:eastAsia="標楷體" w:hAnsi="標楷體"/>
          <w:szCs w:val="24"/>
        </w:rPr>
        <w:t>研處。</w:t>
      </w:r>
    </w:p>
    <w:p w14:paraId="4C69164E" w14:textId="577C68C7" w:rsidR="00283CE1" w:rsidRDefault="00283CE1" w:rsidP="004D7C92">
      <w:pPr>
        <w:overflowPunct w:val="0"/>
        <w:snapToGrid w:val="0"/>
        <w:spacing w:line="410" w:lineRule="exact"/>
        <w:ind w:firstLineChars="450" w:firstLine="1081"/>
        <w:jc w:val="both"/>
        <w:rPr>
          <w:rFonts w:ascii="標楷體" w:eastAsia="標楷體" w:hAnsi="標楷體"/>
          <w:szCs w:val="24"/>
        </w:rPr>
      </w:pPr>
      <w:r>
        <w:rPr>
          <w:rFonts w:ascii="標楷體" w:eastAsia="標楷體" w:hAnsi="標楷體" w:hint="eastAsia"/>
          <w:b/>
          <w:szCs w:val="24"/>
        </w:rPr>
        <w:t>3</w:t>
      </w:r>
      <w:r w:rsidRPr="00045863">
        <w:rPr>
          <w:rFonts w:ascii="標楷體" w:eastAsia="標楷體" w:hAnsi="標楷體" w:hint="eastAsia"/>
          <w:b/>
          <w:szCs w:val="24"/>
        </w:rPr>
        <w:t xml:space="preserve">.　</w:t>
      </w:r>
      <w:r w:rsidRPr="00D01323">
        <w:rPr>
          <w:rFonts w:ascii="標楷體" w:eastAsia="標楷體" w:hAnsi="標楷體" w:hint="eastAsia"/>
          <w:b/>
          <w:bCs/>
          <w:szCs w:val="24"/>
        </w:rPr>
        <w:t>政府為防杜詐欺集團利用人頭帳戶及人頭電話從事不法行為，已修法科處收集及交付帳戶刑罰，並規範金融機構及電信業者落實確認顧客措施，惟詐欺集團使用外籍移工帳戶涉詐案件增加：</w:t>
      </w:r>
      <w:r w:rsidRPr="006255B7">
        <w:rPr>
          <w:rFonts w:ascii="標楷體" w:eastAsia="標楷體" w:hAnsi="標楷體" w:hint="eastAsia"/>
          <w:bCs/>
          <w:spacing w:val="-4"/>
          <w:szCs w:val="24"/>
        </w:rPr>
        <w:t>據臺灣高等檢察署統計，外籍移工帳戶涉詐案件呈增加趨勢，又依該署於112年10月24日召開「人頭帳戶之行政監管及涉詐電信門號驗證虛設網路帳號處理機制研商會議」，會中通傳會說明，基於協助機關犯罪偵防需要，以及預防該等人士滯留門號因有心人士違法使用，請內政部移民署（下稱移民署）提供印尼、泰國、越南及菲律賓等國家人員出境資料，由電信事業對已出境之外籍移工在臺期間所辦門號，依電信管理法第8條第2項、行動寬頻服務契約第12條及第13條規定，予以暫停6個月或終止服務；另為加強法律授權依據，通傳會於1</w:t>
      </w:r>
      <w:r w:rsidR="009011F1" w:rsidRPr="006255B7">
        <w:rPr>
          <w:rFonts w:ascii="標楷體" w:eastAsia="標楷體" w:hAnsi="標楷體" w:hint="eastAsia"/>
          <w:bCs/>
          <w:spacing w:val="-4"/>
          <w:szCs w:val="24"/>
        </w:rPr>
        <w:t>1</w:t>
      </w:r>
      <w:r w:rsidRPr="006255B7">
        <w:rPr>
          <w:rFonts w:ascii="標楷體" w:eastAsia="標楷體" w:hAnsi="標楷體" w:hint="eastAsia"/>
          <w:bCs/>
          <w:spacing w:val="-4"/>
          <w:szCs w:val="24"/>
        </w:rPr>
        <w:t>3年4月26日訂定發布「電信事業用戶號碼使用管理辦法」，訂定電信業者為強化落實</w:t>
      </w:r>
      <w:r w:rsidR="001D258E" w:rsidRPr="006255B7">
        <w:rPr>
          <w:rFonts w:ascii="標楷體" w:eastAsia="標楷體" w:hAnsi="標楷體" w:hint="eastAsia"/>
          <w:bCs/>
          <w:spacing w:val="-4"/>
          <w:szCs w:val="24"/>
        </w:rPr>
        <w:t>認識客戶風險管理機制</w:t>
      </w:r>
      <w:r w:rsidRPr="006255B7">
        <w:rPr>
          <w:rFonts w:ascii="標楷體" w:eastAsia="標楷體" w:hAnsi="標楷體" w:hint="eastAsia"/>
          <w:bCs/>
          <w:spacing w:val="-4"/>
          <w:szCs w:val="24"/>
        </w:rPr>
        <w:t>（K</w:t>
      </w:r>
      <w:r w:rsidR="001D258E" w:rsidRPr="006255B7">
        <w:rPr>
          <w:rFonts w:ascii="標楷體" w:eastAsia="標楷體" w:hAnsi="標楷體" w:hint="eastAsia"/>
          <w:bCs/>
          <w:spacing w:val="-4"/>
          <w:szCs w:val="24"/>
        </w:rPr>
        <w:t>n</w:t>
      </w:r>
      <w:r w:rsidR="001D258E" w:rsidRPr="006255B7">
        <w:rPr>
          <w:rFonts w:ascii="標楷體" w:eastAsia="標楷體" w:hAnsi="標楷體"/>
          <w:bCs/>
          <w:spacing w:val="-4"/>
          <w:szCs w:val="24"/>
        </w:rPr>
        <w:t xml:space="preserve">ow </w:t>
      </w:r>
      <w:r w:rsidRPr="006255B7">
        <w:rPr>
          <w:rFonts w:ascii="標楷體" w:eastAsia="標楷體" w:hAnsi="標楷體" w:hint="eastAsia"/>
          <w:bCs/>
          <w:spacing w:val="-4"/>
          <w:szCs w:val="24"/>
        </w:rPr>
        <w:t>Y</w:t>
      </w:r>
      <w:r w:rsidR="001D258E" w:rsidRPr="006255B7">
        <w:rPr>
          <w:rFonts w:ascii="標楷體" w:eastAsia="標楷體" w:hAnsi="標楷體"/>
          <w:bCs/>
          <w:spacing w:val="-4"/>
          <w:szCs w:val="24"/>
        </w:rPr>
        <w:t xml:space="preserve">our </w:t>
      </w:r>
      <w:r w:rsidRPr="006255B7">
        <w:rPr>
          <w:rFonts w:ascii="標楷體" w:eastAsia="標楷體" w:hAnsi="標楷體" w:hint="eastAsia"/>
          <w:bCs/>
          <w:spacing w:val="-4"/>
          <w:szCs w:val="24"/>
        </w:rPr>
        <w:t>C</w:t>
      </w:r>
      <w:r w:rsidR="001D258E" w:rsidRPr="006255B7">
        <w:rPr>
          <w:rFonts w:ascii="標楷體" w:eastAsia="標楷體" w:hAnsi="標楷體"/>
          <w:bCs/>
          <w:spacing w:val="-4"/>
          <w:szCs w:val="24"/>
        </w:rPr>
        <w:t>ustomer</w:t>
      </w:r>
      <w:r w:rsidRPr="006255B7">
        <w:rPr>
          <w:rFonts w:ascii="標楷體" w:eastAsia="標楷體" w:hAnsi="標楷體" w:hint="eastAsia"/>
          <w:bCs/>
          <w:spacing w:val="-4"/>
          <w:szCs w:val="24"/>
        </w:rPr>
        <w:t>），可介接該會指定之有關機關資料庫以輔助驗證等規定。截至113年4月底止，金管會分別於113年3月29日及4月18日函請移民署同意開放移民資訊系統「共用主檔查詢作業」功能中「外籍移工身分」、「動態（離境部分）」等欄位資訊，移民署嗣於113年4月24日同意系統介接；另通傳會則</w:t>
      </w:r>
      <w:r w:rsidR="006255B7" w:rsidRPr="006255B7">
        <w:rPr>
          <w:rFonts w:ascii="標楷體" w:eastAsia="標楷體" w:hAnsi="標楷體" w:hint="eastAsia"/>
          <w:bCs/>
          <w:spacing w:val="-4"/>
          <w:szCs w:val="24"/>
        </w:rPr>
        <w:t>尚</w:t>
      </w:r>
      <w:r w:rsidRPr="006255B7">
        <w:rPr>
          <w:rFonts w:ascii="標楷體" w:eastAsia="標楷體" w:hAnsi="標楷體" w:hint="eastAsia"/>
          <w:bCs/>
          <w:spacing w:val="-4"/>
          <w:szCs w:val="24"/>
        </w:rPr>
        <w:t>未函請移民署提供外籍移工之離境資料</w:t>
      </w:r>
      <w:r w:rsidR="000B2CFB">
        <w:rPr>
          <w:rFonts w:ascii="標楷體" w:eastAsia="標楷體" w:hAnsi="標楷體" w:hint="eastAsia"/>
          <w:bCs/>
          <w:spacing w:val="-4"/>
          <w:szCs w:val="24"/>
        </w:rPr>
        <w:t>。</w:t>
      </w:r>
      <w:r w:rsidRPr="006255B7">
        <w:rPr>
          <w:rFonts w:ascii="標楷體" w:eastAsia="標楷體" w:hAnsi="標楷體" w:hint="eastAsia"/>
          <w:bCs/>
          <w:spacing w:val="-4"/>
          <w:szCs w:val="24"/>
        </w:rPr>
        <w:t>經函請行政院督促金管會、通傳會</w:t>
      </w:r>
      <w:r w:rsidR="006255B7" w:rsidRPr="006255B7">
        <w:rPr>
          <w:rFonts w:ascii="標楷體" w:eastAsia="標楷體" w:hAnsi="標楷體" w:hint="eastAsia"/>
          <w:bCs/>
          <w:spacing w:val="-4"/>
          <w:szCs w:val="24"/>
        </w:rPr>
        <w:t>儘速</w:t>
      </w:r>
      <w:r w:rsidRPr="006255B7">
        <w:rPr>
          <w:rFonts w:ascii="標楷體" w:eastAsia="標楷體" w:hAnsi="標楷體" w:hint="eastAsia"/>
          <w:bCs/>
          <w:spacing w:val="-4"/>
          <w:szCs w:val="24"/>
        </w:rPr>
        <w:t>完成介接移民署外籍移工相關之動態（含離境、逃逸失蹤）資訊</w:t>
      </w:r>
      <w:r w:rsidR="009238AC">
        <w:rPr>
          <w:rFonts w:ascii="標楷體" w:eastAsia="標楷體" w:hAnsi="標楷體" w:hint="eastAsia"/>
          <w:bCs/>
          <w:spacing w:val="-4"/>
          <w:szCs w:val="24"/>
        </w:rPr>
        <w:t>，兼顧保障個人隱私，加大打詐及防制</w:t>
      </w:r>
      <w:r w:rsidR="006255B7" w:rsidRPr="006255B7">
        <w:rPr>
          <w:rFonts w:ascii="標楷體" w:eastAsia="標楷體" w:hAnsi="標楷體" w:hint="eastAsia"/>
          <w:bCs/>
          <w:spacing w:val="-4"/>
          <w:szCs w:val="24"/>
        </w:rPr>
        <w:t>洗錢</w:t>
      </w:r>
      <w:r w:rsidR="006255B7">
        <w:rPr>
          <w:rFonts w:ascii="標楷體" w:eastAsia="標楷體" w:hAnsi="標楷體" w:hint="eastAsia"/>
          <w:bCs/>
          <w:spacing w:val="-4"/>
          <w:szCs w:val="24"/>
        </w:rPr>
        <w:t>力道</w:t>
      </w:r>
      <w:r w:rsidRPr="006255B7">
        <w:rPr>
          <w:rFonts w:ascii="標楷體" w:eastAsia="標楷體" w:hAnsi="標楷體" w:hint="eastAsia"/>
          <w:bCs/>
          <w:spacing w:val="-4"/>
          <w:szCs w:val="24"/>
        </w:rPr>
        <w:t>。</w:t>
      </w:r>
      <w:r w:rsidRPr="006255B7">
        <w:rPr>
          <w:rFonts w:ascii="標楷體" w:eastAsia="標楷體" w:hAnsi="標楷體" w:hint="eastAsia"/>
          <w:spacing w:val="-4"/>
          <w:szCs w:val="24"/>
        </w:rPr>
        <w:t>據復：</w:t>
      </w:r>
      <w:r w:rsidRPr="006255B7">
        <w:rPr>
          <w:rFonts w:ascii="標楷體" w:eastAsia="標楷體" w:hAnsi="標楷體"/>
          <w:spacing w:val="-4"/>
          <w:szCs w:val="24"/>
        </w:rPr>
        <w:t>已於11</w:t>
      </w:r>
      <w:r w:rsidRPr="006255B7">
        <w:rPr>
          <w:rFonts w:ascii="標楷體" w:eastAsia="標楷體" w:hAnsi="標楷體" w:hint="eastAsia"/>
          <w:spacing w:val="-4"/>
          <w:szCs w:val="24"/>
        </w:rPr>
        <w:t>3</w:t>
      </w:r>
      <w:r w:rsidRPr="006255B7">
        <w:rPr>
          <w:rFonts w:ascii="標楷體" w:eastAsia="標楷體" w:hAnsi="標楷體"/>
          <w:spacing w:val="-4"/>
          <w:szCs w:val="24"/>
        </w:rPr>
        <w:t>年</w:t>
      </w:r>
      <w:r w:rsidRPr="006255B7">
        <w:rPr>
          <w:rFonts w:ascii="標楷體" w:eastAsia="標楷體" w:hAnsi="標楷體" w:hint="eastAsia"/>
          <w:spacing w:val="-4"/>
          <w:szCs w:val="24"/>
        </w:rPr>
        <w:t>6</w:t>
      </w:r>
      <w:r w:rsidRPr="006255B7">
        <w:rPr>
          <w:rFonts w:ascii="標楷體" w:eastAsia="標楷體" w:hAnsi="標楷體"/>
          <w:spacing w:val="-4"/>
          <w:szCs w:val="24"/>
        </w:rPr>
        <w:t>月</w:t>
      </w:r>
      <w:r w:rsidRPr="006255B7">
        <w:rPr>
          <w:rFonts w:ascii="標楷體" w:eastAsia="標楷體" w:hAnsi="標楷體" w:hint="eastAsia"/>
          <w:spacing w:val="-4"/>
          <w:szCs w:val="24"/>
        </w:rPr>
        <w:t>24</w:t>
      </w:r>
      <w:r w:rsidRPr="006255B7">
        <w:rPr>
          <w:rFonts w:ascii="標楷體" w:eastAsia="標楷體" w:hAnsi="標楷體"/>
          <w:spacing w:val="-4"/>
          <w:szCs w:val="24"/>
        </w:rPr>
        <w:t>日函請</w:t>
      </w:r>
      <w:r w:rsidRPr="006255B7">
        <w:rPr>
          <w:rFonts w:ascii="標楷體" w:eastAsia="標楷體" w:hAnsi="標楷體" w:hint="eastAsia"/>
          <w:spacing w:val="-4"/>
          <w:szCs w:val="24"/>
        </w:rPr>
        <w:t>相關部會</w:t>
      </w:r>
      <w:r w:rsidRPr="006255B7">
        <w:rPr>
          <w:rFonts w:ascii="標楷體" w:eastAsia="標楷體" w:hAnsi="標楷體"/>
          <w:spacing w:val="-4"/>
          <w:szCs w:val="24"/>
        </w:rPr>
        <w:t>研處。</w:t>
      </w:r>
    </w:p>
    <w:p w14:paraId="768984CD" w14:textId="35267B35" w:rsidR="00283CE1" w:rsidRDefault="00283CE1" w:rsidP="004D7C92">
      <w:pPr>
        <w:overflowPunct w:val="0"/>
        <w:snapToGrid w:val="0"/>
        <w:spacing w:line="400" w:lineRule="exact"/>
        <w:ind w:firstLineChars="450" w:firstLine="1081"/>
        <w:jc w:val="both"/>
        <w:rPr>
          <w:rFonts w:ascii="標楷體" w:eastAsia="標楷體" w:hAnsi="標楷體"/>
          <w:szCs w:val="24"/>
        </w:rPr>
      </w:pPr>
      <w:r w:rsidRPr="00642A1A">
        <w:rPr>
          <w:rFonts w:ascii="標楷體" w:eastAsia="標楷體" w:hAnsi="標楷體" w:hint="eastAsia"/>
          <w:b/>
          <w:szCs w:val="24"/>
        </w:rPr>
        <w:t>4.　推行</w:t>
      </w:r>
      <w:r w:rsidRPr="001B36E2">
        <w:rPr>
          <w:rFonts w:ascii="標楷體" w:eastAsia="標楷體" w:hAnsi="標楷體" w:hint="eastAsia"/>
          <w:b/>
          <w:szCs w:val="24"/>
        </w:rPr>
        <w:t>限制網域名稱阻斷詐騙網站治理機制，尚乏法律明確授權及主政機關，衍生相關法律責任及風險：</w:t>
      </w:r>
      <w:r w:rsidRPr="001B36E2">
        <w:rPr>
          <w:rFonts w:ascii="標楷體" w:eastAsia="標楷體" w:hAnsi="標楷體" w:hint="eastAsia"/>
          <w:szCs w:val="24"/>
        </w:rPr>
        <w:t>依</w:t>
      </w:r>
      <w:r>
        <w:rPr>
          <w:rFonts w:ascii="標楷體" w:eastAsia="標楷體" w:hAnsi="標楷體" w:hint="eastAsia"/>
          <w:szCs w:val="24"/>
        </w:rPr>
        <w:t>新世代</w:t>
      </w:r>
      <w:r w:rsidRPr="001B36E2">
        <w:rPr>
          <w:rFonts w:ascii="標楷體" w:eastAsia="標楷體" w:hAnsi="標楷體" w:hint="eastAsia"/>
          <w:szCs w:val="24"/>
        </w:rPr>
        <w:t>打</w:t>
      </w:r>
      <w:r>
        <w:rPr>
          <w:rFonts w:ascii="標楷體" w:eastAsia="標楷體" w:hAnsi="標楷體" w:hint="eastAsia"/>
          <w:szCs w:val="24"/>
        </w:rPr>
        <w:t>擊</w:t>
      </w:r>
      <w:r w:rsidRPr="001B36E2">
        <w:rPr>
          <w:rFonts w:ascii="標楷體" w:eastAsia="標楷體" w:hAnsi="標楷體" w:hint="eastAsia"/>
          <w:szCs w:val="24"/>
        </w:rPr>
        <w:t>詐</w:t>
      </w:r>
      <w:r>
        <w:rPr>
          <w:rFonts w:ascii="標楷體" w:eastAsia="標楷體" w:hAnsi="標楷體" w:hint="eastAsia"/>
          <w:szCs w:val="24"/>
        </w:rPr>
        <w:t>欺策略</w:t>
      </w:r>
      <w:r w:rsidRPr="001B36E2">
        <w:rPr>
          <w:rFonts w:ascii="標楷體" w:eastAsia="標楷體" w:hAnsi="標楷體" w:hint="eastAsia"/>
          <w:szCs w:val="24"/>
        </w:rPr>
        <w:t>行動綱領之堵詐面向策略五「遏止詐騙網頁刊登」</w:t>
      </w:r>
      <w:r>
        <w:rPr>
          <w:rFonts w:ascii="標楷體" w:eastAsia="標楷體" w:hAnsi="標楷體" w:hint="eastAsia"/>
          <w:szCs w:val="24"/>
        </w:rPr>
        <w:t>載述，</w:t>
      </w:r>
      <w:r w:rsidRPr="001B36E2">
        <w:rPr>
          <w:rFonts w:ascii="標楷體" w:eastAsia="標楷體" w:hAnsi="標楷體" w:hint="eastAsia"/>
          <w:szCs w:val="24"/>
        </w:rPr>
        <w:t>財團法人台灣網路資訊中心（下稱</w:t>
      </w:r>
      <w:r w:rsidRPr="001B36E2">
        <w:rPr>
          <w:rFonts w:ascii="標楷體" w:eastAsia="標楷體" w:hAnsi="標楷體"/>
          <w:szCs w:val="24"/>
        </w:rPr>
        <w:t>台網中心</w:t>
      </w:r>
      <w:r w:rsidRPr="001B36E2">
        <w:rPr>
          <w:rFonts w:ascii="標楷體" w:eastAsia="標楷體" w:hAnsi="標楷體" w:hint="eastAsia"/>
          <w:szCs w:val="24"/>
        </w:rPr>
        <w:t>）為協助政府打詐之目的，協調各網際網路接取服務提供者（</w:t>
      </w:r>
      <w:r w:rsidRPr="001B36E2">
        <w:rPr>
          <w:rFonts w:ascii="標楷體" w:eastAsia="標楷體" w:hAnsi="標楷體"/>
          <w:szCs w:val="24"/>
        </w:rPr>
        <w:t>Internet Access Service Provider,</w:t>
      </w:r>
      <w:r w:rsidRPr="001B36E2">
        <w:rPr>
          <w:rFonts w:ascii="標楷體" w:eastAsia="標楷體" w:hAnsi="標楷體" w:hint="eastAsia"/>
          <w:szCs w:val="24"/>
        </w:rPr>
        <w:t xml:space="preserve"> I</w:t>
      </w:r>
      <w:r w:rsidRPr="001B36E2">
        <w:rPr>
          <w:rFonts w:ascii="標楷體" w:eastAsia="標楷體" w:hAnsi="標楷體"/>
          <w:szCs w:val="24"/>
        </w:rPr>
        <w:t>ASP</w:t>
      </w:r>
      <w:r w:rsidRPr="001B36E2">
        <w:rPr>
          <w:rFonts w:ascii="標楷體" w:eastAsia="標楷體" w:hAnsi="標楷體" w:hint="eastAsia"/>
          <w:szCs w:val="24"/>
        </w:rPr>
        <w:t>）研擬自律規範及處理流程，</w:t>
      </w:r>
      <w:r w:rsidRPr="001B36E2">
        <w:rPr>
          <w:rFonts w:ascii="標楷體" w:eastAsia="標楷體" w:hAnsi="標楷體"/>
          <w:szCs w:val="24"/>
        </w:rPr>
        <w:t>實施</w:t>
      </w:r>
      <w:r w:rsidRPr="001B36E2">
        <w:rPr>
          <w:rFonts w:ascii="標楷體" w:eastAsia="標楷體" w:hAnsi="標楷體" w:hint="eastAsia"/>
          <w:szCs w:val="24"/>
        </w:rPr>
        <w:t>限制網域名稱阻斷詐騙網站治理機制（下稱D</w:t>
      </w:r>
      <w:r w:rsidRPr="001B36E2">
        <w:rPr>
          <w:rFonts w:ascii="標楷體" w:eastAsia="標楷體" w:hAnsi="標楷體"/>
          <w:szCs w:val="24"/>
        </w:rPr>
        <w:t>NS RPZ</w:t>
      </w:r>
      <w:r w:rsidRPr="001B36E2">
        <w:rPr>
          <w:rFonts w:ascii="標楷體" w:eastAsia="標楷體" w:hAnsi="標楷體" w:hint="eastAsia"/>
          <w:szCs w:val="24"/>
        </w:rPr>
        <w:t>治理機制），以</w:t>
      </w:r>
      <w:r w:rsidR="001D258E">
        <w:rPr>
          <w:rFonts w:ascii="標楷體" w:eastAsia="標楷體" w:hAnsi="標楷體" w:hint="eastAsia"/>
          <w:szCs w:val="24"/>
        </w:rPr>
        <w:t>封鎖</w:t>
      </w:r>
      <w:r w:rsidRPr="001B36E2">
        <w:rPr>
          <w:rFonts w:ascii="標楷體" w:eastAsia="標楷體" w:hAnsi="標楷體" w:hint="eastAsia"/>
          <w:szCs w:val="24"/>
        </w:rPr>
        <w:t>惡意或不當之網站，依</w:t>
      </w:r>
      <w:r>
        <w:rPr>
          <w:rFonts w:ascii="標楷體" w:eastAsia="標楷體" w:hAnsi="標楷體" w:hint="eastAsia"/>
          <w:szCs w:val="24"/>
        </w:rPr>
        <w:t>自律</w:t>
      </w:r>
      <w:r w:rsidRPr="001B36E2">
        <w:rPr>
          <w:rFonts w:ascii="標楷體" w:eastAsia="標楷體" w:hAnsi="標楷體" w:hint="eastAsia"/>
          <w:szCs w:val="24"/>
        </w:rPr>
        <w:t>規範分為3種情況，分別為情況1</w:t>
      </w:r>
      <w:r w:rsidRPr="001B36E2">
        <w:rPr>
          <w:rFonts w:ascii="標楷體" w:eastAsia="標楷體" w:hAnsi="標楷體"/>
          <w:szCs w:val="24"/>
        </w:rPr>
        <w:t>.0</w:t>
      </w:r>
      <w:r w:rsidRPr="001B36E2">
        <w:rPr>
          <w:rFonts w:ascii="標楷體" w:eastAsia="標楷體" w:hAnsi="標楷體" w:hint="eastAsia"/>
          <w:szCs w:val="24"/>
        </w:rPr>
        <w:t>：網域名稱係法院判決、裁定或行政機關命令攔阻、停止解析等者；情況1</w:t>
      </w:r>
      <w:r w:rsidRPr="001B36E2">
        <w:rPr>
          <w:rFonts w:ascii="標楷體" w:eastAsia="標楷體" w:hAnsi="標楷體"/>
          <w:szCs w:val="24"/>
        </w:rPr>
        <w:t>.</w:t>
      </w:r>
      <w:r w:rsidRPr="001B36E2">
        <w:rPr>
          <w:rFonts w:ascii="標楷體" w:eastAsia="標楷體" w:hAnsi="標楷體" w:hint="eastAsia"/>
          <w:szCs w:val="24"/>
        </w:rPr>
        <w:t>5：臺灣高等檢察署、警察機關或調查機關、數位發展部數位產業署（</w:t>
      </w:r>
      <w:r w:rsidRPr="001B36E2">
        <w:rPr>
          <w:rFonts w:ascii="標楷體" w:eastAsia="標楷體" w:hAnsi="標楷體"/>
          <w:szCs w:val="24"/>
        </w:rPr>
        <w:t>下稱</w:t>
      </w:r>
      <w:r w:rsidRPr="001B36E2">
        <w:rPr>
          <w:rFonts w:ascii="標楷體" w:eastAsia="標楷體" w:hAnsi="標楷體" w:hint="eastAsia"/>
          <w:szCs w:val="24"/>
        </w:rPr>
        <w:t>數</w:t>
      </w:r>
      <w:r>
        <w:rPr>
          <w:rFonts w:ascii="標楷體" w:eastAsia="標楷體" w:hAnsi="標楷體" w:hint="eastAsia"/>
          <w:szCs w:val="24"/>
        </w:rPr>
        <w:t>位</w:t>
      </w:r>
      <w:r w:rsidRPr="001B36E2">
        <w:rPr>
          <w:rFonts w:ascii="標楷體" w:eastAsia="標楷體" w:hAnsi="標楷體" w:hint="eastAsia"/>
          <w:szCs w:val="24"/>
        </w:rPr>
        <w:t>產</w:t>
      </w:r>
      <w:r>
        <w:rPr>
          <w:rFonts w:ascii="標楷體" w:eastAsia="標楷體" w:hAnsi="標楷體" w:hint="eastAsia"/>
          <w:szCs w:val="24"/>
        </w:rPr>
        <w:t>業</w:t>
      </w:r>
      <w:r w:rsidRPr="001B36E2">
        <w:rPr>
          <w:rFonts w:ascii="標楷體" w:eastAsia="標楷體" w:hAnsi="標楷體" w:hint="eastAsia"/>
          <w:szCs w:val="24"/>
        </w:rPr>
        <w:t>署）等認定選舉期間執法機構緊急申請、重大金融犯罪緊急申請、假冒中央二級公務機關網站或詐騙網站（含電商聯防）申請等4種重大案件；情況2</w:t>
      </w:r>
      <w:r w:rsidRPr="001B36E2">
        <w:rPr>
          <w:rFonts w:ascii="標楷體" w:eastAsia="標楷體" w:hAnsi="標楷體"/>
          <w:szCs w:val="24"/>
        </w:rPr>
        <w:t>.0</w:t>
      </w:r>
      <w:r w:rsidRPr="001B36E2">
        <w:rPr>
          <w:rFonts w:ascii="標楷體" w:eastAsia="標楷體" w:hAnsi="標楷體" w:hint="eastAsia"/>
          <w:szCs w:val="24"/>
        </w:rPr>
        <w:t>：網域名稱係有資安疑慮且影響資安重大者。據台網中心統計，112年度阻擋詐騙網站案件計3萬</w:t>
      </w:r>
      <w:r w:rsidRPr="001B36E2">
        <w:rPr>
          <w:rFonts w:ascii="標楷體" w:eastAsia="標楷體" w:hAnsi="標楷體"/>
          <w:szCs w:val="24"/>
        </w:rPr>
        <w:t>4</w:t>
      </w:r>
      <w:r w:rsidRPr="001B36E2">
        <w:rPr>
          <w:rFonts w:ascii="標楷體" w:eastAsia="標楷體" w:hAnsi="標楷體" w:hint="eastAsia"/>
          <w:szCs w:val="24"/>
        </w:rPr>
        <w:t>,</w:t>
      </w:r>
      <w:r w:rsidRPr="001B36E2">
        <w:rPr>
          <w:rFonts w:ascii="標楷體" w:eastAsia="標楷體" w:hAnsi="標楷體"/>
          <w:szCs w:val="24"/>
        </w:rPr>
        <w:t>539</w:t>
      </w:r>
      <w:r w:rsidRPr="001B36E2">
        <w:rPr>
          <w:rFonts w:ascii="標楷體" w:eastAsia="標楷體" w:hAnsi="標楷體" w:hint="eastAsia"/>
          <w:szCs w:val="24"/>
        </w:rPr>
        <w:t>件，已發揮成效。惟有關情況1.5之運作，係由I</w:t>
      </w:r>
      <w:r w:rsidRPr="001B36E2">
        <w:rPr>
          <w:rFonts w:ascii="標楷體" w:eastAsia="標楷體" w:hAnsi="標楷體"/>
          <w:szCs w:val="24"/>
        </w:rPr>
        <w:t>ASP</w:t>
      </w:r>
      <w:r w:rsidRPr="001B36E2">
        <w:rPr>
          <w:rFonts w:ascii="標楷體" w:eastAsia="標楷體" w:hAnsi="標楷體" w:hint="eastAsia"/>
          <w:szCs w:val="24"/>
        </w:rPr>
        <w:t>自願參與，並以多方利害關係人之協調為準則，尚乏法律明確規範授權及主政機關，除受限I</w:t>
      </w:r>
      <w:r w:rsidRPr="001B36E2">
        <w:rPr>
          <w:rFonts w:ascii="標楷體" w:eastAsia="標楷體" w:hAnsi="標楷體"/>
          <w:szCs w:val="24"/>
        </w:rPr>
        <w:t>ASP</w:t>
      </w:r>
      <w:r w:rsidRPr="001B36E2">
        <w:rPr>
          <w:rFonts w:ascii="標楷體" w:eastAsia="標楷體" w:hAnsi="標楷體" w:hint="eastAsia"/>
          <w:szCs w:val="24"/>
        </w:rPr>
        <w:t>參與意願，且因無強制性及符合程序與審核要件之規範作為執行依據，致申請機關及自願參與之I</w:t>
      </w:r>
      <w:r w:rsidRPr="001B36E2">
        <w:rPr>
          <w:rFonts w:ascii="標楷體" w:eastAsia="標楷體" w:hAnsi="標楷體"/>
          <w:szCs w:val="24"/>
        </w:rPr>
        <w:t>ASP</w:t>
      </w:r>
      <w:r w:rsidRPr="001B36E2">
        <w:rPr>
          <w:rFonts w:ascii="標楷體" w:eastAsia="標楷體" w:hAnsi="標楷體" w:hint="eastAsia"/>
          <w:szCs w:val="24"/>
        </w:rPr>
        <w:t>，須自行承擔可能衍生相關法律責任及風險，不利DNS RPZ治理機制之運作；又現階段各中央目的事業主管機關均尚未依</w:t>
      </w:r>
      <w:r>
        <w:rPr>
          <w:rFonts w:ascii="標楷體" w:eastAsia="標楷體" w:hAnsi="標楷體" w:hint="eastAsia"/>
          <w:szCs w:val="24"/>
        </w:rPr>
        <w:t>新世代</w:t>
      </w:r>
      <w:r w:rsidRPr="001B36E2">
        <w:rPr>
          <w:rFonts w:ascii="標楷體" w:eastAsia="標楷體" w:hAnsi="標楷體" w:hint="eastAsia"/>
          <w:szCs w:val="24"/>
        </w:rPr>
        <w:t>打</w:t>
      </w:r>
      <w:r>
        <w:rPr>
          <w:rFonts w:ascii="標楷體" w:eastAsia="標楷體" w:hAnsi="標楷體" w:hint="eastAsia"/>
          <w:szCs w:val="24"/>
        </w:rPr>
        <w:t>擊</w:t>
      </w:r>
      <w:r w:rsidRPr="001B36E2">
        <w:rPr>
          <w:rFonts w:ascii="標楷體" w:eastAsia="標楷體" w:hAnsi="標楷體" w:hint="eastAsia"/>
          <w:szCs w:val="24"/>
        </w:rPr>
        <w:t>詐</w:t>
      </w:r>
      <w:r>
        <w:rPr>
          <w:rFonts w:ascii="標楷體" w:eastAsia="標楷體" w:hAnsi="標楷體" w:hint="eastAsia"/>
          <w:szCs w:val="24"/>
        </w:rPr>
        <w:t>欺策略</w:t>
      </w:r>
      <w:r w:rsidRPr="001B36E2">
        <w:rPr>
          <w:rFonts w:ascii="標楷體" w:eastAsia="標楷體" w:hAnsi="標楷體" w:hint="eastAsia"/>
          <w:szCs w:val="24"/>
        </w:rPr>
        <w:t>行動</w:t>
      </w:r>
      <w:r w:rsidRPr="001B36E2">
        <w:rPr>
          <w:rFonts w:ascii="標楷體" w:eastAsia="標楷體" w:hAnsi="標楷體" w:hint="eastAsia"/>
          <w:szCs w:val="24"/>
        </w:rPr>
        <w:lastRenderedPageBreak/>
        <w:t>綱領之行動方案，訂定阻斷詐騙網站（域）之法源依據，致DNS RPZ治理機制缺乏法律程序之正當性及完整性</w:t>
      </w:r>
      <w:r w:rsidR="0074379B">
        <w:rPr>
          <w:rFonts w:ascii="標楷體" w:eastAsia="標楷體" w:hAnsi="標楷體" w:hint="eastAsia"/>
          <w:szCs w:val="24"/>
        </w:rPr>
        <w:t>。</w:t>
      </w:r>
      <w:r w:rsidRPr="001B36E2">
        <w:rPr>
          <w:rFonts w:ascii="標楷體" w:eastAsia="標楷體" w:hAnsi="標楷體" w:hint="eastAsia"/>
          <w:szCs w:val="24"/>
        </w:rPr>
        <w:t>經函請行政院督促相關權責機關研謀因應，增修調適相關法源及配套措</w:t>
      </w:r>
      <w:r>
        <w:rPr>
          <w:rFonts w:ascii="標楷體" w:eastAsia="標楷體" w:hAnsi="標楷體" w:hint="eastAsia"/>
          <w:szCs w:val="24"/>
        </w:rPr>
        <w:t>施，以確保法律程序上之正當性及完整性，達堵詐之目的。據復：</w:t>
      </w:r>
      <w:r w:rsidRPr="00C129E7">
        <w:rPr>
          <w:rFonts w:ascii="標楷體" w:eastAsia="標楷體" w:hAnsi="標楷體" w:hint="eastAsia"/>
          <w:bCs/>
          <w:szCs w:val="24"/>
        </w:rPr>
        <w:t>「詐欺犯罪危害防制條例」</w:t>
      </w:r>
      <w:r>
        <w:rPr>
          <w:rFonts w:ascii="標楷體" w:eastAsia="標楷體" w:hAnsi="標楷體" w:hint="eastAsia"/>
          <w:bCs/>
          <w:szCs w:val="24"/>
        </w:rPr>
        <w:t>草案已於113年5月9日經行政院院會通過，並送立法院審議中，該條例草案已</w:t>
      </w:r>
      <w:r w:rsidRPr="001B36E2">
        <w:rPr>
          <w:rFonts w:ascii="標楷體" w:eastAsia="標楷體" w:hAnsi="標楷體" w:hint="eastAsia"/>
          <w:szCs w:val="24"/>
        </w:rPr>
        <w:t>賦予法律明確授權及主政機關，使D</w:t>
      </w:r>
      <w:r w:rsidRPr="001B36E2">
        <w:rPr>
          <w:rFonts w:ascii="標楷體" w:eastAsia="標楷體" w:hAnsi="標楷體"/>
          <w:szCs w:val="24"/>
        </w:rPr>
        <w:t>NS RPZ</w:t>
      </w:r>
      <w:r>
        <w:rPr>
          <w:rFonts w:ascii="標楷體" w:eastAsia="標楷體" w:hAnsi="標楷體" w:hint="eastAsia"/>
          <w:szCs w:val="24"/>
        </w:rPr>
        <w:t>治理機制符合法律程序之正當性及完整性</w:t>
      </w:r>
      <w:r w:rsidRPr="001B36E2">
        <w:rPr>
          <w:rFonts w:ascii="標楷體" w:eastAsia="標楷體" w:hAnsi="標楷體" w:hint="eastAsia"/>
          <w:szCs w:val="24"/>
        </w:rPr>
        <w:t>。</w:t>
      </w:r>
    </w:p>
    <w:p w14:paraId="14B89DD8" w14:textId="3DB57927" w:rsidR="00283CE1" w:rsidRDefault="00283CE1" w:rsidP="004D7C92">
      <w:pPr>
        <w:overflowPunct w:val="0"/>
        <w:snapToGrid w:val="0"/>
        <w:spacing w:line="400" w:lineRule="exact"/>
        <w:ind w:firstLineChars="450" w:firstLine="1081"/>
        <w:jc w:val="both"/>
        <w:rPr>
          <w:rFonts w:ascii="標楷體" w:eastAsia="標楷體" w:hAnsi="標楷體"/>
          <w:szCs w:val="24"/>
        </w:rPr>
      </w:pPr>
      <w:r>
        <w:rPr>
          <w:rFonts w:ascii="標楷體" w:eastAsia="標楷體" w:hAnsi="標楷體" w:hint="eastAsia"/>
          <w:b/>
          <w:szCs w:val="24"/>
        </w:rPr>
        <w:t>5</w:t>
      </w:r>
      <w:r w:rsidRPr="00642A1A">
        <w:rPr>
          <w:rFonts w:ascii="標楷體" w:eastAsia="標楷體" w:hAnsi="標楷體" w:hint="eastAsia"/>
          <w:b/>
          <w:szCs w:val="24"/>
        </w:rPr>
        <w:t xml:space="preserve">.　</w:t>
      </w:r>
      <w:r w:rsidRPr="009D6F9E">
        <w:rPr>
          <w:rFonts w:ascii="標楷體" w:eastAsia="標楷體" w:hAnsi="標楷體" w:hint="eastAsia"/>
          <w:b/>
          <w:szCs w:val="24"/>
        </w:rPr>
        <w:t>透過公私協力與遊戲點數業者合力推動身分驗證等相關阻詐措施，已具成效，惟詐騙案件有轉移至蘋果商店禮品卡情事：</w:t>
      </w:r>
      <w:r w:rsidRPr="009D6F9E">
        <w:rPr>
          <w:rFonts w:ascii="標楷體" w:eastAsia="標楷體" w:hAnsi="標楷體" w:hint="eastAsia"/>
          <w:szCs w:val="24"/>
        </w:rPr>
        <w:t>近年電玩遊戲產業蓬勃發展，遊戲點數在市場已有大量、普遍性流通趨勢，成為犯罪集團利用作為犯罪工具、洗錢及銷贓管道。數</w:t>
      </w:r>
      <w:r>
        <w:rPr>
          <w:rFonts w:ascii="標楷體" w:eastAsia="標楷體" w:hAnsi="標楷體" w:hint="eastAsia"/>
          <w:szCs w:val="24"/>
        </w:rPr>
        <w:t>位</w:t>
      </w:r>
      <w:r w:rsidRPr="009D6F9E">
        <w:rPr>
          <w:rFonts w:ascii="標楷體" w:eastAsia="標楷體" w:hAnsi="標楷體" w:hint="eastAsia"/>
          <w:szCs w:val="24"/>
        </w:rPr>
        <w:t>產</w:t>
      </w:r>
      <w:r>
        <w:rPr>
          <w:rFonts w:ascii="標楷體" w:eastAsia="標楷體" w:hAnsi="標楷體" w:hint="eastAsia"/>
          <w:szCs w:val="24"/>
        </w:rPr>
        <w:t>業</w:t>
      </w:r>
      <w:r w:rsidRPr="009D6F9E">
        <w:rPr>
          <w:rFonts w:ascii="標楷體" w:eastAsia="標楷體" w:hAnsi="標楷體" w:hint="eastAsia"/>
          <w:szCs w:val="24"/>
        </w:rPr>
        <w:t>署為防制遊戲點數淪為詐騙途徑，已創建阻詐平臺，以公私協力方式聯防遊戲點數詐騙，並提出4項自律措施。其中，數</w:t>
      </w:r>
      <w:r>
        <w:rPr>
          <w:rFonts w:ascii="標楷體" w:eastAsia="標楷體" w:hAnsi="標楷體" w:hint="eastAsia"/>
          <w:szCs w:val="24"/>
        </w:rPr>
        <w:t>位</w:t>
      </w:r>
      <w:r w:rsidRPr="009D6F9E">
        <w:rPr>
          <w:rFonts w:ascii="標楷體" w:eastAsia="標楷體" w:hAnsi="標楷體" w:hint="eastAsia"/>
          <w:szCs w:val="24"/>
        </w:rPr>
        <w:t>產</w:t>
      </w:r>
      <w:r>
        <w:rPr>
          <w:rFonts w:ascii="標楷體" w:eastAsia="標楷體" w:hAnsi="標楷體" w:hint="eastAsia"/>
          <w:szCs w:val="24"/>
        </w:rPr>
        <w:t>業</w:t>
      </w:r>
      <w:r w:rsidRPr="009D6F9E">
        <w:rPr>
          <w:rFonts w:ascii="標楷體" w:eastAsia="標楷體" w:hAnsi="標楷體" w:hint="eastAsia"/>
          <w:szCs w:val="24"/>
        </w:rPr>
        <w:t>署透過公私協力與該署監管五大遊戲點數業者（遊戲橘子－Gash、智冠－MyCard、Garena－貝殼幣、網銀－遊e卡、Razer gold）合力推動身分驗證、一次性密碼（O</w:t>
      </w:r>
      <w:r w:rsidRPr="009D6F9E">
        <w:rPr>
          <w:rFonts w:ascii="標楷體" w:eastAsia="標楷體" w:hAnsi="標楷體"/>
          <w:szCs w:val="24"/>
        </w:rPr>
        <w:t>ne</w:t>
      </w:r>
      <w:r w:rsidRPr="009D6F9E">
        <w:rPr>
          <w:rFonts w:ascii="標楷體" w:eastAsia="標楷體" w:hAnsi="標楷體" w:hint="eastAsia"/>
          <w:szCs w:val="24"/>
        </w:rPr>
        <w:t>－T</w:t>
      </w:r>
      <w:r w:rsidRPr="009D6F9E">
        <w:rPr>
          <w:rFonts w:ascii="標楷體" w:eastAsia="標楷體" w:hAnsi="標楷體"/>
          <w:szCs w:val="24"/>
        </w:rPr>
        <w:t xml:space="preserve">ime </w:t>
      </w:r>
      <w:r w:rsidRPr="009D6F9E">
        <w:rPr>
          <w:rFonts w:ascii="標楷體" w:eastAsia="標楷體" w:hAnsi="標楷體" w:hint="eastAsia"/>
          <w:szCs w:val="24"/>
        </w:rPr>
        <w:t>P</w:t>
      </w:r>
      <w:r w:rsidRPr="009D6F9E">
        <w:rPr>
          <w:rFonts w:ascii="標楷體" w:eastAsia="標楷體" w:hAnsi="標楷體"/>
          <w:szCs w:val="24"/>
        </w:rPr>
        <w:t>assword</w:t>
      </w:r>
      <w:r w:rsidRPr="009D6F9E">
        <w:rPr>
          <w:rFonts w:ascii="標楷體" w:eastAsia="標楷體" w:hAnsi="標楷體" w:hint="eastAsia"/>
          <w:szCs w:val="24"/>
        </w:rPr>
        <w:t>,</w:t>
      </w:r>
      <w:r w:rsidRPr="009D6F9E">
        <w:rPr>
          <w:rFonts w:ascii="標楷體" w:eastAsia="標楷體" w:hAnsi="標楷體"/>
          <w:szCs w:val="24"/>
        </w:rPr>
        <w:t xml:space="preserve"> OTP</w:t>
      </w:r>
      <w:r w:rsidRPr="009D6F9E">
        <w:rPr>
          <w:rFonts w:ascii="標楷體" w:eastAsia="標楷體" w:hAnsi="標楷體" w:hint="eastAsia"/>
          <w:szCs w:val="24"/>
        </w:rPr>
        <w:t>）、高風險帳號管理、延遲入點、鎖卡平臺等阻詐措施，相關業者整體發生遊戲點數詐騙案件，已自1</w:t>
      </w:r>
      <w:r w:rsidRPr="009D6F9E">
        <w:rPr>
          <w:rFonts w:ascii="標楷體" w:eastAsia="標楷體" w:hAnsi="標楷體"/>
          <w:szCs w:val="24"/>
        </w:rPr>
        <w:t>12</w:t>
      </w:r>
      <w:r w:rsidRPr="009D6F9E">
        <w:rPr>
          <w:rFonts w:ascii="標楷體" w:eastAsia="標楷體" w:hAnsi="標楷體" w:hint="eastAsia"/>
          <w:szCs w:val="24"/>
        </w:rPr>
        <w:t>年3月單月最高1</w:t>
      </w:r>
      <w:r w:rsidRPr="009D6F9E">
        <w:rPr>
          <w:rFonts w:ascii="標楷體" w:eastAsia="標楷體" w:hAnsi="標楷體"/>
          <w:szCs w:val="24"/>
        </w:rPr>
        <w:t>,600</w:t>
      </w:r>
      <w:r w:rsidRPr="009D6F9E">
        <w:rPr>
          <w:rFonts w:ascii="標楷體" w:eastAsia="標楷體" w:hAnsi="標楷體" w:hint="eastAsia"/>
          <w:szCs w:val="24"/>
        </w:rPr>
        <w:t>件，下降至同年6月</w:t>
      </w:r>
      <w:r w:rsidRPr="009D6F9E">
        <w:rPr>
          <w:rFonts w:ascii="標楷體" w:eastAsia="標楷體" w:hAnsi="標楷體"/>
          <w:szCs w:val="24"/>
        </w:rPr>
        <w:t>6</w:t>
      </w:r>
      <w:r w:rsidRPr="009D6F9E">
        <w:rPr>
          <w:rFonts w:ascii="標楷體" w:eastAsia="標楷體" w:hAnsi="標楷體" w:hint="eastAsia"/>
          <w:szCs w:val="24"/>
        </w:rPr>
        <w:t>0</w:t>
      </w:r>
      <w:r w:rsidRPr="009D6F9E">
        <w:rPr>
          <w:rFonts w:ascii="標楷體" w:eastAsia="標楷體" w:hAnsi="標楷體"/>
          <w:szCs w:val="24"/>
        </w:rPr>
        <w:t>0</w:t>
      </w:r>
      <w:r w:rsidRPr="009D6F9E">
        <w:rPr>
          <w:rFonts w:ascii="標楷體" w:eastAsia="標楷體" w:hAnsi="標楷體" w:hint="eastAsia"/>
          <w:szCs w:val="24"/>
        </w:rPr>
        <w:t>餘件。惟據內政部警政署統計資料，非屬上開五大遊戲點數業者之蘋果商店（下稱Apple Store）禮品卡詐騙案件卻有</w:t>
      </w:r>
      <w:r w:rsidRPr="009D6F9E">
        <w:rPr>
          <w:rFonts w:ascii="標楷體" w:eastAsia="標楷體" w:hAnsi="標楷體"/>
          <w:szCs w:val="24"/>
        </w:rPr>
        <w:t>大幅攀升</w:t>
      </w:r>
      <w:r w:rsidRPr="009D6F9E">
        <w:rPr>
          <w:rFonts w:ascii="標楷體" w:eastAsia="標楷體" w:hAnsi="標楷體" w:hint="eastAsia"/>
          <w:szCs w:val="24"/>
        </w:rPr>
        <w:t>趨勢，該禮品卡1</w:t>
      </w:r>
      <w:r w:rsidRPr="009D6F9E">
        <w:rPr>
          <w:rFonts w:ascii="標楷體" w:eastAsia="標楷體" w:hAnsi="標楷體"/>
          <w:szCs w:val="24"/>
        </w:rPr>
        <w:t>12</w:t>
      </w:r>
      <w:r w:rsidRPr="009D6F9E">
        <w:rPr>
          <w:rFonts w:ascii="標楷體" w:eastAsia="標楷體" w:hAnsi="標楷體" w:hint="eastAsia"/>
          <w:szCs w:val="24"/>
        </w:rPr>
        <w:t>年</w:t>
      </w:r>
      <w:r w:rsidRPr="009D6F9E">
        <w:rPr>
          <w:rFonts w:ascii="標楷體" w:eastAsia="標楷體" w:hAnsi="標楷體"/>
          <w:szCs w:val="24"/>
        </w:rPr>
        <w:t>第2季詐騙件數</w:t>
      </w:r>
      <w:r w:rsidRPr="009D6F9E">
        <w:rPr>
          <w:rFonts w:ascii="標楷體" w:eastAsia="標楷體" w:hAnsi="標楷體" w:hint="eastAsia"/>
          <w:szCs w:val="24"/>
        </w:rPr>
        <w:t>計</w:t>
      </w:r>
      <w:r w:rsidRPr="009D6F9E">
        <w:rPr>
          <w:rFonts w:ascii="標楷體" w:eastAsia="標楷體" w:hAnsi="標楷體"/>
          <w:szCs w:val="24"/>
        </w:rPr>
        <w:t>2,216件，較</w:t>
      </w:r>
      <w:r w:rsidRPr="009D6F9E">
        <w:rPr>
          <w:rFonts w:ascii="標楷體" w:eastAsia="標楷體" w:hAnsi="標楷體" w:hint="eastAsia"/>
          <w:szCs w:val="24"/>
        </w:rPr>
        <w:t>同</w:t>
      </w:r>
      <w:r w:rsidRPr="009D6F9E">
        <w:rPr>
          <w:rFonts w:ascii="標楷體" w:eastAsia="標楷體" w:hAnsi="標楷體"/>
          <w:szCs w:val="24"/>
        </w:rPr>
        <w:t>年第1季664件</w:t>
      </w:r>
      <w:r w:rsidRPr="009D6F9E">
        <w:rPr>
          <w:rFonts w:ascii="標楷體" w:eastAsia="標楷體" w:hAnsi="標楷體" w:hint="eastAsia"/>
          <w:szCs w:val="24"/>
        </w:rPr>
        <w:t>上升</w:t>
      </w:r>
      <w:r w:rsidRPr="009D6F9E">
        <w:rPr>
          <w:rFonts w:ascii="標楷體" w:eastAsia="標楷體" w:hAnsi="標楷體"/>
          <w:szCs w:val="24"/>
        </w:rPr>
        <w:t>233.73</w:t>
      </w:r>
      <w:r w:rsidRPr="009D6F9E">
        <w:rPr>
          <w:rFonts w:ascii="標楷體" w:eastAsia="標楷體" w:hAnsi="標楷體" w:hint="eastAsia"/>
          <w:szCs w:val="24"/>
        </w:rPr>
        <w:t>％，顯示遊戲點數詐騙案件有自五大遊戲點數業者轉移至Apple Store禮品卡情形。又行政院111年12月27日召開國家資通安全會報－網際犯罪偵防體系暨防治網路犯罪組跨部會協商平臺第18次會議，已提及遊戲點數涉詐件數有移轉到Apple Store</w:t>
      </w:r>
      <w:r>
        <w:rPr>
          <w:rFonts w:ascii="標楷體" w:eastAsia="標楷體" w:hAnsi="標楷體" w:hint="eastAsia"/>
          <w:szCs w:val="24"/>
        </w:rPr>
        <w:t>禮品卡情事，並請</w:t>
      </w:r>
      <w:r w:rsidRPr="009D6F9E">
        <w:rPr>
          <w:rFonts w:ascii="標楷體" w:eastAsia="標楷體" w:hAnsi="標楷體" w:hint="eastAsia"/>
          <w:szCs w:val="24"/>
        </w:rPr>
        <w:t>刑事警察局</w:t>
      </w:r>
      <w:r>
        <w:rPr>
          <w:rFonts w:ascii="標楷體" w:eastAsia="標楷體" w:hAnsi="標楷體" w:hint="eastAsia"/>
          <w:szCs w:val="24"/>
        </w:rPr>
        <w:t>（</w:t>
      </w:r>
      <w:r w:rsidRPr="009D6F9E">
        <w:rPr>
          <w:rFonts w:ascii="標楷體" w:eastAsia="標楷體" w:hAnsi="標楷體" w:hint="eastAsia"/>
          <w:szCs w:val="24"/>
        </w:rPr>
        <w:t>打擊詐欺犯罪中心</w:t>
      </w:r>
      <w:r>
        <w:rPr>
          <w:rFonts w:ascii="標楷體" w:eastAsia="標楷體" w:hAnsi="標楷體" w:hint="eastAsia"/>
          <w:szCs w:val="24"/>
        </w:rPr>
        <w:t>）</w:t>
      </w:r>
      <w:r w:rsidRPr="009D6F9E">
        <w:rPr>
          <w:rFonts w:ascii="標楷體" w:eastAsia="標楷體" w:hAnsi="標楷體" w:hint="eastAsia"/>
          <w:szCs w:val="24"/>
        </w:rPr>
        <w:t>確認該禮品卡目的事業主管機關，</w:t>
      </w:r>
      <w:r>
        <w:rPr>
          <w:rFonts w:ascii="標楷體" w:eastAsia="標楷體" w:hAnsi="標楷體" w:hint="eastAsia"/>
          <w:szCs w:val="24"/>
        </w:rPr>
        <w:t>嗣</w:t>
      </w:r>
      <w:r w:rsidRPr="009D6F9E">
        <w:rPr>
          <w:rFonts w:ascii="標楷體" w:eastAsia="標楷體" w:hAnsi="標楷體" w:hint="eastAsia"/>
          <w:szCs w:val="24"/>
        </w:rPr>
        <w:t>經內政部函請國家發展委員會就Apple Store禮品卡目的事業主管機關認定釋疑，因未有定論，由數位發展部於112年7月18日函請行政院為Apple Store禮品卡中央目的事業主管機關管轄權疑義協助釋疑協調，仍無具體結果。復據數</w:t>
      </w:r>
      <w:r>
        <w:rPr>
          <w:rFonts w:ascii="標楷體" w:eastAsia="標楷體" w:hAnsi="標楷體" w:hint="eastAsia"/>
          <w:szCs w:val="24"/>
        </w:rPr>
        <w:t>位</w:t>
      </w:r>
      <w:r w:rsidRPr="009D6F9E">
        <w:rPr>
          <w:rFonts w:ascii="標楷體" w:eastAsia="標楷體" w:hAnsi="標楷體" w:hint="eastAsia"/>
          <w:szCs w:val="24"/>
        </w:rPr>
        <w:t>產</w:t>
      </w:r>
      <w:r>
        <w:rPr>
          <w:rFonts w:ascii="標楷體" w:eastAsia="標楷體" w:hAnsi="標楷體" w:hint="eastAsia"/>
          <w:szCs w:val="24"/>
        </w:rPr>
        <w:t>業</w:t>
      </w:r>
      <w:r w:rsidRPr="009D6F9E">
        <w:rPr>
          <w:rFonts w:ascii="標楷體" w:eastAsia="標楷體" w:hAnsi="標楷體" w:hint="eastAsia"/>
          <w:szCs w:val="24"/>
        </w:rPr>
        <w:t>署說明，該署於112年5月15日、9月20日與美商蘋果亞洲（股）公司（下稱蘋果公司）召開會議，要求該公司針對Apple Store禮品卡詐騙案件之發生提出因應措施，善盡企業社會責任，業經蘋果公司於該公司官網、國</w:t>
      </w:r>
      <w:r>
        <w:rPr>
          <w:rFonts w:ascii="標楷體" w:eastAsia="標楷體" w:hAnsi="標楷體" w:hint="eastAsia"/>
          <w:szCs w:val="24"/>
        </w:rPr>
        <w:t>內各大超商通路販售禮品卡加入防詐警語，及建立申請退款服務等。查</w:t>
      </w:r>
      <w:r w:rsidRPr="009D6F9E">
        <w:rPr>
          <w:rFonts w:ascii="標楷體" w:eastAsia="標楷體" w:hAnsi="標楷體" w:hint="eastAsia"/>
          <w:szCs w:val="24"/>
        </w:rPr>
        <w:t>數</w:t>
      </w:r>
      <w:r>
        <w:rPr>
          <w:rFonts w:ascii="標楷體" w:eastAsia="標楷體" w:hAnsi="標楷體" w:hint="eastAsia"/>
          <w:szCs w:val="24"/>
        </w:rPr>
        <w:t>位</w:t>
      </w:r>
      <w:r w:rsidRPr="009D6F9E">
        <w:rPr>
          <w:rFonts w:ascii="標楷體" w:eastAsia="標楷體" w:hAnsi="標楷體" w:hint="eastAsia"/>
          <w:szCs w:val="24"/>
        </w:rPr>
        <w:t>產</w:t>
      </w:r>
      <w:r>
        <w:rPr>
          <w:rFonts w:ascii="標楷體" w:eastAsia="標楷體" w:hAnsi="標楷體" w:hint="eastAsia"/>
          <w:szCs w:val="24"/>
        </w:rPr>
        <w:t>業署尚乏</w:t>
      </w:r>
      <w:r w:rsidRPr="009D6F9E">
        <w:rPr>
          <w:rFonts w:ascii="標楷體" w:eastAsia="標楷體" w:hAnsi="標楷體" w:hint="eastAsia"/>
          <w:szCs w:val="24"/>
        </w:rPr>
        <w:t>法規依據及政策工具監督Apple Store</w:t>
      </w:r>
      <w:r>
        <w:rPr>
          <w:rFonts w:ascii="標楷體" w:eastAsia="標楷體" w:hAnsi="標楷體" w:hint="eastAsia"/>
          <w:szCs w:val="24"/>
        </w:rPr>
        <w:t>禮品卡，致未能要求蘋果公司結合推行中之相關阻詐作為（</w:t>
      </w:r>
      <w:r w:rsidRPr="009D6F9E">
        <w:rPr>
          <w:rFonts w:ascii="標楷體" w:eastAsia="標楷體" w:hAnsi="標楷體" w:hint="eastAsia"/>
          <w:szCs w:val="24"/>
        </w:rPr>
        <w:t>舉如身分驗證、OTP、高風險帳號管理、延遲入點等</w:t>
      </w:r>
      <w:r>
        <w:rPr>
          <w:rFonts w:ascii="標楷體" w:eastAsia="標楷體" w:hAnsi="標楷體" w:hint="eastAsia"/>
          <w:szCs w:val="24"/>
        </w:rPr>
        <w:t>），影響防</w:t>
      </w:r>
      <w:r w:rsidRPr="009D6F9E">
        <w:rPr>
          <w:rFonts w:ascii="標楷體" w:eastAsia="標楷體" w:hAnsi="標楷體" w:hint="eastAsia"/>
          <w:szCs w:val="24"/>
        </w:rPr>
        <w:t>詐成效</w:t>
      </w:r>
      <w:r>
        <w:rPr>
          <w:rFonts w:ascii="標楷體" w:eastAsia="標楷體" w:hAnsi="標楷體" w:hint="eastAsia"/>
          <w:szCs w:val="24"/>
        </w:rPr>
        <w:t>，</w:t>
      </w:r>
      <w:r w:rsidRPr="009D6F9E">
        <w:rPr>
          <w:rFonts w:ascii="標楷體" w:eastAsia="標楷體" w:hAnsi="標楷體" w:hint="eastAsia"/>
          <w:szCs w:val="24"/>
        </w:rPr>
        <w:t>經函請行政院儘速釐清相關機關阻詐權責，以提升遊戲點數詐騙案件整體防制成效。據復：業請</w:t>
      </w:r>
      <w:r>
        <w:rPr>
          <w:rFonts w:ascii="標楷體" w:eastAsia="標楷體" w:hAnsi="標楷體" w:hint="eastAsia"/>
          <w:szCs w:val="24"/>
        </w:rPr>
        <w:t>經濟部及數位發展部持續協調合作</w:t>
      </w:r>
      <w:r w:rsidRPr="009D6F9E">
        <w:rPr>
          <w:rFonts w:ascii="標楷體" w:eastAsia="標楷體" w:hAnsi="標楷體" w:hint="eastAsia"/>
          <w:szCs w:val="24"/>
        </w:rPr>
        <w:t>，並與蘋果公司溝通，促請研擬阻詐精進措施等，後續將視需要再行評估相關機關阻詐權責事宜。</w:t>
      </w:r>
    </w:p>
    <w:p w14:paraId="098C1434" w14:textId="348DEA14" w:rsidR="00283CE1" w:rsidRPr="00642A1A" w:rsidRDefault="00283CE1" w:rsidP="00283CE1">
      <w:pPr>
        <w:overflowPunct w:val="0"/>
        <w:snapToGrid w:val="0"/>
        <w:spacing w:line="400" w:lineRule="exact"/>
        <w:ind w:firstLineChars="450" w:firstLine="1081"/>
        <w:jc w:val="both"/>
        <w:rPr>
          <w:rFonts w:ascii="標楷體" w:eastAsia="標楷體" w:hAnsi="標楷體"/>
          <w:szCs w:val="24"/>
        </w:rPr>
      </w:pPr>
      <w:r w:rsidRPr="00511A10">
        <w:rPr>
          <w:rFonts w:ascii="標楷體" w:eastAsia="標楷體" w:hAnsi="標楷體" w:hint="eastAsia"/>
          <w:b/>
          <w:szCs w:val="24"/>
        </w:rPr>
        <w:t xml:space="preserve">6.　</w:t>
      </w:r>
      <w:r w:rsidRPr="00511A10">
        <w:rPr>
          <w:rFonts w:ascii="標楷體" w:eastAsia="標楷體" w:hAnsi="標楷體" w:hint="eastAsia"/>
          <w:b/>
          <w:szCs w:val="32"/>
        </w:rPr>
        <w:t>近年來實體店零售業轉進</w:t>
      </w:r>
      <w:r>
        <w:rPr>
          <w:rFonts w:ascii="標楷體" w:eastAsia="標楷體" w:hAnsi="標楷體" w:hint="eastAsia"/>
          <w:b/>
          <w:szCs w:val="32"/>
        </w:rPr>
        <w:t>電商通路比率大幅提升，惟</w:t>
      </w:r>
      <w:r w:rsidR="001D258E">
        <w:rPr>
          <w:rFonts w:ascii="標楷體" w:eastAsia="標楷體" w:hAnsi="標楷體" w:hint="eastAsia"/>
          <w:b/>
          <w:szCs w:val="32"/>
        </w:rPr>
        <w:t>新世代打擊詐欺策略</w:t>
      </w:r>
      <w:r>
        <w:rPr>
          <w:rFonts w:ascii="標楷體" w:eastAsia="標楷體" w:hAnsi="標楷體" w:hint="eastAsia"/>
          <w:b/>
          <w:szCs w:val="32"/>
        </w:rPr>
        <w:t>行動綱領所列物流隱碼服務推動對象僅有</w:t>
      </w:r>
      <w:r w:rsidRPr="00511A10">
        <w:rPr>
          <w:rFonts w:ascii="標楷體" w:eastAsia="標楷體" w:hAnsi="標楷體" w:hint="eastAsia"/>
          <w:b/>
          <w:szCs w:val="32"/>
        </w:rPr>
        <w:t>電商業者，影響堵詐策略執行成效：</w:t>
      </w:r>
      <w:r w:rsidRPr="00511A10">
        <w:rPr>
          <w:rFonts w:ascii="標楷體" w:eastAsia="標楷體" w:hAnsi="標楷體" w:hint="eastAsia"/>
          <w:szCs w:val="32"/>
        </w:rPr>
        <w:t>依新世代打擊詐欺策略行動綱領</w:t>
      </w:r>
      <w:r w:rsidRPr="00511A10">
        <w:rPr>
          <w:rFonts w:ascii="標楷體" w:eastAsia="標楷體" w:hAnsi="標楷體" w:hint="eastAsia"/>
          <w:szCs w:val="24"/>
        </w:rPr>
        <w:t>之堵詐面向策略四「加強電商業者資安維護」</w:t>
      </w:r>
      <w:r w:rsidRPr="00511A10">
        <w:rPr>
          <w:rFonts w:ascii="標楷體" w:eastAsia="標楷體" w:hAnsi="標楷體" w:hint="eastAsia"/>
          <w:szCs w:val="32"/>
        </w:rPr>
        <w:t>，具體措施之一為透過公私協力，鼓勵民間投入資源，研發物流隱碼技術等數位防詐工</w:t>
      </w:r>
      <w:r w:rsidRPr="00511A10">
        <w:rPr>
          <w:rFonts w:ascii="標楷體" w:eastAsia="標楷體" w:hAnsi="標楷體" w:hint="eastAsia"/>
          <w:spacing w:val="-2"/>
          <w:szCs w:val="32"/>
        </w:rPr>
        <w:t>具，共同投入防詐工作。據數</w:t>
      </w:r>
      <w:r>
        <w:rPr>
          <w:rFonts w:ascii="標楷體" w:eastAsia="標楷體" w:hAnsi="標楷體" w:hint="eastAsia"/>
          <w:spacing w:val="-2"/>
          <w:szCs w:val="32"/>
        </w:rPr>
        <w:t>位</w:t>
      </w:r>
      <w:r w:rsidRPr="00511A10">
        <w:rPr>
          <w:rFonts w:ascii="標楷體" w:eastAsia="標楷體" w:hAnsi="標楷體" w:hint="eastAsia"/>
          <w:spacing w:val="-2"/>
          <w:szCs w:val="32"/>
        </w:rPr>
        <w:t>產</w:t>
      </w:r>
      <w:r>
        <w:rPr>
          <w:rFonts w:ascii="標楷體" w:eastAsia="標楷體" w:hAnsi="標楷體" w:hint="eastAsia"/>
          <w:spacing w:val="-2"/>
          <w:szCs w:val="32"/>
        </w:rPr>
        <w:t>業</w:t>
      </w:r>
      <w:r w:rsidRPr="00511A10">
        <w:rPr>
          <w:rFonts w:ascii="標楷體" w:eastAsia="標楷體" w:hAnsi="標楷體" w:hint="eastAsia"/>
          <w:spacing w:val="-2"/>
          <w:szCs w:val="32"/>
        </w:rPr>
        <w:t>署說明，電商業者導入物流隱碼機制後，物流業者配送宅配單上會將訂單收貨人電話號碼轉換為代碼，物流人員只需撥打代碼即可與收貨人聯繫，可有效避免民眾個資外流。經查數</w:t>
      </w:r>
      <w:r>
        <w:rPr>
          <w:rFonts w:ascii="標楷體" w:eastAsia="標楷體" w:hAnsi="標楷體" w:hint="eastAsia"/>
          <w:spacing w:val="-2"/>
          <w:szCs w:val="32"/>
        </w:rPr>
        <w:t>位</w:t>
      </w:r>
      <w:r w:rsidRPr="00511A10">
        <w:rPr>
          <w:rFonts w:ascii="標楷體" w:eastAsia="標楷體" w:hAnsi="標楷體" w:hint="eastAsia"/>
          <w:spacing w:val="-2"/>
          <w:szCs w:val="32"/>
        </w:rPr>
        <w:t>產</w:t>
      </w:r>
      <w:r>
        <w:rPr>
          <w:rFonts w:ascii="標楷體" w:eastAsia="標楷體" w:hAnsi="標楷體" w:hint="eastAsia"/>
          <w:spacing w:val="-2"/>
          <w:szCs w:val="32"/>
        </w:rPr>
        <w:t>業</w:t>
      </w:r>
      <w:r w:rsidRPr="00511A10">
        <w:rPr>
          <w:rFonts w:ascii="標楷體" w:eastAsia="標楷體" w:hAnsi="標楷體" w:hint="eastAsia"/>
          <w:spacing w:val="-2"/>
          <w:szCs w:val="32"/>
        </w:rPr>
        <w:t>署推動物流隱碼作</w:t>
      </w:r>
      <w:r w:rsidRPr="00511A10">
        <w:rPr>
          <w:rFonts w:ascii="標楷體" w:eastAsia="標楷體" w:hAnsi="標楷體" w:hint="eastAsia"/>
          <w:spacing w:val="-2"/>
          <w:szCs w:val="32"/>
        </w:rPr>
        <w:lastRenderedPageBreak/>
        <w:t>業執行方式，為邀集國內三大電信業者（中華電信、台灣大哥大、遠傳電信）及該署監管之主要大型電商業者（營業活動及稅籍登記之主要營業項目為從事以網際網路方式零售商品之行業），研</w:t>
      </w:r>
      <w:r w:rsidR="00407338">
        <w:rPr>
          <w:noProof/>
        </w:rPr>
        <mc:AlternateContent>
          <mc:Choice Requires="wps">
            <w:drawing>
              <wp:anchor distT="0" distB="0" distL="0" distR="0" simplePos="0" relativeHeight="251670528" behindDoc="0" locked="0" layoutInCell="1" allowOverlap="0" wp14:anchorId="63FA92C6" wp14:editId="47C9FBB9">
                <wp:simplePos x="0" y="0"/>
                <wp:positionH relativeFrom="margin">
                  <wp:posOffset>2951480</wp:posOffset>
                </wp:positionH>
                <wp:positionV relativeFrom="paragraph">
                  <wp:posOffset>1208405</wp:posOffset>
                </wp:positionV>
                <wp:extent cx="3341370" cy="2072005"/>
                <wp:effectExtent l="0" t="0" r="0" b="4445"/>
                <wp:wrapSquare wrapText="bothSides"/>
                <wp:docPr id="483" name="文字方塊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1370" cy="2072005"/>
                        </a:xfrm>
                        <a:prstGeom prst="rect">
                          <a:avLst/>
                        </a:prstGeom>
                        <a:noFill/>
                        <a:ln w="9525">
                          <a:noFill/>
                          <a:miter lim="800000"/>
                          <a:headEnd/>
                          <a:tailEnd/>
                        </a:ln>
                      </wps:spPr>
                      <wps:txbx>
                        <w:txbxContent>
                          <w:p w14:paraId="26159341" w14:textId="77777777" w:rsidR="00A0212B" w:rsidRPr="009B0267" w:rsidRDefault="00A0212B" w:rsidP="00407338">
                            <w:pPr>
                              <w:spacing w:line="320" w:lineRule="exact"/>
                              <w:jc w:val="center"/>
                              <w:rPr>
                                <w:rFonts w:ascii="標楷體" w:eastAsia="標楷體" w:hAnsi="標楷體"/>
                                <w:b/>
                              </w:rPr>
                            </w:pPr>
                            <w:r w:rsidRPr="009B0267">
                              <w:rPr>
                                <w:rFonts w:ascii="標楷體" w:eastAsia="標楷體" w:hAnsi="標楷體" w:hint="eastAsia"/>
                                <w:b/>
                              </w:rPr>
                              <w:t>表</w:t>
                            </w:r>
                            <w:r>
                              <w:rPr>
                                <w:rFonts w:ascii="標楷體" w:eastAsia="標楷體" w:hAnsi="標楷體"/>
                                <w:b/>
                              </w:rPr>
                              <w:t>8</w:t>
                            </w:r>
                            <w:r w:rsidRPr="009B0267">
                              <w:rPr>
                                <w:rFonts w:ascii="標楷體" w:eastAsia="標楷體" w:hAnsi="標楷體" w:hint="eastAsia"/>
                                <w:b/>
                              </w:rPr>
                              <w:t xml:space="preserve">　</w:t>
                            </w:r>
                            <w:r>
                              <w:rPr>
                                <w:rFonts w:ascii="標楷體" w:eastAsia="標楷體" w:hAnsi="標楷體" w:hint="eastAsia"/>
                                <w:b/>
                              </w:rPr>
                              <w:t>截至1</w:t>
                            </w:r>
                            <w:r>
                              <w:rPr>
                                <w:rFonts w:ascii="標楷體" w:eastAsia="標楷體" w:hAnsi="標楷體"/>
                                <w:b/>
                              </w:rPr>
                              <w:t>12</w:t>
                            </w:r>
                            <w:r>
                              <w:rPr>
                                <w:rFonts w:ascii="標楷體" w:eastAsia="標楷體" w:hAnsi="標楷體" w:hint="eastAsia"/>
                                <w:b/>
                              </w:rPr>
                              <w:t>年底</w:t>
                            </w:r>
                            <w:r w:rsidRPr="009B0267">
                              <w:rPr>
                                <w:rFonts w:ascii="標楷體" w:eastAsia="標楷體" w:hAnsi="標楷體" w:hint="eastAsia"/>
                                <w:b/>
                              </w:rPr>
                              <w:t>物流隱碼</w:t>
                            </w:r>
                            <w:r>
                              <w:rPr>
                                <w:rFonts w:ascii="標楷體" w:eastAsia="標楷體" w:hAnsi="標楷體" w:hint="eastAsia"/>
                                <w:b/>
                              </w:rPr>
                              <w:t>導入</w:t>
                            </w:r>
                            <w:r w:rsidRPr="009B0267">
                              <w:rPr>
                                <w:rFonts w:ascii="標楷體" w:eastAsia="標楷體" w:hAnsi="標楷體" w:hint="eastAsia"/>
                                <w:b/>
                              </w:rPr>
                              <w:t>情形</w:t>
                            </w:r>
                          </w:p>
                          <w:tbl>
                            <w:tblPr>
                              <w:tblW w:w="5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3386"/>
                            </w:tblGrid>
                            <w:tr w:rsidR="00A0212B" w:rsidRPr="009B0267" w14:paraId="3F5830C3" w14:textId="77777777" w:rsidTr="00BB173C">
                              <w:trPr>
                                <w:trHeight w:val="317"/>
                                <w:jc w:val="center"/>
                              </w:trPr>
                              <w:tc>
                                <w:tcPr>
                                  <w:tcW w:w="1644" w:type="dxa"/>
                                  <w:shd w:val="clear" w:color="auto" w:fill="auto"/>
                                  <w:vAlign w:val="center"/>
                                </w:tcPr>
                                <w:p w14:paraId="24BEDA44" w14:textId="77777777" w:rsidR="00A0212B" w:rsidRPr="0040147D" w:rsidRDefault="00A0212B" w:rsidP="00BB173C">
                                  <w:pPr>
                                    <w:spacing w:line="240" w:lineRule="exact"/>
                                    <w:ind w:leftChars="-97" w:left="-1" w:rightChars="-106" w:right="-254" w:hangingChars="116" w:hanging="232"/>
                                    <w:jc w:val="center"/>
                                    <w:rPr>
                                      <w:rFonts w:ascii="標楷體" w:eastAsia="標楷體" w:hAnsi="標楷體"/>
                                      <w:sz w:val="20"/>
                                    </w:rPr>
                                  </w:pPr>
                                  <w:r w:rsidRPr="0040147D">
                                    <w:rPr>
                                      <w:rFonts w:ascii="標楷體" w:eastAsia="標楷體" w:hAnsi="標楷體" w:hint="eastAsia"/>
                                      <w:sz w:val="20"/>
                                    </w:rPr>
                                    <w:t>物流隱碼導入情形</w:t>
                                  </w:r>
                                </w:p>
                              </w:tc>
                              <w:tc>
                                <w:tcPr>
                                  <w:tcW w:w="3386" w:type="dxa"/>
                                  <w:shd w:val="clear" w:color="auto" w:fill="auto"/>
                                  <w:vAlign w:val="center"/>
                                </w:tcPr>
                                <w:p w14:paraId="48C81847" w14:textId="77777777" w:rsidR="00A0212B" w:rsidRPr="0040147D" w:rsidRDefault="00A0212B" w:rsidP="00BB173C">
                                  <w:pPr>
                                    <w:spacing w:line="240" w:lineRule="exact"/>
                                    <w:jc w:val="center"/>
                                    <w:rPr>
                                      <w:rFonts w:ascii="標楷體" w:eastAsia="標楷體" w:hAnsi="標楷體"/>
                                      <w:sz w:val="20"/>
                                    </w:rPr>
                                  </w:pPr>
                                  <w:r w:rsidRPr="0040147D">
                                    <w:rPr>
                                      <w:rFonts w:ascii="標楷體" w:eastAsia="標楷體" w:hAnsi="標楷體" w:hint="eastAsia"/>
                                      <w:sz w:val="20"/>
                                    </w:rPr>
                                    <w:t>電商名稱</w:t>
                                  </w:r>
                                </w:p>
                              </w:tc>
                            </w:tr>
                            <w:tr w:rsidR="00A0212B" w:rsidRPr="009B0267" w14:paraId="72F27A95" w14:textId="77777777" w:rsidTr="00BB173C">
                              <w:trPr>
                                <w:trHeight w:val="317"/>
                                <w:jc w:val="center"/>
                              </w:trPr>
                              <w:tc>
                                <w:tcPr>
                                  <w:tcW w:w="1644" w:type="dxa"/>
                                  <w:shd w:val="clear" w:color="auto" w:fill="auto"/>
                                  <w:vAlign w:val="center"/>
                                </w:tcPr>
                                <w:p w14:paraId="355381EE" w14:textId="77777777" w:rsidR="00A0212B" w:rsidRPr="0040147D" w:rsidRDefault="00A0212B" w:rsidP="00BB173C">
                                  <w:pPr>
                                    <w:spacing w:line="240" w:lineRule="exact"/>
                                    <w:ind w:leftChars="-97" w:left="-1" w:rightChars="-106" w:right="-254" w:hangingChars="116" w:hanging="232"/>
                                    <w:jc w:val="center"/>
                                    <w:rPr>
                                      <w:rFonts w:ascii="標楷體" w:eastAsia="標楷體" w:hAnsi="標楷體"/>
                                      <w:sz w:val="20"/>
                                    </w:rPr>
                                  </w:pPr>
                                  <w:r w:rsidRPr="0040147D">
                                    <w:rPr>
                                      <w:rFonts w:ascii="標楷體" w:eastAsia="標楷體" w:hAnsi="標楷體" w:hint="eastAsia"/>
                                      <w:sz w:val="20"/>
                                    </w:rPr>
                                    <w:t>完成導入</w:t>
                                  </w:r>
                                </w:p>
                              </w:tc>
                              <w:tc>
                                <w:tcPr>
                                  <w:tcW w:w="3386" w:type="dxa"/>
                                  <w:shd w:val="clear" w:color="auto" w:fill="auto"/>
                                  <w:vAlign w:val="center"/>
                                </w:tcPr>
                                <w:p w14:paraId="5FAC602D" w14:textId="77777777" w:rsidR="00A0212B" w:rsidRPr="0040147D" w:rsidRDefault="00A0212B" w:rsidP="00BB173C">
                                  <w:pPr>
                                    <w:spacing w:line="240" w:lineRule="exact"/>
                                    <w:jc w:val="both"/>
                                    <w:rPr>
                                      <w:rFonts w:ascii="標楷體" w:eastAsia="標楷體" w:hAnsi="標楷體"/>
                                      <w:spacing w:val="-10"/>
                                      <w:sz w:val="20"/>
                                    </w:rPr>
                                  </w:pPr>
                                  <w:r w:rsidRPr="0040147D">
                                    <w:rPr>
                                      <w:rFonts w:ascii="標楷體" w:eastAsia="標楷體" w:hAnsi="標楷體" w:hint="eastAsia"/>
                                      <w:spacing w:val="-10"/>
                                      <w:sz w:val="20"/>
                                    </w:rPr>
                                    <w:t>博客來數位科技（</w:t>
                                  </w:r>
                                  <w:r w:rsidRPr="0040147D">
                                    <w:rPr>
                                      <w:rFonts w:ascii="標楷體" w:eastAsia="標楷體" w:hAnsi="標楷體"/>
                                      <w:spacing w:val="-10"/>
                                      <w:sz w:val="20"/>
                                    </w:rPr>
                                    <w:t>股</w:t>
                                  </w:r>
                                  <w:r w:rsidRPr="0040147D">
                                    <w:rPr>
                                      <w:rFonts w:ascii="標楷體" w:eastAsia="標楷體" w:hAnsi="標楷體" w:hint="eastAsia"/>
                                      <w:spacing w:val="-10"/>
                                      <w:sz w:val="20"/>
                                    </w:rPr>
                                    <w:t>）公司（博客來）、</w:t>
                                  </w:r>
                                  <w:r w:rsidRPr="0040147D">
                                    <w:rPr>
                                      <w:rFonts w:ascii="標楷體" w:eastAsia="標楷體" w:hAnsi="標楷體"/>
                                      <w:spacing w:val="-10"/>
                                      <w:sz w:val="20"/>
                                    </w:rPr>
                                    <w:t>遠時數位科技</w:t>
                                  </w:r>
                                  <w:r w:rsidRPr="0040147D">
                                    <w:rPr>
                                      <w:rFonts w:ascii="標楷體" w:eastAsia="標楷體" w:hAnsi="標楷體" w:hint="eastAsia"/>
                                      <w:spacing w:val="-10"/>
                                      <w:sz w:val="20"/>
                                    </w:rPr>
                                    <w:t>（</w:t>
                                  </w:r>
                                  <w:r w:rsidRPr="0040147D">
                                    <w:rPr>
                                      <w:rFonts w:ascii="標楷體" w:eastAsia="標楷體" w:hAnsi="標楷體"/>
                                      <w:spacing w:val="-10"/>
                                      <w:sz w:val="20"/>
                                    </w:rPr>
                                    <w:t>股</w:t>
                                  </w:r>
                                  <w:r w:rsidRPr="0040147D">
                                    <w:rPr>
                                      <w:rFonts w:ascii="標楷體" w:eastAsia="標楷體" w:hAnsi="標楷體" w:hint="eastAsia"/>
                                      <w:spacing w:val="-10"/>
                                      <w:sz w:val="20"/>
                                    </w:rPr>
                                    <w:t>）</w:t>
                                  </w:r>
                                  <w:r w:rsidRPr="0040147D">
                                    <w:rPr>
                                      <w:rFonts w:ascii="標楷體" w:eastAsia="標楷體" w:hAnsi="標楷體"/>
                                      <w:spacing w:val="-10"/>
                                      <w:sz w:val="20"/>
                                    </w:rPr>
                                    <w:t>公司</w:t>
                                  </w:r>
                                  <w:r w:rsidRPr="0040147D">
                                    <w:rPr>
                                      <w:rFonts w:ascii="標楷體" w:eastAsia="標楷體" w:hAnsi="標楷體" w:hint="eastAsia"/>
                                      <w:spacing w:val="-10"/>
                                      <w:sz w:val="20"/>
                                    </w:rPr>
                                    <w:t>（</w:t>
                                  </w:r>
                                  <w:r w:rsidRPr="0040147D">
                                    <w:rPr>
                                      <w:rFonts w:ascii="標楷體" w:eastAsia="標楷體" w:hAnsi="標楷體"/>
                                      <w:spacing w:val="-10"/>
                                      <w:sz w:val="20"/>
                                    </w:rPr>
                                    <w:t>friDay</w:t>
                                  </w:r>
                                  <w:r w:rsidRPr="0040147D">
                                    <w:rPr>
                                      <w:rFonts w:ascii="標楷體" w:eastAsia="標楷體" w:hAnsi="標楷體" w:hint="eastAsia"/>
                                      <w:spacing w:val="-10"/>
                                      <w:sz w:val="20"/>
                                    </w:rPr>
                                    <w:t>購物）、</w:t>
                                  </w:r>
                                  <w:r w:rsidRPr="0040147D">
                                    <w:rPr>
                                      <w:rFonts w:ascii="標楷體" w:eastAsia="標楷體" w:hAnsi="標楷體"/>
                                      <w:spacing w:val="-10"/>
                                      <w:sz w:val="20"/>
                                    </w:rPr>
                                    <w:t>富邦媒體科技</w:t>
                                  </w:r>
                                  <w:r w:rsidRPr="0040147D">
                                    <w:rPr>
                                      <w:rFonts w:ascii="標楷體" w:eastAsia="標楷體" w:hAnsi="標楷體" w:hint="eastAsia"/>
                                      <w:spacing w:val="-10"/>
                                      <w:sz w:val="20"/>
                                    </w:rPr>
                                    <w:t>（</w:t>
                                  </w:r>
                                  <w:r w:rsidRPr="0040147D">
                                    <w:rPr>
                                      <w:rFonts w:ascii="標楷體" w:eastAsia="標楷體" w:hAnsi="標楷體"/>
                                      <w:spacing w:val="-10"/>
                                      <w:sz w:val="20"/>
                                    </w:rPr>
                                    <w:t>股</w:t>
                                  </w:r>
                                  <w:r w:rsidRPr="0040147D">
                                    <w:rPr>
                                      <w:rFonts w:ascii="標楷體" w:eastAsia="標楷體" w:hAnsi="標楷體" w:hint="eastAsia"/>
                                      <w:spacing w:val="-10"/>
                                      <w:sz w:val="20"/>
                                    </w:rPr>
                                    <w:t>）</w:t>
                                  </w:r>
                                  <w:r w:rsidRPr="0040147D">
                                    <w:rPr>
                                      <w:rFonts w:ascii="標楷體" w:eastAsia="標楷體" w:hAnsi="標楷體"/>
                                      <w:spacing w:val="-10"/>
                                      <w:sz w:val="20"/>
                                    </w:rPr>
                                    <w:t>公司</w:t>
                                  </w:r>
                                  <w:r w:rsidRPr="0040147D">
                                    <w:rPr>
                                      <w:rFonts w:ascii="標楷體" w:eastAsia="標楷體" w:hAnsi="標楷體" w:hint="eastAsia"/>
                                      <w:spacing w:val="-10"/>
                                      <w:sz w:val="20"/>
                                    </w:rPr>
                                    <w:t>（MOMO購物）</w:t>
                                  </w:r>
                                </w:p>
                              </w:tc>
                            </w:tr>
                            <w:tr w:rsidR="00A0212B" w:rsidRPr="009B0267" w14:paraId="3BEEDAC5" w14:textId="77777777" w:rsidTr="00BB173C">
                              <w:trPr>
                                <w:trHeight w:val="317"/>
                                <w:jc w:val="center"/>
                              </w:trPr>
                              <w:tc>
                                <w:tcPr>
                                  <w:tcW w:w="1644" w:type="dxa"/>
                                  <w:shd w:val="clear" w:color="auto" w:fill="auto"/>
                                  <w:vAlign w:val="center"/>
                                </w:tcPr>
                                <w:p w14:paraId="5B5596F8" w14:textId="77777777" w:rsidR="00A0212B" w:rsidRPr="0040147D" w:rsidRDefault="00A0212B" w:rsidP="00BB173C">
                                  <w:pPr>
                                    <w:spacing w:line="240" w:lineRule="exact"/>
                                    <w:ind w:leftChars="-97" w:left="-1" w:rightChars="-106" w:right="-254" w:hangingChars="116" w:hanging="232"/>
                                    <w:jc w:val="center"/>
                                    <w:rPr>
                                      <w:rFonts w:ascii="標楷體" w:eastAsia="標楷體" w:hAnsi="標楷體"/>
                                      <w:sz w:val="20"/>
                                    </w:rPr>
                                  </w:pPr>
                                  <w:r w:rsidRPr="0040147D">
                                    <w:rPr>
                                      <w:rFonts w:ascii="標楷體" w:eastAsia="標楷體" w:hAnsi="標楷體" w:hint="eastAsia"/>
                                      <w:sz w:val="20"/>
                                    </w:rPr>
                                    <w:t>場域驗證試行中</w:t>
                                  </w:r>
                                </w:p>
                              </w:tc>
                              <w:tc>
                                <w:tcPr>
                                  <w:tcW w:w="3386" w:type="dxa"/>
                                  <w:shd w:val="clear" w:color="auto" w:fill="auto"/>
                                  <w:vAlign w:val="center"/>
                                </w:tcPr>
                                <w:p w14:paraId="7D8D9735" w14:textId="77777777" w:rsidR="00A0212B" w:rsidRPr="0040147D" w:rsidRDefault="00A0212B" w:rsidP="00BB173C">
                                  <w:pPr>
                                    <w:spacing w:line="240" w:lineRule="exact"/>
                                    <w:jc w:val="both"/>
                                    <w:rPr>
                                      <w:rFonts w:ascii="標楷體" w:eastAsia="標楷體" w:hAnsi="標楷體"/>
                                      <w:sz w:val="20"/>
                                    </w:rPr>
                                  </w:pPr>
                                  <w:r w:rsidRPr="0040147D">
                                    <w:rPr>
                                      <w:rFonts w:ascii="標楷體" w:eastAsia="標楷體" w:hAnsi="標楷體"/>
                                      <w:sz w:val="20"/>
                                    </w:rPr>
                                    <w:t>東森得易購</w:t>
                                  </w:r>
                                  <w:r w:rsidRPr="0040147D">
                                    <w:rPr>
                                      <w:rFonts w:ascii="標楷體" w:eastAsia="標楷體" w:hAnsi="標楷體" w:hint="eastAsia"/>
                                      <w:sz w:val="20"/>
                                    </w:rPr>
                                    <w:t>（</w:t>
                                  </w:r>
                                  <w:r w:rsidRPr="0040147D">
                                    <w:rPr>
                                      <w:rFonts w:ascii="標楷體" w:eastAsia="標楷體" w:hAnsi="標楷體"/>
                                      <w:sz w:val="20"/>
                                    </w:rPr>
                                    <w:t>股</w:t>
                                  </w:r>
                                  <w:r w:rsidRPr="0040147D">
                                    <w:rPr>
                                      <w:rFonts w:ascii="標楷體" w:eastAsia="標楷體" w:hAnsi="標楷體" w:hint="eastAsia"/>
                                      <w:sz w:val="20"/>
                                    </w:rPr>
                                    <w:t>）</w:t>
                                  </w:r>
                                  <w:r w:rsidRPr="0040147D">
                                    <w:rPr>
                                      <w:rFonts w:ascii="標楷體" w:eastAsia="標楷體" w:hAnsi="標楷體"/>
                                      <w:sz w:val="20"/>
                                    </w:rPr>
                                    <w:t>公司</w:t>
                                  </w:r>
                                  <w:r w:rsidRPr="0040147D">
                                    <w:rPr>
                                      <w:rFonts w:ascii="標楷體" w:eastAsia="標楷體" w:hAnsi="標楷體" w:hint="eastAsia"/>
                                      <w:sz w:val="20"/>
                                    </w:rPr>
                                    <w:t>（</w:t>
                                  </w:r>
                                  <w:r w:rsidRPr="0040147D">
                                    <w:rPr>
                                      <w:rFonts w:ascii="標楷體" w:eastAsia="標楷體" w:hAnsi="標楷體"/>
                                      <w:sz w:val="20"/>
                                    </w:rPr>
                                    <w:t>東森購物</w:t>
                                  </w:r>
                                  <w:r w:rsidRPr="0040147D">
                                    <w:rPr>
                                      <w:rFonts w:ascii="標楷體" w:eastAsia="標楷體" w:hAnsi="標楷體" w:hint="eastAsia"/>
                                      <w:sz w:val="20"/>
                                    </w:rPr>
                                    <w:t>）、</w:t>
                                  </w:r>
                                  <w:r w:rsidRPr="0040147D">
                                    <w:rPr>
                                      <w:rFonts w:ascii="標楷體" w:eastAsia="標楷體" w:hAnsi="標楷體"/>
                                      <w:sz w:val="20"/>
                                    </w:rPr>
                                    <w:t>網路家庭國際資訊</w:t>
                                  </w:r>
                                  <w:r w:rsidRPr="0040147D">
                                    <w:rPr>
                                      <w:rFonts w:ascii="標楷體" w:eastAsia="標楷體" w:hAnsi="標楷體" w:hint="eastAsia"/>
                                      <w:sz w:val="20"/>
                                    </w:rPr>
                                    <w:t>（</w:t>
                                  </w:r>
                                  <w:r w:rsidRPr="0040147D">
                                    <w:rPr>
                                      <w:rFonts w:ascii="標楷體" w:eastAsia="標楷體" w:hAnsi="標楷體"/>
                                      <w:sz w:val="20"/>
                                    </w:rPr>
                                    <w:t>股</w:t>
                                  </w:r>
                                  <w:r w:rsidRPr="0040147D">
                                    <w:rPr>
                                      <w:rFonts w:ascii="標楷體" w:eastAsia="標楷體" w:hAnsi="標楷體" w:hint="eastAsia"/>
                                      <w:sz w:val="20"/>
                                    </w:rPr>
                                    <w:t>）</w:t>
                                  </w:r>
                                  <w:r w:rsidRPr="0040147D">
                                    <w:rPr>
                                      <w:rFonts w:ascii="標楷體" w:eastAsia="標楷體" w:hAnsi="標楷體"/>
                                      <w:sz w:val="20"/>
                                    </w:rPr>
                                    <w:t>公司</w:t>
                                  </w:r>
                                  <w:r w:rsidRPr="0040147D">
                                    <w:rPr>
                                      <w:rFonts w:ascii="標楷體" w:eastAsia="標楷體" w:hAnsi="標楷體" w:hint="eastAsia"/>
                                      <w:sz w:val="20"/>
                                    </w:rPr>
                                    <w:t>（P</w:t>
                                  </w:r>
                                  <w:r w:rsidRPr="0040147D">
                                    <w:rPr>
                                      <w:rFonts w:ascii="標楷體" w:eastAsia="標楷體" w:hAnsi="標楷體"/>
                                      <w:sz w:val="20"/>
                                    </w:rPr>
                                    <w:t>Chome</w:t>
                                  </w:r>
                                  <w:r w:rsidRPr="0040147D">
                                    <w:rPr>
                                      <w:rFonts w:ascii="標楷體" w:eastAsia="標楷體" w:hAnsi="標楷體" w:hint="eastAsia"/>
                                      <w:sz w:val="20"/>
                                    </w:rPr>
                                    <w:t>購物）、</w:t>
                                  </w:r>
                                  <w:r w:rsidRPr="0040147D">
                                    <w:rPr>
                                      <w:rFonts w:ascii="標楷體" w:eastAsia="標楷體" w:hAnsi="標楷體"/>
                                      <w:sz w:val="20"/>
                                    </w:rPr>
                                    <w:t>酷澎</w:t>
                                  </w:r>
                                  <w:r w:rsidRPr="0040147D">
                                    <w:rPr>
                                      <w:rFonts w:ascii="標楷體" w:eastAsia="標楷體" w:hAnsi="標楷體" w:hint="eastAsia"/>
                                      <w:sz w:val="20"/>
                                    </w:rPr>
                                    <w:t>（</w:t>
                                  </w:r>
                                  <w:r w:rsidRPr="0040147D">
                                    <w:rPr>
                                      <w:rFonts w:ascii="標楷體" w:eastAsia="標楷體" w:hAnsi="標楷體"/>
                                      <w:sz w:val="20"/>
                                    </w:rPr>
                                    <w:t>股</w:t>
                                  </w:r>
                                  <w:r w:rsidRPr="0040147D">
                                    <w:rPr>
                                      <w:rFonts w:ascii="標楷體" w:eastAsia="標楷體" w:hAnsi="標楷體" w:hint="eastAsia"/>
                                      <w:sz w:val="20"/>
                                    </w:rPr>
                                    <w:t>）</w:t>
                                  </w:r>
                                  <w:r w:rsidRPr="0040147D">
                                    <w:rPr>
                                      <w:rFonts w:ascii="標楷體" w:eastAsia="標楷體" w:hAnsi="標楷體"/>
                                      <w:sz w:val="20"/>
                                    </w:rPr>
                                    <w:t>公司</w:t>
                                  </w:r>
                                  <w:r w:rsidRPr="0040147D">
                                    <w:rPr>
                                      <w:rFonts w:ascii="標楷體" w:eastAsia="標楷體" w:hAnsi="標楷體" w:hint="eastAsia"/>
                                      <w:sz w:val="20"/>
                                    </w:rPr>
                                    <w:t>（</w:t>
                                  </w:r>
                                  <w:r w:rsidRPr="0040147D">
                                    <w:rPr>
                                      <w:rFonts w:ascii="標楷體" w:eastAsia="標楷體" w:hAnsi="標楷體"/>
                                      <w:sz w:val="20"/>
                                    </w:rPr>
                                    <w:t>Coupang</w:t>
                                  </w:r>
                                  <w:r w:rsidRPr="0040147D">
                                    <w:rPr>
                                      <w:rFonts w:ascii="標楷體" w:eastAsia="標楷體" w:hAnsi="標楷體" w:hint="eastAsia"/>
                                      <w:sz w:val="20"/>
                                    </w:rPr>
                                    <w:t>）</w:t>
                                  </w:r>
                                </w:p>
                              </w:tc>
                            </w:tr>
                            <w:tr w:rsidR="00A0212B" w:rsidRPr="009B0267" w14:paraId="647E4C65" w14:textId="77777777" w:rsidTr="00BB173C">
                              <w:trPr>
                                <w:trHeight w:val="317"/>
                                <w:jc w:val="center"/>
                              </w:trPr>
                              <w:tc>
                                <w:tcPr>
                                  <w:tcW w:w="1644" w:type="dxa"/>
                                  <w:shd w:val="clear" w:color="auto" w:fill="auto"/>
                                  <w:vAlign w:val="center"/>
                                </w:tcPr>
                                <w:p w14:paraId="554B7DA0" w14:textId="77777777" w:rsidR="00A0212B" w:rsidRPr="0040147D" w:rsidRDefault="00A0212B" w:rsidP="00BB173C">
                                  <w:pPr>
                                    <w:spacing w:line="240" w:lineRule="exact"/>
                                    <w:ind w:leftChars="-97" w:left="-1" w:rightChars="-106" w:right="-254" w:hangingChars="116" w:hanging="232"/>
                                    <w:jc w:val="center"/>
                                    <w:rPr>
                                      <w:rFonts w:ascii="標楷體" w:eastAsia="標楷體" w:hAnsi="標楷體"/>
                                      <w:sz w:val="20"/>
                                    </w:rPr>
                                  </w:pPr>
                                  <w:r w:rsidRPr="0040147D">
                                    <w:rPr>
                                      <w:rFonts w:ascii="標楷體" w:eastAsia="標楷體" w:hAnsi="標楷體" w:hint="eastAsia"/>
                                      <w:sz w:val="20"/>
                                    </w:rPr>
                                    <w:t>規劃評估中</w:t>
                                  </w:r>
                                </w:p>
                              </w:tc>
                              <w:tc>
                                <w:tcPr>
                                  <w:tcW w:w="3386" w:type="dxa"/>
                                  <w:shd w:val="clear" w:color="auto" w:fill="auto"/>
                                  <w:vAlign w:val="center"/>
                                </w:tcPr>
                                <w:p w14:paraId="4C1F3698" w14:textId="77777777" w:rsidR="00A0212B" w:rsidRPr="0040147D" w:rsidRDefault="00A0212B" w:rsidP="00BB173C">
                                  <w:pPr>
                                    <w:spacing w:line="240" w:lineRule="exact"/>
                                    <w:jc w:val="both"/>
                                    <w:rPr>
                                      <w:rFonts w:ascii="標楷體" w:eastAsia="標楷體" w:hAnsi="標楷體"/>
                                      <w:sz w:val="20"/>
                                    </w:rPr>
                                  </w:pPr>
                                  <w:r w:rsidRPr="0040147D">
                                    <w:rPr>
                                      <w:rFonts w:ascii="標楷體" w:eastAsia="標楷體" w:hAnsi="標楷體"/>
                                      <w:sz w:val="20"/>
                                    </w:rPr>
                                    <w:t>雅虎數位行銷</w:t>
                                  </w:r>
                                  <w:r w:rsidRPr="0040147D">
                                    <w:rPr>
                                      <w:rFonts w:ascii="標楷體" w:eastAsia="標楷體" w:hAnsi="標楷體" w:hint="eastAsia"/>
                                      <w:sz w:val="20"/>
                                    </w:rPr>
                                    <w:t>（</w:t>
                                  </w:r>
                                  <w:r w:rsidRPr="0040147D">
                                    <w:rPr>
                                      <w:rFonts w:ascii="標楷體" w:eastAsia="標楷體" w:hAnsi="標楷體"/>
                                      <w:sz w:val="20"/>
                                    </w:rPr>
                                    <w:t>股</w:t>
                                  </w:r>
                                  <w:r w:rsidRPr="0040147D">
                                    <w:rPr>
                                      <w:rFonts w:ascii="標楷體" w:eastAsia="標楷體" w:hAnsi="標楷體" w:hint="eastAsia"/>
                                      <w:sz w:val="20"/>
                                    </w:rPr>
                                    <w:t>）</w:t>
                                  </w:r>
                                  <w:r w:rsidRPr="0040147D">
                                    <w:rPr>
                                      <w:rFonts w:ascii="標楷體" w:eastAsia="標楷體" w:hAnsi="標楷體"/>
                                      <w:sz w:val="20"/>
                                    </w:rPr>
                                    <w:t>公司</w:t>
                                  </w:r>
                                  <w:r w:rsidRPr="0040147D">
                                    <w:rPr>
                                      <w:rFonts w:ascii="標楷體" w:eastAsia="標楷體" w:hAnsi="標楷體" w:hint="eastAsia"/>
                                      <w:sz w:val="20"/>
                                    </w:rPr>
                                    <w:t>（Y</w:t>
                                  </w:r>
                                  <w:r w:rsidRPr="0040147D">
                                    <w:rPr>
                                      <w:rFonts w:ascii="標楷體" w:eastAsia="標楷體" w:hAnsi="標楷體"/>
                                      <w:sz w:val="20"/>
                                    </w:rPr>
                                    <w:t>ahoo</w:t>
                                  </w:r>
                                  <w:r w:rsidRPr="0040147D">
                                    <w:rPr>
                                      <w:rFonts w:ascii="標楷體" w:eastAsia="標楷體" w:hAnsi="標楷體" w:hint="eastAsia"/>
                                      <w:sz w:val="20"/>
                                    </w:rPr>
                                    <w:t>購物）、</w:t>
                                  </w:r>
                                  <w:hyperlink r:id="rId17" w:history="1">
                                    <w:r w:rsidRPr="0040147D">
                                      <w:rPr>
                                        <w:rFonts w:ascii="標楷體" w:eastAsia="標楷體" w:hAnsi="標楷體" w:hint="eastAsia"/>
                                        <w:sz w:val="20"/>
                                      </w:rPr>
                                      <w:t>新加坡商蝦皮娛樂電商有限公司台灣分公司</w:t>
                                    </w:r>
                                  </w:hyperlink>
                                  <w:r w:rsidRPr="0040147D">
                                    <w:rPr>
                                      <w:rFonts w:ascii="標楷體" w:eastAsia="標楷體" w:hAnsi="標楷體" w:hint="eastAsia"/>
                                      <w:sz w:val="20"/>
                                    </w:rPr>
                                    <w:t>（蝦皮購物）</w:t>
                                  </w:r>
                                </w:p>
                              </w:tc>
                            </w:tr>
                          </w:tbl>
                          <w:p w14:paraId="5C459D1A" w14:textId="77777777" w:rsidR="00A0212B" w:rsidRPr="009B0267" w:rsidRDefault="00A0212B" w:rsidP="00407338">
                            <w:pPr>
                              <w:spacing w:line="240" w:lineRule="exact"/>
                              <w:ind w:leftChars="-12" w:left="-2" w:hangingChars="15" w:hanging="27"/>
                              <w:rPr>
                                <w:rFonts w:ascii="標楷體" w:eastAsia="標楷體" w:hAnsi="標楷體"/>
                                <w:sz w:val="18"/>
                                <w:szCs w:val="18"/>
                              </w:rPr>
                            </w:pPr>
                            <w:r w:rsidRPr="009B0267">
                              <w:rPr>
                                <w:rFonts w:ascii="標楷體" w:eastAsia="標楷體" w:hAnsi="標楷體" w:hint="eastAsia"/>
                                <w:sz w:val="18"/>
                                <w:szCs w:val="18"/>
                              </w:rPr>
                              <w:t>資料來源</w:t>
                            </w:r>
                            <w:r>
                              <w:rPr>
                                <w:rFonts w:ascii="標楷體" w:eastAsia="標楷體" w:hAnsi="標楷體" w:hint="eastAsia"/>
                                <w:sz w:val="18"/>
                                <w:szCs w:val="18"/>
                              </w:rPr>
                              <w:t>：</w:t>
                            </w:r>
                            <w:r w:rsidRPr="009B0267">
                              <w:rPr>
                                <w:rFonts w:ascii="標楷體" w:eastAsia="標楷體" w:hAnsi="標楷體" w:hint="eastAsia"/>
                                <w:sz w:val="18"/>
                                <w:szCs w:val="18"/>
                              </w:rPr>
                              <w:t>整</w:t>
                            </w:r>
                            <w:r w:rsidRPr="009B0267">
                              <w:rPr>
                                <w:rFonts w:ascii="標楷體" w:eastAsia="標楷體" w:hAnsi="標楷體"/>
                                <w:sz w:val="18"/>
                                <w:szCs w:val="18"/>
                              </w:rPr>
                              <w:t>理自</w:t>
                            </w:r>
                            <w:r w:rsidRPr="009B0267">
                              <w:rPr>
                                <w:rFonts w:ascii="標楷體" w:eastAsia="標楷體" w:hAnsi="標楷體" w:hint="eastAsia"/>
                                <w:sz w:val="18"/>
                                <w:szCs w:val="18"/>
                              </w:rPr>
                              <w:t>數</w:t>
                            </w:r>
                            <w:r>
                              <w:rPr>
                                <w:rFonts w:ascii="標楷體" w:eastAsia="標楷體" w:hAnsi="標楷體" w:hint="eastAsia"/>
                                <w:sz w:val="18"/>
                                <w:szCs w:val="18"/>
                              </w:rPr>
                              <w:t>位發展</w:t>
                            </w:r>
                            <w:r w:rsidRPr="009B0267">
                              <w:rPr>
                                <w:rFonts w:ascii="標楷體" w:eastAsia="標楷體" w:hAnsi="標楷體" w:hint="eastAsia"/>
                                <w:sz w:val="18"/>
                                <w:szCs w:val="18"/>
                              </w:rPr>
                              <w:t>部提供資</w:t>
                            </w:r>
                            <w:r w:rsidRPr="009B0267">
                              <w:rPr>
                                <w:rFonts w:ascii="標楷體" w:eastAsia="標楷體" w:hAnsi="標楷體"/>
                                <w:sz w:val="18"/>
                                <w:szCs w:val="18"/>
                              </w:rPr>
                              <w:t>料</w:t>
                            </w:r>
                            <w:r w:rsidRPr="009B0267">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FA92C6" id="文字方塊 483" o:spid="_x0000_s1045" type="#_x0000_t202" style="position:absolute;left:0;text-align:left;margin-left:232.4pt;margin-top:95.15pt;width:263.1pt;height:163.15pt;z-index:25167052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" o:allowoverlap="f" filled="f" stroked="f">
                <v:textbox>
                  <w:txbxContent>
                    <w:p w14:paraId="26159341" w14:textId="77777777" w:rsidR="00A0212B" w:rsidRPr="009B0267" w:rsidRDefault="00A0212B" w:rsidP="00407338">
                      <w:pPr>
                        <w:spacing w:line="320" w:lineRule="exact"/>
                        <w:jc w:val="center"/>
                        <w:rPr>
                          <w:rFonts w:ascii="標楷體" w:eastAsia="標楷體" w:hAnsi="標楷體"/>
                          <w:b/>
                        </w:rPr>
                      </w:pPr>
                      <w:r w:rsidRPr="009B0267">
                        <w:rPr>
                          <w:rFonts w:ascii="標楷體" w:eastAsia="標楷體" w:hAnsi="標楷體" w:hint="eastAsia"/>
                          <w:b/>
                        </w:rPr>
                        <w:t>表</w:t>
                      </w:r>
                      <w:r>
                        <w:rPr>
                          <w:rFonts w:ascii="標楷體" w:eastAsia="標楷體" w:hAnsi="標楷體"/>
                          <w:b/>
                        </w:rPr>
                        <w:t>8</w:t>
                      </w:r>
                      <w:r w:rsidRPr="009B0267">
                        <w:rPr>
                          <w:rFonts w:ascii="標楷體" w:eastAsia="標楷體" w:hAnsi="標楷體" w:hint="eastAsia"/>
                          <w:b/>
                        </w:rPr>
                        <w:t xml:space="preserve">　</w:t>
                      </w:r>
                      <w:r>
                        <w:rPr>
                          <w:rFonts w:ascii="標楷體" w:eastAsia="標楷體" w:hAnsi="標楷體" w:hint="eastAsia"/>
                          <w:b/>
                        </w:rPr>
                        <w:t>截至1</w:t>
                      </w:r>
                      <w:r>
                        <w:rPr>
                          <w:rFonts w:ascii="標楷體" w:eastAsia="標楷體" w:hAnsi="標楷體"/>
                          <w:b/>
                        </w:rPr>
                        <w:t>12</w:t>
                      </w:r>
                      <w:r>
                        <w:rPr>
                          <w:rFonts w:ascii="標楷體" w:eastAsia="標楷體" w:hAnsi="標楷體" w:hint="eastAsia"/>
                          <w:b/>
                        </w:rPr>
                        <w:t>年底</w:t>
                      </w:r>
                      <w:r w:rsidRPr="009B0267">
                        <w:rPr>
                          <w:rFonts w:ascii="標楷體" w:eastAsia="標楷體" w:hAnsi="標楷體" w:hint="eastAsia"/>
                          <w:b/>
                        </w:rPr>
                        <w:t>物流隱碼</w:t>
                      </w:r>
                      <w:r>
                        <w:rPr>
                          <w:rFonts w:ascii="標楷體" w:eastAsia="標楷體" w:hAnsi="標楷體" w:hint="eastAsia"/>
                          <w:b/>
                        </w:rPr>
                        <w:t>導入</w:t>
                      </w:r>
                      <w:r w:rsidRPr="009B0267">
                        <w:rPr>
                          <w:rFonts w:ascii="標楷體" w:eastAsia="標楷體" w:hAnsi="標楷體" w:hint="eastAsia"/>
                          <w:b/>
                        </w:rPr>
                        <w:t>情形</w:t>
                      </w:r>
                    </w:p>
                    <w:tbl>
                      <w:tblPr>
                        <w:tblW w:w="5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4"/>
                        <w:gridCol w:w="3386"/>
                      </w:tblGrid>
                      <w:tr w:rsidR="00A0212B" w:rsidRPr="009B0267" w14:paraId="3F5830C3" w14:textId="77777777" w:rsidTr="00BB173C">
                        <w:trPr>
                          <w:trHeight w:val="317"/>
                          <w:jc w:val="center"/>
                        </w:trPr>
                        <w:tc>
                          <w:tcPr>
                            <w:tcW w:w="1644" w:type="dxa"/>
                            <w:shd w:val="clear" w:color="auto" w:fill="auto"/>
                            <w:vAlign w:val="center"/>
                          </w:tcPr>
                          <w:p w14:paraId="24BEDA44" w14:textId="77777777" w:rsidR="00A0212B" w:rsidRPr="0040147D" w:rsidRDefault="00A0212B" w:rsidP="00BB173C">
                            <w:pPr>
                              <w:spacing w:line="240" w:lineRule="exact"/>
                              <w:ind w:leftChars="-97" w:left="-1" w:rightChars="-106" w:right="-254" w:hangingChars="116" w:hanging="232"/>
                              <w:jc w:val="center"/>
                              <w:rPr>
                                <w:rFonts w:ascii="標楷體" w:eastAsia="標楷體" w:hAnsi="標楷體"/>
                                <w:sz w:val="20"/>
                              </w:rPr>
                            </w:pPr>
                            <w:r w:rsidRPr="0040147D">
                              <w:rPr>
                                <w:rFonts w:ascii="標楷體" w:eastAsia="標楷體" w:hAnsi="標楷體" w:hint="eastAsia"/>
                                <w:sz w:val="20"/>
                              </w:rPr>
                              <w:t>物流隱碼導入情形</w:t>
                            </w:r>
                          </w:p>
                        </w:tc>
                        <w:tc>
                          <w:tcPr>
                            <w:tcW w:w="3386" w:type="dxa"/>
                            <w:shd w:val="clear" w:color="auto" w:fill="auto"/>
                            <w:vAlign w:val="center"/>
                          </w:tcPr>
                          <w:p w14:paraId="48C81847" w14:textId="77777777" w:rsidR="00A0212B" w:rsidRPr="0040147D" w:rsidRDefault="00A0212B" w:rsidP="00BB173C">
                            <w:pPr>
                              <w:spacing w:line="240" w:lineRule="exact"/>
                              <w:jc w:val="center"/>
                              <w:rPr>
                                <w:rFonts w:ascii="標楷體" w:eastAsia="標楷體" w:hAnsi="標楷體"/>
                                <w:sz w:val="20"/>
                              </w:rPr>
                            </w:pPr>
                            <w:r w:rsidRPr="0040147D">
                              <w:rPr>
                                <w:rFonts w:ascii="標楷體" w:eastAsia="標楷體" w:hAnsi="標楷體" w:hint="eastAsia"/>
                                <w:sz w:val="20"/>
                              </w:rPr>
                              <w:t>電商名稱</w:t>
                            </w:r>
                          </w:p>
                        </w:tc>
                      </w:tr>
                      <w:tr w:rsidR="00A0212B" w:rsidRPr="009B0267" w14:paraId="72F27A95" w14:textId="77777777" w:rsidTr="00BB173C">
                        <w:trPr>
                          <w:trHeight w:val="317"/>
                          <w:jc w:val="center"/>
                        </w:trPr>
                        <w:tc>
                          <w:tcPr>
                            <w:tcW w:w="1644" w:type="dxa"/>
                            <w:shd w:val="clear" w:color="auto" w:fill="auto"/>
                            <w:vAlign w:val="center"/>
                          </w:tcPr>
                          <w:p w14:paraId="355381EE" w14:textId="77777777" w:rsidR="00A0212B" w:rsidRPr="0040147D" w:rsidRDefault="00A0212B" w:rsidP="00BB173C">
                            <w:pPr>
                              <w:spacing w:line="240" w:lineRule="exact"/>
                              <w:ind w:leftChars="-97" w:left="-1" w:rightChars="-106" w:right="-254" w:hangingChars="116" w:hanging="232"/>
                              <w:jc w:val="center"/>
                              <w:rPr>
                                <w:rFonts w:ascii="標楷體" w:eastAsia="標楷體" w:hAnsi="標楷體"/>
                                <w:sz w:val="20"/>
                              </w:rPr>
                            </w:pPr>
                            <w:r w:rsidRPr="0040147D">
                              <w:rPr>
                                <w:rFonts w:ascii="標楷體" w:eastAsia="標楷體" w:hAnsi="標楷體" w:hint="eastAsia"/>
                                <w:sz w:val="20"/>
                              </w:rPr>
                              <w:t>完成導入</w:t>
                            </w:r>
                          </w:p>
                        </w:tc>
                        <w:tc>
                          <w:tcPr>
                            <w:tcW w:w="3386" w:type="dxa"/>
                            <w:shd w:val="clear" w:color="auto" w:fill="auto"/>
                            <w:vAlign w:val="center"/>
                          </w:tcPr>
                          <w:p w14:paraId="5FAC602D" w14:textId="77777777" w:rsidR="00A0212B" w:rsidRPr="0040147D" w:rsidRDefault="00A0212B" w:rsidP="00BB173C">
                            <w:pPr>
                              <w:spacing w:line="240" w:lineRule="exact"/>
                              <w:jc w:val="both"/>
                              <w:rPr>
                                <w:rFonts w:ascii="標楷體" w:eastAsia="標楷體" w:hAnsi="標楷體"/>
                                <w:spacing w:val="-10"/>
                                <w:sz w:val="20"/>
                              </w:rPr>
                            </w:pPr>
                            <w:r w:rsidRPr="0040147D">
                              <w:rPr>
                                <w:rFonts w:ascii="標楷體" w:eastAsia="標楷體" w:hAnsi="標楷體" w:hint="eastAsia"/>
                                <w:spacing w:val="-10"/>
                                <w:sz w:val="20"/>
                              </w:rPr>
                              <w:t>博客來數位科技（</w:t>
                            </w:r>
                            <w:r w:rsidRPr="0040147D">
                              <w:rPr>
                                <w:rFonts w:ascii="標楷體" w:eastAsia="標楷體" w:hAnsi="標楷體"/>
                                <w:spacing w:val="-10"/>
                                <w:sz w:val="20"/>
                              </w:rPr>
                              <w:t>股</w:t>
                            </w:r>
                            <w:r w:rsidRPr="0040147D">
                              <w:rPr>
                                <w:rFonts w:ascii="標楷體" w:eastAsia="標楷體" w:hAnsi="標楷體" w:hint="eastAsia"/>
                                <w:spacing w:val="-10"/>
                                <w:sz w:val="20"/>
                              </w:rPr>
                              <w:t>）公司（博客來）、</w:t>
                            </w:r>
                            <w:r w:rsidRPr="0040147D">
                              <w:rPr>
                                <w:rFonts w:ascii="標楷體" w:eastAsia="標楷體" w:hAnsi="標楷體"/>
                                <w:spacing w:val="-10"/>
                                <w:sz w:val="20"/>
                              </w:rPr>
                              <w:t>遠時數位科技</w:t>
                            </w:r>
                            <w:r w:rsidRPr="0040147D">
                              <w:rPr>
                                <w:rFonts w:ascii="標楷體" w:eastAsia="標楷體" w:hAnsi="標楷體" w:hint="eastAsia"/>
                                <w:spacing w:val="-10"/>
                                <w:sz w:val="20"/>
                              </w:rPr>
                              <w:t>（</w:t>
                            </w:r>
                            <w:r w:rsidRPr="0040147D">
                              <w:rPr>
                                <w:rFonts w:ascii="標楷體" w:eastAsia="標楷體" w:hAnsi="標楷體"/>
                                <w:spacing w:val="-10"/>
                                <w:sz w:val="20"/>
                              </w:rPr>
                              <w:t>股</w:t>
                            </w:r>
                            <w:r w:rsidRPr="0040147D">
                              <w:rPr>
                                <w:rFonts w:ascii="標楷體" w:eastAsia="標楷體" w:hAnsi="標楷體" w:hint="eastAsia"/>
                                <w:spacing w:val="-10"/>
                                <w:sz w:val="20"/>
                              </w:rPr>
                              <w:t>）</w:t>
                            </w:r>
                            <w:r w:rsidRPr="0040147D">
                              <w:rPr>
                                <w:rFonts w:ascii="標楷體" w:eastAsia="標楷體" w:hAnsi="標楷體"/>
                                <w:spacing w:val="-10"/>
                                <w:sz w:val="20"/>
                              </w:rPr>
                              <w:t>公司</w:t>
                            </w:r>
                            <w:r w:rsidRPr="0040147D">
                              <w:rPr>
                                <w:rFonts w:ascii="標楷體" w:eastAsia="標楷體" w:hAnsi="標楷體" w:hint="eastAsia"/>
                                <w:spacing w:val="-10"/>
                                <w:sz w:val="20"/>
                              </w:rPr>
                              <w:t>（</w:t>
                            </w:r>
                            <w:r w:rsidRPr="0040147D">
                              <w:rPr>
                                <w:rFonts w:ascii="標楷體" w:eastAsia="標楷體" w:hAnsi="標楷體"/>
                                <w:spacing w:val="-10"/>
                                <w:sz w:val="20"/>
                              </w:rPr>
                              <w:t>friDay</w:t>
                            </w:r>
                            <w:r w:rsidRPr="0040147D">
                              <w:rPr>
                                <w:rFonts w:ascii="標楷體" w:eastAsia="標楷體" w:hAnsi="標楷體" w:hint="eastAsia"/>
                                <w:spacing w:val="-10"/>
                                <w:sz w:val="20"/>
                              </w:rPr>
                              <w:t>購物）、</w:t>
                            </w:r>
                            <w:r w:rsidRPr="0040147D">
                              <w:rPr>
                                <w:rFonts w:ascii="標楷體" w:eastAsia="標楷體" w:hAnsi="標楷體"/>
                                <w:spacing w:val="-10"/>
                                <w:sz w:val="20"/>
                              </w:rPr>
                              <w:t>富邦媒體科技</w:t>
                            </w:r>
                            <w:r w:rsidRPr="0040147D">
                              <w:rPr>
                                <w:rFonts w:ascii="標楷體" w:eastAsia="標楷體" w:hAnsi="標楷體" w:hint="eastAsia"/>
                                <w:spacing w:val="-10"/>
                                <w:sz w:val="20"/>
                              </w:rPr>
                              <w:t>（</w:t>
                            </w:r>
                            <w:r w:rsidRPr="0040147D">
                              <w:rPr>
                                <w:rFonts w:ascii="標楷體" w:eastAsia="標楷體" w:hAnsi="標楷體"/>
                                <w:spacing w:val="-10"/>
                                <w:sz w:val="20"/>
                              </w:rPr>
                              <w:t>股</w:t>
                            </w:r>
                            <w:r w:rsidRPr="0040147D">
                              <w:rPr>
                                <w:rFonts w:ascii="標楷體" w:eastAsia="標楷體" w:hAnsi="標楷體" w:hint="eastAsia"/>
                                <w:spacing w:val="-10"/>
                                <w:sz w:val="20"/>
                              </w:rPr>
                              <w:t>）</w:t>
                            </w:r>
                            <w:r w:rsidRPr="0040147D">
                              <w:rPr>
                                <w:rFonts w:ascii="標楷體" w:eastAsia="標楷體" w:hAnsi="標楷體"/>
                                <w:spacing w:val="-10"/>
                                <w:sz w:val="20"/>
                              </w:rPr>
                              <w:t>公司</w:t>
                            </w:r>
                            <w:r w:rsidRPr="0040147D">
                              <w:rPr>
                                <w:rFonts w:ascii="標楷體" w:eastAsia="標楷體" w:hAnsi="標楷體" w:hint="eastAsia"/>
                                <w:spacing w:val="-10"/>
                                <w:sz w:val="20"/>
                              </w:rPr>
                              <w:t>（MOMO購物）</w:t>
                            </w:r>
                          </w:p>
                        </w:tc>
                      </w:tr>
                      <w:tr w:rsidR="00A0212B" w:rsidRPr="009B0267" w14:paraId="3BEEDAC5" w14:textId="77777777" w:rsidTr="00BB173C">
                        <w:trPr>
                          <w:trHeight w:val="317"/>
                          <w:jc w:val="center"/>
                        </w:trPr>
                        <w:tc>
                          <w:tcPr>
                            <w:tcW w:w="1644" w:type="dxa"/>
                            <w:shd w:val="clear" w:color="auto" w:fill="auto"/>
                            <w:vAlign w:val="center"/>
                          </w:tcPr>
                          <w:p w14:paraId="5B5596F8" w14:textId="77777777" w:rsidR="00A0212B" w:rsidRPr="0040147D" w:rsidRDefault="00A0212B" w:rsidP="00BB173C">
                            <w:pPr>
                              <w:spacing w:line="240" w:lineRule="exact"/>
                              <w:ind w:leftChars="-97" w:left="-1" w:rightChars="-106" w:right="-254" w:hangingChars="116" w:hanging="232"/>
                              <w:jc w:val="center"/>
                              <w:rPr>
                                <w:rFonts w:ascii="標楷體" w:eastAsia="標楷體" w:hAnsi="標楷體"/>
                                <w:sz w:val="20"/>
                              </w:rPr>
                            </w:pPr>
                            <w:r w:rsidRPr="0040147D">
                              <w:rPr>
                                <w:rFonts w:ascii="標楷體" w:eastAsia="標楷體" w:hAnsi="標楷體" w:hint="eastAsia"/>
                                <w:sz w:val="20"/>
                              </w:rPr>
                              <w:t>場域驗證試行中</w:t>
                            </w:r>
                          </w:p>
                        </w:tc>
                        <w:tc>
                          <w:tcPr>
                            <w:tcW w:w="3386" w:type="dxa"/>
                            <w:shd w:val="clear" w:color="auto" w:fill="auto"/>
                            <w:vAlign w:val="center"/>
                          </w:tcPr>
                          <w:p w14:paraId="7D8D9735" w14:textId="77777777" w:rsidR="00A0212B" w:rsidRPr="0040147D" w:rsidRDefault="00A0212B" w:rsidP="00BB173C">
                            <w:pPr>
                              <w:spacing w:line="240" w:lineRule="exact"/>
                              <w:jc w:val="both"/>
                              <w:rPr>
                                <w:rFonts w:ascii="標楷體" w:eastAsia="標楷體" w:hAnsi="標楷體"/>
                                <w:sz w:val="20"/>
                              </w:rPr>
                            </w:pPr>
                            <w:r w:rsidRPr="0040147D">
                              <w:rPr>
                                <w:rFonts w:ascii="標楷體" w:eastAsia="標楷體" w:hAnsi="標楷體"/>
                                <w:sz w:val="20"/>
                              </w:rPr>
                              <w:t>東森得易購</w:t>
                            </w:r>
                            <w:r w:rsidRPr="0040147D">
                              <w:rPr>
                                <w:rFonts w:ascii="標楷體" w:eastAsia="標楷體" w:hAnsi="標楷體" w:hint="eastAsia"/>
                                <w:sz w:val="20"/>
                              </w:rPr>
                              <w:t>（</w:t>
                            </w:r>
                            <w:r w:rsidRPr="0040147D">
                              <w:rPr>
                                <w:rFonts w:ascii="標楷體" w:eastAsia="標楷體" w:hAnsi="標楷體"/>
                                <w:sz w:val="20"/>
                              </w:rPr>
                              <w:t>股</w:t>
                            </w:r>
                            <w:r w:rsidRPr="0040147D">
                              <w:rPr>
                                <w:rFonts w:ascii="標楷體" w:eastAsia="標楷體" w:hAnsi="標楷體" w:hint="eastAsia"/>
                                <w:sz w:val="20"/>
                              </w:rPr>
                              <w:t>）</w:t>
                            </w:r>
                            <w:r w:rsidRPr="0040147D">
                              <w:rPr>
                                <w:rFonts w:ascii="標楷體" w:eastAsia="標楷體" w:hAnsi="標楷體"/>
                                <w:sz w:val="20"/>
                              </w:rPr>
                              <w:t>公司</w:t>
                            </w:r>
                            <w:r w:rsidRPr="0040147D">
                              <w:rPr>
                                <w:rFonts w:ascii="標楷體" w:eastAsia="標楷體" w:hAnsi="標楷體" w:hint="eastAsia"/>
                                <w:sz w:val="20"/>
                              </w:rPr>
                              <w:t>（</w:t>
                            </w:r>
                            <w:r w:rsidRPr="0040147D">
                              <w:rPr>
                                <w:rFonts w:ascii="標楷體" w:eastAsia="標楷體" w:hAnsi="標楷體"/>
                                <w:sz w:val="20"/>
                              </w:rPr>
                              <w:t>東森購物</w:t>
                            </w:r>
                            <w:r w:rsidRPr="0040147D">
                              <w:rPr>
                                <w:rFonts w:ascii="標楷體" w:eastAsia="標楷體" w:hAnsi="標楷體" w:hint="eastAsia"/>
                                <w:sz w:val="20"/>
                              </w:rPr>
                              <w:t>）、</w:t>
                            </w:r>
                            <w:r w:rsidRPr="0040147D">
                              <w:rPr>
                                <w:rFonts w:ascii="標楷體" w:eastAsia="標楷體" w:hAnsi="標楷體"/>
                                <w:sz w:val="20"/>
                              </w:rPr>
                              <w:t>網路家庭國際資訊</w:t>
                            </w:r>
                            <w:r w:rsidRPr="0040147D">
                              <w:rPr>
                                <w:rFonts w:ascii="標楷體" w:eastAsia="標楷體" w:hAnsi="標楷體" w:hint="eastAsia"/>
                                <w:sz w:val="20"/>
                              </w:rPr>
                              <w:t>（</w:t>
                            </w:r>
                            <w:r w:rsidRPr="0040147D">
                              <w:rPr>
                                <w:rFonts w:ascii="標楷體" w:eastAsia="標楷體" w:hAnsi="標楷體"/>
                                <w:sz w:val="20"/>
                              </w:rPr>
                              <w:t>股</w:t>
                            </w:r>
                            <w:r w:rsidRPr="0040147D">
                              <w:rPr>
                                <w:rFonts w:ascii="標楷體" w:eastAsia="標楷體" w:hAnsi="標楷體" w:hint="eastAsia"/>
                                <w:sz w:val="20"/>
                              </w:rPr>
                              <w:t>）</w:t>
                            </w:r>
                            <w:r w:rsidRPr="0040147D">
                              <w:rPr>
                                <w:rFonts w:ascii="標楷體" w:eastAsia="標楷體" w:hAnsi="標楷體"/>
                                <w:sz w:val="20"/>
                              </w:rPr>
                              <w:t>公司</w:t>
                            </w:r>
                            <w:r w:rsidRPr="0040147D">
                              <w:rPr>
                                <w:rFonts w:ascii="標楷體" w:eastAsia="標楷體" w:hAnsi="標楷體" w:hint="eastAsia"/>
                                <w:sz w:val="20"/>
                              </w:rPr>
                              <w:t>（P</w:t>
                            </w:r>
                            <w:r w:rsidRPr="0040147D">
                              <w:rPr>
                                <w:rFonts w:ascii="標楷體" w:eastAsia="標楷體" w:hAnsi="標楷體"/>
                                <w:sz w:val="20"/>
                              </w:rPr>
                              <w:t>Chome</w:t>
                            </w:r>
                            <w:r w:rsidRPr="0040147D">
                              <w:rPr>
                                <w:rFonts w:ascii="標楷體" w:eastAsia="標楷體" w:hAnsi="標楷體" w:hint="eastAsia"/>
                                <w:sz w:val="20"/>
                              </w:rPr>
                              <w:t>購物）、</w:t>
                            </w:r>
                            <w:r w:rsidRPr="0040147D">
                              <w:rPr>
                                <w:rFonts w:ascii="標楷體" w:eastAsia="標楷體" w:hAnsi="標楷體"/>
                                <w:sz w:val="20"/>
                              </w:rPr>
                              <w:t>酷澎</w:t>
                            </w:r>
                            <w:r w:rsidRPr="0040147D">
                              <w:rPr>
                                <w:rFonts w:ascii="標楷體" w:eastAsia="標楷體" w:hAnsi="標楷體" w:hint="eastAsia"/>
                                <w:sz w:val="20"/>
                              </w:rPr>
                              <w:t>（</w:t>
                            </w:r>
                            <w:r w:rsidRPr="0040147D">
                              <w:rPr>
                                <w:rFonts w:ascii="標楷體" w:eastAsia="標楷體" w:hAnsi="標楷體"/>
                                <w:sz w:val="20"/>
                              </w:rPr>
                              <w:t>股</w:t>
                            </w:r>
                            <w:r w:rsidRPr="0040147D">
                              <w:rPr>
                                <w:rFonts w:ascii="標楷體" w:eastAsia="標楷體" w:hAnsi="標楷體" w:hint="eastAsia"/>
                                <w:sz w:val="20"/>
                              </w:rPr>
                              <w:t>）</w:t>
                            </w:r>
                            <w:r w:rsidRPr="0040147D">
                              <w:rPr>
                                <w:rFonts w:ascii="標楷體" w:eastAsia="標楷體" w:hAnsi="標楷體"/>
                                <w:sz w:val="20"/>
                              </w:rPr>
                              <w:t>公司</w:t>
                            </w:r>
                            <w:r w:rsidRPr="0040147D">
                              <w:rPr>
                                <w:rFonts w:ascii="標楷體" w:eastAsia="標楷體" w:hAnsi="標楷體" w:hint="eastAsia"/>
                                <w:sz w:val="20"/>
                              </w:rPr>
                              <w:t>（</w:t>
                            </w:r>
                            <w:r w:rsidRPr="0040147D">
                              <w:rPr>
                                <w:rFonts w:ascii="標楷體" w:eastAsia="標楷體" w:hAnsi="標楷體"/>
                                <w:sz w:val="20"/>
                              </w:rPr>
                              <w:t>Coupang</w:t>
                            </w:r>
                            <w:r w:rsidRPr="0040147D">
                              <w:rPr>
                                <w:rFonts w:ascii="標楷體" w:eastAsia="標楷體" w:hAnsi="標楷體" w:hint="eastAsia"/>
                                <w:sz w:val="20"/>
                              </w:rPr>
                              <w:t>）</w:t>
                            </w:r>
                          </w:p>
                        </w:tc>
                      </w:tr>
                      <w:tr w:rsidR="00A0212B" w:rsidRPr="009B0267" w14:paraId="647E4C65" w14:textId="77777777" w:rsidTr="00BB173C">
                        <w:trPr>
                          <w:trHeight w:val="317"/>
                          <w:jc w:val="center"/>
                        </w:trPr>
                        <w:tc>
                          <w:tcPr>
                            <w:tcW w:w="1644" w:type="dxa"/>
                            <w:shd w:val="clear" w:color="auto" w:fill="auto"/>
                            <w:vAlign w:val="center"/>
                          </w:tcPr>
                          <w:p w14:paraId="554B7DA0" w14:textId="77777777" w:rsidR="00A0212B" w:rsidRPr="0040147D" w:rsidRDefault="00A0212B" w:rsidP="00BB173C">
                            <w:pPr>
                              <w:spacing w:line="240" w:lineRule="exact"/>
                              <w:ind w:leftChars="-97" w:left="-1" w:rightChars="-106" w:right="-254" w:hangingChars="116" w:hanging="232"/>
                              <w:jc w:val="center"/>
                              <w:rPr>
                                <w:rFonts w:ascii="標楷體" w:eastAsia="標楷體" w:hAnsi="標楷體"/>
                                <w:sz w:val="20"/>
                              </w:rPr>
                            </w:pPr>
                            <w:r w:rsidRPr="0040147D">
                              <w:rPr>
                                <w:rFonts w:ascii="標楷體" w:eastAsia="標楷體" w:hAnsi="標楷體" w:hint="eastAsia"/>
                                <w:sz w:val="20"/>
                              </w:rPr>
                              <w:t>規劃評估中</w:t>
                            </w:r>
                          </w:p>
                        </w:tc>
                        <w:tc>
                          <w:tcPr>
                            <w:tcW w:w="3386" w:type="dxa"/>
                            <w:shd w:val="clear" w:color="auto" w:fill="auto"/>
                            <w:vAlign w:val="center"/>
                          </w:tcPr>
                          <w:p w14:paraId="4C1F3698" w14:textId="77777777" w:rsidR="00A0212B" w:rsidRPr="0040147D" w:rsidRDefault="00A0212B" w:rsidP="00BB173C">
                            <w:pPr>
                              <w:spacing w:line="240" w:lineRule="exact"/>
                              <w:jc w:val="both"/>
                              <w:rPr>
                                <w:rFonts w:ascii="標楷體" w:eastAsia="標楷體" w:hAnsi="標楷體"/>
                                <w:sz w:val="20"/>
                              </w:rPr>
                            </w:pPr>
                            <w:r w:rsidRPr="0040147D">
                              <w:rPr>
                                <w:rFonts w:ascii="標楷體" w:eastAsia="標楷體" w:hAnsi="標楷體"/>
                                <w:sz w:val="20"/>
                              </w:rPr>
                              <w:t>雅虎數位行銷</w:t>
                            </w:r>
                            <w:r w:rsidRPr="0040147D">
                              <w:rPr>
                                <w:rFonts w:ascii="標楷體" w:eastAsia="標楷體" w:hAnsi="標楷體" w:hint="eastAsia"/>
                                <w:sz w:val="20"/>
                              </w:rPr>
                              <w:t>（</w:t>
                            </w:r>
                            <w:r w:rsidRPr="0040147D">
                              <w:rPr>
                                <w:rFonts w:ascii="標楷體" w:eastAsia="標楷體" w:hAnsi="標楷體"/>
                                <w:sz w:val="20"/>
                              </w:rPr>
                              <w:t>股</w:t>
                            </w:r>
                            <w:r w:rsidRPr="0040147D">
                              <w:rPr>
                                <w:rFonts w:ascii="標楷體" w:eastAsia="標楷體" w:hAnsi="標楷體" w:hint="eastAsia"/>
                                <w:sz w:val="20"/>
                              </w:rPr>
                              <w:t>）</w:t>
                            </w:r>
                            <w:r w:rsidRPr="0040147D">
                              <w:rPr>
                                <w:rFonts w:ascii="標楷體" w:eastAsia="標楷體" w:hAnsi="標楷體"/>
                                <w:sz w:val="20"/>
                              </w:rPr>
                              <w:t>公司</w:t>
                            </w:r>
                            <w:r w:rsidRPr="0040147D">
                              <w:rPr>
                                <w:rFonts w:ascii="標楷體" w:eastAsia="標楷體" w:hAnsi="標楷體" w:hint="eastAsia"/>
                                <w:sz w:val="20"/>
                              </w:rPr>
                              <w:t>（Y</w:t>
                            </w:r>
                            <w:r w:rsidRPr="0040147D">
                              <w:rPr>
                                <w:rFonts w:ascii="標楷體" w:eastAsia="標楷體" w:hAnsi="標楷體"/>
                                <w:sz w:val="20"/>
                              </w:rPr>
                              <w:t>ahoo</w:t>
                            </w:r>
                            <w:r w:rsidRPr="0040147D">
                              <w:rPr>
                                <w:rFonts w:ascii="標楷體" w:eastAsia="標楷體" w:hAnsi="標楷體" w:hint="eastAsia"/>
                                <w:sz w:val="20"/>
                              </w:rPr>
                              <w:t>購物）、</w:t>
                            </w:r>
                            <w:hyperlink r:id="rId18" w:history="1">
                              <w:r w:rsidRPr="0040147D">
                                <w:rPr>
                                  <w:rFonts w:ascii="標楷體" w:eastAsia="標楷體" w:hAnsi="標楷體" w:hint="eastAsia"/>
                                  <w:sz w:val="20"/>
                                </w:rPr>
                                <w:t>新加坡商蝦皮娛樂電商有限公司台灣分公司</w:t>
                              </w:r>
                            </w:hyperlink>
                            <w:r w:rsidRPr="0040147D">
                              <w:rPr>
                                <w:rFonts w:ascii="標楷體" w:eastAsia="標楷體" w:hAnsi="標楷體" w:hint="eastAsia"/>
                                <w:sz w:val="20"/>
                              </w:rPr>
                              <w:t>（蝦皮購物）</w:t>
                            </w:r>
                          </w:p>
                        </w:tc>
                      </w:tr>
                    </w:tbl>
                    <w:p w14:paraId="5C459D1A" w14:textId="77777777" w:rsidR="00A0212B" w:rsidRPr="009B0267" w:rsidRDefault="00A0212B" w:rsidP="00407338">
                      <w:pPr>
                        <w:spacing w:line="240" w:lineRule="exact"/>
                        <w:ind w:leftChars="-12" w:left="-2" w:hangingChars="15" w:hanging="27"/>
                        <w:rPr>
                          <w:rFonts w:ascii="標楷體" w:eastAsia="標楷體" w:hAnsi="標楷體"/>
                          <w:sz w:val="18"/>
                          <w:szCs w:val="18"/>
                        </w:rPr>
                      </w:pPr>
                      <w:r w:rsidRPr="009B0267">
                        <w:rPr>
                          <w:rFonts w:ascii="標楷體" w:eastAsia="標楷體" w:hAnsi="標楷體" w:hint="eastAsia"/>
                          <w:sz w:val="18"/>
                          <w:szCs w:val="18"/>
                        </w:rPr>
                        <w:t>資料來源</w:t>
                      </w:r>
                      <w:r>
                        <w:rPr>
                          <w:rFonts w:ascii="標楷體" w:eastAsia="標楷體" w:hAnsi="標楷體" w:hint="eastAsia"/>
                          <w:sz w:val="18"/>
                          <w:szCs w:val="18"/>
                        </w:rPr>
                        <w:t>：</w:t>
                      </w:r>
                      <w:r w:rsidRPr="009B0267">
                        <w:rPr>
                          <w:rFonts w:ascii="標楷體" w:eastAsia="標楷體" w:hAnsi="標楷體" w:hint="eastAsia"/>
                          <w:sz w:val="18"/>
                          <w:szCs w:val="18"/>
                        </w:rPr>
                        <w:t>整</w:t>
                      </w:r>
                      <w:r w:rsidRPr="009B0267">
                        <w:rPr>
                          <w:rFonts w:ascii="標楷體" w:eastAsia="標楷體" w:hAnsi="標楷體"/>
                          <w:sz w:val="18"/>
                          <w:szCs w:val="18"/>
                        </w:rPr>
                        <w:t>理自</w:t>
                      </w:r>
                      <w:r w:rsidRPr="009B0267">
                        <w:rPr>
                          <w:rFonts w:ascii="標楷體" w:eastAsia="標楷體" w:hAnsi="標楷體" w:hint="eastAsia"/>
                          <w:sz w:val="18"/>
                          <w:szCs w:val="18"/>
                        </w:rPr>
                        <w:t>數</w:t>
                      </w:r>
                      <w:r>
                        <w:rPr>
                          <w:rFonts w:ascii="標楷體" w:eastAsia="標楷體" w:hAnsi="標楷體" w:hint="eastAsia"/>
                          <w:sz w:val="18"/>
                          <w:szCs w:val="18"/>
                        </w:rPr>
                        <w:t>位發展</w:t>
                      </w:r>
                      <w:r w:rsidRPr="009B0267">
                        <w:rPr>
                          <w:rFonts w:ascii="標楷體" w:eastAsia="標楷體" w:hAnsi="標楷體" w:hint="eastAsia"/>
                          <w:sz w:val="18"/>
                          <w:szCs w:val="18"/>
                        </w:rPr>
                        <w:t>部提供資</w:t>
                      </w:r>
                      <w:r w:rsidRPr="009B0267">
                        <w:rPr>
                          <w:rFonts w:ascii="標楷體" w:eastAsia="標楷體" w:hAnsi="標楷體"/>
                          <w:sz w:val="18"/>
                          <w:szCs w:val="18"/>
                        </w:rPr>
                        <w:t>料</w:t>
                      </w:r>
                      <w:r w:rsidRPr="009B0267">
                        <w:rPr>
                          <w:rFonts w:ascii="標楷體" w:eastAsia="標楷體" w:hAnsi="標楷體" w:hint="eastAsia"/>
                          <w:sz w:val="18"/>
                          <w:szCs w:val="18"/>
                        </w:rPr>
                        <w:t>。</w:t>
                      </w:r>
                    </w:p>
                  </w:txbxContent>
                </v:textbox>
                <w10:wrap type="square" anchorx="margin"/>
              </v:shape>
            </w:pict>
          </mc:Fallback>
        </mc:AlternateContent>
      </w:r>
      <w:r w:rsidRPr="00511A10">
        <w:rPr>
          <w:rFonts w:ascii="標楷體" w:eastAsia="標楷體" w:hAnsi="標楷體" w:hint="eastAsia"/>
          <w:spacing w:val="-2"/>
          <w:szCs w:val="32"/>
        </w:rPr>
        <w:t>商物流隱碼技術共通介面標準並推廣物流隱碼服務，截至1</w:t>
      </w:r>
      <w:r w:rsidRPr="00511A10">
        <w:rPr>
          <w:rFonts w:ascii="標楷體" w:eastAsia="標楷體" w:hAnsi="標楷體"/>
          <w:spacing w:val="-2"/>
          <w:szCs w:val="32"/>
        </w:rPr>
        <w:t>12</w:t>
      </w:r>
      <w:r w:rsidRPr="00511A10">
        <w:rPr>
          <w:rFonts w:ascii="標楷體" w:eastAsia="標楷體" w:hAnsi="標楷體" w:hint="eastAsia"/>
          <w:spacing w:val="-2"/>
          <w:szCs w:val="32"/>
        </w:rPr>
        <w:t>年底止，計有3家業者完成導入物流隱碼、</w:t>
      </w:r>
      <w:r w:rsidR="009011F1">
        <w:rPr>
          <w:rFonts w:ascii="標楷體" w:eastAsia="標楷體" w:hAnsi="標楷體" w:hint="eastAsia"/>
          <w:spacing w:val="-2"/>
          <w:szCs w:val="32"/>
        </w:rPr>
        <w:t>3</w:t>
      </w:r>
      <w:r w:rsidRPr="00511A10">
        <w:rPr>
          <w:rFonts w:ascii="標楷體" w:eastAsia="標楷體" w:hAnsi="標楷體" w:hint="eastAsia"/>
          <w:spacing w:val="-2"/>
          <w:szCs w:val="32"/>
        </w:rPr>
        <w:t>家業者進入場域驗證中，及</w:t>
      </w:r>
      <w:r w:rsidR="009011F1">
        <w:rPr>
          <w:rFonts w:ascii="標楷體" w:eastAsia="標楷體" w:hAnsi="標楷體" w:hint="eastAsia"/>
          <w:spacing w:val="-2"/>
          <w:szCs w:val="32"/>
        </w:rPr>
        <w:t>2</w:t>
      </w:r>
      <w:r w:rsidRPr="00511A10">
        <w:rPr>
          <w:rFonts w:ascii="標楷體" w:eastAsia="標楷體" w:hAnsi="標楷體" w:hint="eastAsia"/>
          <w:spacing w:val="-2"/>
          <w:szCs w:val="32"/>
        </w:rPr>
        <w:t>家業者研議規劃中（</w:t>
      </w:r>
      <w:r w:rsidRPr="006678C5">
        <w:rPr>
          <w:rFonts w:ascii="標楷體" w:eastAsia="標楷體" w:hAnsi="標楷體" w:hint="eastAsia"/>
          <w:spacing w:val="-2"/>
          <w:szCs w:val="32"/>
        </w:rPr>
        <w:t>表</w:t>
      </w:r>
      <w:r w:rsidR="002974C1" w:rsidRPr="006678C5">
        <w:rPr>
          <w:rFonts w:ascii="標楷體" w:eastAsia="標楷體" w:hAnsi="標楷體" w:hint="eastAsia"/>
          <w:spacing w:val="-2"/>
          <w:szCs w:val="32"/>
        </w:rPr>
        <w:t>8</w:t>
      </w:r>
      <w:r w:rsidRPr="00511A10">
        <w:rPr>
          <w:rFonts w:ascii="標楷體" w:eastAsia="標楷體" w:hAnsi="標楷體" w:hint="eastAsia"/>
          <w:spacing w:val="-2"/>
          <w:szCs w:val="32"/>
        </w:rPr>
        <w:t>），已具</w:t>
      </w:r>
      <w:r w:rsidRPr="00E31547">
        <w:rPr>
          <w:rFonts w:ascii="標楷體" w:eastAsia="標楷體" w:hAnsi="標楷體" w:hint="eastAsia"/>
          <w:spacing w:val="4"/>
          <w:szCs w:val="32"/>
        </w:rPr>
        <w:t>初步成果。另據未來流通研究所彙整臺灣零售及電商全體次產業結構年度數據，</w:t>
      </w:r>
      <w:r w:rsidRPr="00E31547">
        <w:rPr>
          <w:rFonts w:ascii="標楷體" w:eastAsia="標楷體" w:hAnsi="標楷體"/>
          <w:spacing w:val="4"/>
          <w:szCs w:val="32"/>
        </w:rPr>
        <w:t>2022</w:t>
      </w:r>
      <w:r w:rsidRPr="00E31547">
        <w:rPr>
          <w:rFonts w:ascii="標楷體" w:eastAsia="標楷體" w:hAnsi="標楷體" w:hint="eastAsia"/>
          <w:spacing w:val="4"/>
          <w:szCs w:val="32"/>
        </w:rPr>
        <w:t>年總體零售業（包含實體店零售業及無店面零售業）整體產業規模為</w:t>
      </w:r>
      <w:r w:rsidRPr="00E31547">
        <w:rPr>
          <w:rFonts w:ascii="標楷體" w:eastAsia="標楷體" w:hAnsi="標楷體"/>
          <w:spacing w:val="4"/>
          <w:szCs w:val="32"/>
        </w:rPr>
        <w:t>4兆2,815</w:t>
      </w:r>
      <w:r w:rsidRPr="00E31547">
        <w:rPr>
          <w:rFonts w:ascii="標楷體" w:eastAsia="標楷體" w:hAnsi="標楷體" w:hint="eastAsia"/>
          <w:spacing w:val="4"/>
          <w:szCs w:val="32"/>
        </w:rPr>
        <w:t>億元，其中實體店零售業之網路銷售額為</w:t>
      </w:r>
      <w:r w:rsidRPr="00E31547">
        <w:rPr>
          <w:rFonts w:ascii="標楷體" w:eastAsia="標楷體" w:hAnsi="標楷體"/>
          <w:spacing w:val="4"/>
          <w:szCs w:val="32"/>
        </w:rPr>
        <w:t>1,589</w:t>
      </w:r>
      <w:r w:rsidRPr="00E31547">
        <w:rPr>
          <w:rFonts w:ascii="標楷體" w:eastAsia="標楷體" w:hAnsi="標楷體" w:hint="eastAsia"/>
          <w:spacing w:val="4"/>
          <w:szCs w:val="32"/>
        </w:rPr>
        <w:t>億元、無店面零售業之網路銷售額為</w:t>
      </w:r>
      <w:r w:rsidRPr="00E31547">
        <w:rPr>
          <w:rFonts w:ascii="標楷體" w:eastAsia="標楷體" w:hAnsi="標楷體"/>
          <w:spacing w:val="4"/>
          <w:szCs w:val="32"/>
        </w:rPr>
        <w:t>3,341</w:t>
      </w:r>
      <w:r w:rsidRPr="00E31547">
        <w:rPr>
          <w:rFonts w:ascii="標楷體" w:eastAsia="標楷體" w:hAnsi="標楷體" w:hint="eastAsia"/>
          <w:spacing w:val="4"/>
          <w:szCs w:val="32"/>
        </w:rPr>
        <w:t>億元。又實體店零售業之網路銷售額占總體零售業網路銷售額已達</w:t>
      </w:r>
      <w:r w:rsidRPr="00E31547">
        <w:rPr>
          <w:rFonts w:ascii="標楷體" w:eastAsia="標楷體" w:hAnsi="標楷體"/>
          <w:spacing w:val="4"/>
          <w:szCs w:val="32"/>
        </w:rPr>
        <w:t>32.20</w:t>
      </w:r>
      <w:r w:rsidRPr="00E31547">
        <w:rPr>
          <w:rFonts w:ascii="標楷體" w:eastAsia="標楷體" w:hAnsi="標楷體" w:hint="eastAsia"/>
          <w:spacing w:val="4"/>
          <w:szCs w:val="32"/>
        </w:rPr>
        <w:t>％，顯示民眾消費行為轉變，實體業者轉進電商通路比率大幅提升，惟</w:t>
      </w:r>
      <w:r w:rsidR="00673A1D">
        <w:rPr>
          <w:rFonts w:ascii="標楷體" w:eastAsia="標楷體" w:hAnsi="標楷體" w:hint="eastAsia"/>
          <w:spacing w:val="4"/>
          <w:szCs w:val="32"/>
        </w:rPr>
        <w:t>新世代</w:t>
      </w:r>
      <w:r w:rsidRPr="00E31547">
        <w:rPr>
          <w:rFonts w:ascii="標楷體" w:eastAsia="標楷體" w:hAnsi="標楷體" w:hint="eastAsia"/>
          <w:spacing w:val="4"/>
          <w:szCs w:val="32"/>
        </w:rPr>
        <w:t>打</w:t>
      </w:r>
      <w:r w:rsidR="00673A1D">
        <w:rPr>
          <w:rFonts w:ascii="標楷體" w:eastAsia="標楷體" w:hAnsi="標楷體" w:hint="eastAsia"/>
          <w:spacing w:val="4"/>
          <w:szCs w:val="32"/>
        </w:rPr>
        <w:t>擊</w:t>
      </w:r>
      <w:r w:rsidRPr="00E31547">
        <w:rPr>
          <w:rFonts w:ascii="標楷體" w:eastAsia="標楷體" w:hAnsi="標楷體" w:hint="eastAsia"/>
          <w:spacing w:val="4"/>
          <w:szCs w:val="32"/>
        </w:rPr>
        <w:t>詐</w:t>
      </w:r>
      <w:r w:rsidR="00673A1D">
        <w:rPr>
          <w:rFonts w:ascii="標楷體" w:eastAsia="標楷體" w:hAnsi="標楷體" w:hint="eastAsia"/>
          <w:spacing w:val="4"/>
          <w:szCs w:val="32"/>
        </w:rPr>
        <w:t>欺策略行動</w:t>
      </w:r>
      <w:r w:rsidRPr="00E31547">
        <w:rPr>
          <w:rFonts w:ascii="標楷體" w:eastAsia="標楷體" w:hAnsi="標楷體" w:hint="eastAsia"/>
          <w:spacing w:val="4"/>
          <w:szCs w:val="32"/>
        </w:rPr>
        <w:t>綱領所列物流隱碼服務推動對象，僅有電商業者，尚未包含實體店零售業有從事網路銷售之相關業者（舉如：好市多、家樂福、大潤發及大樹藥局等），影響堵詐策略執行成效</w:t>
      </w:r>
      <w:r w:rsidR="000F6BE4">
        <w:rPr>
          <w:rFonts w:ascii="標楷體" w:eastAsia="標楷體" w:hAnsi="標楷體" w:hint="eastAsia"/>
          <w:spacing w:val="4"/>
          <w:szCs w:val="32"/>
        </w:rPr>
        <w:t>。</w:t>
      </w:r>
      <w:r w:rsidRPr="00E31547">
        <w:rPr>
          <w:rFonts w:ascii="標楷體" w:eastAsia="標楷體" w:hAnsi="標楷體" w:hint="eastAsia"/>
          <w:spacing w:val="4"/>
          <w:szCs w:val="32"/>
        </w:rPr>
        <w:t>經函請行政院督促研議就整體網路購物行為推行物流隱碼機制，以提高整體打擊詐欺策略之成效，降低民眾個資外洩機率。據復：數位發展部與國內三大電信業者合作，建立隱碼共通介面以降低產業導入成本，</w:t>
      </w:r>
      <w:r w:rsidRPr="00E31547">
        <w:rPr>
          <w:rFonts w:ascii="標楷體" w:eastAsia="標楷體" w:hAnsi="標楷體"/>
          <w:spacing w:val="4"/>
          <w:szCs w:val="32"/>
        </w:rPr>
        <w:t>112年以電商業者為優先導入對象，建立示範案例，113年將持續與電信業者合作協助中小型業者導入。</w:t>
      </w:r>
    </w:p>
    <w:p w14:paraId="5AC399D2" w14:textId="130030B8" w:rsidR="00BB173C" w:rsidRPr="00E31547" w:rsidRDefault="00BB173C" w:rsidP="004D7C92">
      <w:pPr>
        <w:overflowPunct w:val="0"/>
        <w:autoSpaceDE w:val="0"/>
        <w:autoSpaceDN w:val="0"/>
        <w:spacing w:beforeLines="20" w:before="72" w:afterLines="20" w:after="72" w:line="420" w:lineRule="exact"/>
        <w:ind w:firstLineChars="200" w:firstLine="577"/>
        <w:jc w:val="both"/>
        <w:outlineLvl w:val="1"/>
        <w:rPr>
          <w:rFonts w:ascii="標楷體" w:eastAsia="標楷體" w:hAnsi="標楷體" w:cs="新細明體"/>
          <w:color w:val="0D0D0D" w:themeColor="text1" w:themeTint="F2"/>
          <w:spacing w:val="4"/>
          <w:kern w:val="0"/>
          <w:szCs w:val="24"/>
        </w:rPr>
      </w:pPr>
      <w:r w:rsidRPr="00E31547">
        <w:rPr>
          <w:rFonts w:ascii="標楷體" w:eastAsia="標楷體" w:hAnsi="標楷體" w:hint="eastAsia"/>
          <w:b/>
          <w:color w:val="000000" w:themeColor="text1"/>
          <w:spacing w:val="4"/>
          <w:sz w:val="28"/>
          <w:szCs w:val="28"/>
        </w:rPr>
        <w:t>（六）</w:t>
      </w:r>
      <w:r w:rsidRPr="00E31547">
        <w:rPr>
          <w:rFonts w:ascii="標楷體" w:eastAsia="標楷體" w:hAnsi="標楷體" w:hint="eastAsia"/>
          <w:b/>
          <w:bCs/>
          <w:snapToGrid w:val="0"/>
          <w:color w:val="0D0D0D" w:themeColor="text1" w:themeTint="F2"/>
          <w:spacing w:val="4"/>
          <w:kern w:val="0"/>
          <w:sz w:val="28"/>
          <w:szCs w:val="28"/>
        </w:rPr>
        <w:t xml:space="preserve">　國家通訊傳播委員會研擬相關策略防堵資通訊服務淪為犯罪工具，有助毀斷施詐管道，惟於績效指標訂定、補助作業前置規劃及督導電信事業落實風險管理等方面未臻周妥，允宜持續精進堵詐措施，俾有效遏止詐欺案件發生。</w:t>
      </w:r>
    </w:p>
    <w:p w14:paraId="1CF0EB2D" w14:textId="0B022414" w:rsidR="00BB173C" w:rsidRPr="00673A1D" w:rsidRDefault="00BB173C" w:rsidP="00DC30AC">
      <w:pPr>
        <w:overflowPunct w:val="0"/>
        <w:autoSpaceDE w:val="0"/>
        <w:autoSpaceDN w:val="0"/>
        <w:spacing w:line="400" w:lineRule="exact"/>
        <w:ind w:firstLineChars="200" w:firstLine="496"/>
        <w:jc w:val="both"/>
        <w:rPr>
          <w:rFonts w:ascii="標楷體" w:eastAsia="標楷體" w:hAnsi="標楷體"/>
          <w:bCs/>
          <w:noProof/>
          <w:color w:val="0D0D0D" w:themeColor="text1" w:themeTint="F2"/>
          <w:spacing w:val="4"/>
        </w:rPr>
      </w:pPr>
      <w:r w:rsidRPr="00673A1D">
        <w:rPr>
          <w:rFonts w:ascii="標楷體" w:eastAsia="標楷體" w:hAnsi="標楷體" w:hint="eastAsia"/>
          <w:bCs/>
          <w:noProof/>
          <w:color w:val="0D0D0D" w:themeColor="text1" w:themeTint="F2"/>
          <w:spacing w:val="4"/>
        </w:rPr>
        <w:t>行政院為展現政府打擊詐欺犯罪決心，於</w:t>
      </w:r>
      <w:r w:rsidRPr="00673A1D">
        <w:rPr>
          <w:rFonts w:ascii="標楷體" w:eastAsia="標楷體" w:hAnsi="標楷體"/>
          <w:bCs/>
          <w:noProof/>
          <w:color w:val="0D0D0D" w:themeColor="text1" w:themeTint="F2"/>
          <w:spacing w:val="4"/>
        </w:rPr>
        <w:t>111年7月15日核定「新世代打擊詐欺策略行動綱領」</w:t>
      </w:r>
      <w:r w:rsidRPr="00673A1D">
        <w:rPr>
          <w:rFonts w:ascii="標楷體" w:eastAsia="標楷體" w:hAnsi="標楷體" w:hint="eastAsia"/>
          <w:bCs/>
          <w:noProof/>
          <w:color w:val="0D0D0D" w:themeColor="text1" w:themeTint="F2"/>
          <w:spacing w:val="4"/>
        </w:rPr>
        <w:t>，</w:t>
      </w:r>
      <w:r w:rsidR="008B2A34" w:rsidRPr="00673A1D">
        <w:rPr>
          <w:rFonts w:ascii="標楷體" w:eastAsia="標楷體" w:hAnsi="標楷體" w:hint="eastAsia"/>
          <w:bCs/>
          <w:spacing w:val="4"/>
          <w:szCs w:val="24"/>
        </w:rPr>
        <w:t>依據該綱領載列，國家通訊傳播委員會擔任「堵詐－電信網路」面向統籌機關，已規劃主辦「防杜境外竄改來話詐騙」等</w:t>
      </w:r>
      <w:r w:rsidR="008B2A34" w:rsidRPr="00673A1D">
        <w:rPr>
          <w:rFonts w:ascii="標楷體" w:eastAsia="標楷體" w:hAnsi="標楷體"/>
          <w:bCs/>
          <w:spacing w:val="4"/>
          <w:szCs w:val="24"/>
        </w:rPr>
        <w:t>5項策略，及訂定「每年攔阻簡訊3,000萬則」、「每年人頭門號停斷話5,000門」等2項分項指標，期自源頭完善管制機制，防堵資通訊服務淪為犯罪工具，毀斷詐欺犯嫌施詐管道。嗣行</w:t>
      </w:r>
      <w:r w:rsidR="008B2A34" w:rsidRPr="00673A1D">
        <w:rPr>
          <w:rFonts w:ascii="標楷體" w:eastAsia="標楷體" w:hAnsi="標楷體" w:hint="eastAsia"/>
          <w:bCs/>
          <w:spacing w:val="4"/>
          <w:szCs w:val="24"/>
        </w:rPr>
        <w:t>政院審酌防制詐欺犯罪尚存諸多待解決課題，指示相關部會全面盤點</w:t>
      </w:r>
      <w:r w:rsidR="00DC30AC">
        <w:rPr>
          <w:rFonts w:ascii="標楷體" w:eastAsia="標楷體" w:hAnsi="標楷體" w:hint="eastAsia"/>
          <w:bCs/>
          <w:spacing w:val="4"/>
          <w:szCs w:val="24"/>
        </w:rPr>
        <w:t>新世代</w:t>
      </w:r>
      <w:r w:rsidR="008B2A34" w:rsidRPr="00673A1D">
        <w:rPr>
          <w:rFonts w:ascii="標楷體" w:eastAsia="標楷體" w:hAnsi="標楷體" w:hint="eastAsia"/>
          <w:bCs/>
          <w:spacing w:val="4"/>
          <w:szCs w:val="24"/>
        </w:rPr>
        <w:t>打</w:t>
      </w:r>
      <w:r w:rsidR="00DC30AC">
        <w:rPr>
          <w:rFonts w:ascii="標楷體" w:eastAsia="標楷體" w:hAnsi="標楷體" w:hint="eastAsia"/>
          <w:bCs/>
          <w:spacing w:val="4"/>
          <w:szCs w:val="24"/>
        </w:rPr>
        <w:t>擊</w:t>
      </w:r>
      <w:r w:rsidR="008B2A34" w:rsidRPr="00673A1D">
        <w:rPr>
          <w:rFonts w:ascii="標楷體" w:eastAsia="標楷體" w:hAnsi="標楷體" w:hint="eastAsia"/>
          <w:bCs/>
          <w:spacing w:val="4"/>
          <w:szCs w:val="24"/>
        </w:rPr>
        <w:t>詐</w:t>
      </w:r>
      <w:r w:rsidR="00DC30AC">
        <w:rPr>
          <w:rFonts w:ascii="標楷體" w:eastAsia="標楷體" w:hAnsi="標楷體" w:hint="eastAsia"/>
          <w:bCs/>
          <w:spacing w:val="4"/>
          <w:szCs w:val="24"/>
        </w:rPr>
        <w:t>欺策略行動</w:t>
      </w:r>
      <w:r w:rsidR="008B2A34" w:rsidRPr="00673A1D">
        <w:rPr>
          <w:rFonts w:ascii="標楷體" w:eastAsia="標楷體" w:hAnsi="標楷體" w:hint="eastAsia"/>
          <w:bCs/>
          <w:spacing w:val="4"/>
          <w:szCs w:val="24"/>
        </w:rPr>
        <w:t>綱領</w:t>
      </w:r>
      <w:r w:rsidR="00DC30AC">
        <w:rPr>
          <w:rFonts w:ascii="標楷體" w:eastAsia="標楷體" w:hAnsi="標楷體" w:hint="eastAsia"/>
          <w:bCs/>
          <w:spacing w:val="4"/>
          <w:szCs w:val="24"/>
        </w:rPr>
        <w:t>之</w:t>
      </w:r>
      <w:r w:rsidR="008B2A34" w:rsidRPr="00673A1D">
        <w:rPr>
          <w:rFonts w:ascii="標楷體" w:eastAsia="標楷體" w:hAnsi="標楷體" w:hint="eastAsia"/>
          <w:bCs/>
          <w:spacing w:val="4"/>
          <w:szCs w:val="24"/>
        </w:rPr>
        <w:t>策略暨人力、物力及經費等，因應當前詐欺案件類型，據以精進打擊詐欺策略與分項指標，於</w:t>
      </w:r>
      <w:r w:rsidR="008B2A34" w:rsidRPr="00673A1D">
        <w:rPr>
          <w:rFonts w:ascii="標楷體" w:eastAsia="標楷體" w:hAnsi="標楷體"/>
          <w:bCs/>
          <w:spacing w:val="4"/>
          <w:szCs w:val="24"/>
        </w:rPr>
        <w:t>112年7月25日核定「新世代打擊詐欺策略行動綱領1.5版</w:t>
      </w:r>
      <w:r w:rsidR="008B2A34" w:rsidRPr="00673A1D">
        <w:rPr>
          <w:rFonts w:ascii="標楷體" w:eastAsia="標楷體" w:hAnsi="標楷體" w:hint="eastAsia"/>
          <w:bCs/>
          <w:spacing w:val="4"/>
          <w:szCs w:val="24"/>
        </w:rPr>
        <w:t>」，並延長實施期程至</w:t>
      </w:r>
      <w:r w:rsidR="008B2A34" w:rsidRPr="00673A1D">
        <w:rPr>
          <w:rFonts w:ascii="標楷體" w:eastAsia="標楷體" w:hAnsi="標楷體"/>
          <w:bCs/>
          <w:spacing w:val="4"/>
          <w:szCs w:val="24"/>
        </w:rPr>
        <w:t>113年12月31日</w:t>
      </w:r>
      <w:r w:rsidRPr="00673A1D">
        <w:rPr>
          <w:rFonts w:ascii="標楷體" w:eastAsia="標楷體" w:hAnsi="標楷體" w:hint="eastAsia"/>
          <w:bCs/>
          <w:noProof/>
          <w:color w:val="0D0D0D" w:themeColor="text1" w:themeTint="F2"/>
          <w:spacing w:val="4"/>
        </w:rPr>
        <w:t>。經查國家通訊傳播委員會執行情形，核有下列事項：</w:t>
      </w:r>
    </w:p>
    <w:p w14:paraId="617AE7AD" w14:textId="4ECCABC8" w:rsidR="00BB173C" w:rsidRPr="00E31547" w:rsidRDefault="00BB173C" w:rsidP="004D7C92">
      <w:pPr>
        <w:overflowPunct w:val="0"/>
        <w:spacing w:line="420" w:lineRule="exact"/>
        <w:ind w:firstLineChars="450" w:firstLine="1081"/>
        <w:jc w:val="both"/>
        <w:rPr>
          <w:rFonts w:ascii="標楷體" w:eastAsia="標楷體" w:hAnsi="標楷體"/>
          <w:spacing w:val="8"/>
          <w:szCs w:val="24"/>
        </w:rPr>
      </w:pPr>
      <w:r w:rsidRPr="009D11AD">
        <w:rPr>
          <w:rFonts w:ascii="標楷體" w:eastAsia="標楷體" w:hAnsi="標楷體" w:hint="eastAsia"/>
          <w:b/>
          <w:szCs w:val="24"/>
        </w:rPr>
        <w:t>1</w:t>
      </w:r>
      <w:r w:rsidRPr="009D11AD">
        <w:rPr>
          <w:rFonts w:ascii="標楷體" w:eastAsia="標楷體" w:hAnsi="標楷體"/>
          <w:b/>
          <w:szCs w:val="24"/>
        </w:rPr>
        <w:t>.</w:t>
      </w:r>
      <w:r w:rsidRPr="009D11AD">
        <w:rPr>
          <w:rFonts w:ascii="標楷體" w:eastAsia="標楷體" w:hAnsi="標楷體" w:hint="eastAsia"/>
          <w:b/>
          <w:szCs w:val="24"/>
        </w:rPr>
        <w:t xml:space="preserve">　</w:t>
      </w:r>
      <w:r w:rsidRPr="00C30430">
        <w:rPr>
          <w:rFonts w:ascii="標楷體" w:eastAsia="標楷體" w:hAnsi="標楷體" w:hint="eastAsia"/>
          <w:b/>
          <w:szCs w:val="24"/>
        </w:rPr>
        <w:t>為防堵資通訊服務淪為犯罪工具，已訂定堵詐策略及分項指標並納入年度績效考核，惟未滾動修正策略及指標內容，以有效反映業務推動實況，允宜檢討研謀改善，俾增進外</w:t>
      </w:r>
      <w:r w:rsidRPr="00C30430">
        <w:rPr>
          <w:rFonts w:ascii="標楷體" w:eastAsia="標楷體" w:hAnsi="標楷體" w:hint="eastAsia"/>
          <w:b/>
          <w:szCs w:val="24"/>
        </w:rPr>
        <w:lastRenderedPageBreak/>
        <w:t>界瞭解政府推動打擊詐欺情形：</w:t>
      </w:r>
      <w:r w:rsidRPr="00C30430">
        <w:rPr>
          <w:rFonts w:ascii="標楷體" w:eastAsia="標楷體" w:hAnsi="標楷體" w:hint="eastAsia"/>
          <w:bCs/>
          <w:szCs w:val="24"/>
        </w:rPr>
        <w:t>國家通訊傳播委員會雖於</w:t>
      </w:r>
      <w:r w:rsidR="00DC36B0" w:rsidRPr="00DC36B0">
        <w:rPr>
          <w:rFonts w:ascii="標楷體" w:eastAsia="標楷體" w:hAnsi="標楷體" w:hint="eastAsia"/>
          <w:bCs/>
          <w:szCs w:val="24"/>
        </w:rPr>
        <w:t>新世代打擊詐欺策略行動綱領1.5版</w:t>
      </w:r>
      <w:r w:rsidR="00407338" w:rsidRPr="00E31547">
        <w:rPr>
          <w:rFonts w:ascii="標楷體" w:eastAsia="標楷體" w:hAnsi="標楷體"/>
          <w:bCs/>
          <w:noProof/>
          <w:color w:val="000000"/>
          <w:spacing w:val="8"/>
          <w:kern w:val="0"/>
        </w:rPr>
        <mc:AlternateContent>
          <mc:Choice Requires="wps">
            <w:drawing>
              <wp:anchor distT="45720" distB="45720" distL="71755" distR="71755" simplePos="0" relativeHeight="251672576" behindDoc="1" locked="0" layoutInCell="1" allowOverlap="1" wp14:anchorId="7344F26E" wp14:editId="2ACAC306">
                <wp:simplePos x="0" y="0"/>
                <wp:positionH relativeFrom="column">
                  <wp:posOffset>2894330</wp:posOffset>
                </wp:positionH>
                <wp:positionV relativeFrom="paragraph">
                  <wp:posOffset>410845</wp:posOffset>
                </wp:positionV>
                <wp:extent cx="3396615" cy="3441700"/>
                <wp:effectExtent l="0" t="0" r="0" b="6350"/>
                <wp:wrapTight wrapText="bothSides">
                  <wp:wrapPolygon edited="0">
                    <wp:start x="0" y="0"/>
                    <wp:lineTo x="0" y="21520"/>
                    <wp:lineTo x="21443" y="21520"/>
                    <wp:lineTo x="21443" y="0"/>
                    <wp:lineTo x="0" y="0"/>
                  </wp:wrapPolygon>
                </wp:wrapTight>
                <wp:docPr id="484" name="文字方塊 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6615" cy="344170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5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1346"/>
                              <w:gridCol w:w="1925"/>
                            </w:tblGrid>
                            <w:tr w:rsidR="00A0212B" w:rsidRPr="00E76A8D" w14:paraId="2D73706F" w14:textId="77777777" w:rsidTr="00F723DB">
                              <w:trPr>
                                <w:jc w:val="center"/>
                              </w:trPr>
                              <w:tc>
                                <w:tcPr>
                                  <w:tcW w:w="5232" w:type="dxa"/>
                                  <w:gridSpan w:val="3"/>
                                  <w:tcBorders>
                                    <w:top w:val="nil"/>
                                    <w:left w:val="nil"/>
                                    <w:right w:val="nil"/>
                                  </w:tcBorders>
                                  <w:shd w:val="clear" w:color="auto" w:fill="auto"/>
                                </w:tcPr>
                                <w:p w14:paraId="3818E0C3" w14:textId="77777777" w:rsidR="00A0212B" w:rsidRPr="009B6372" w:rsidRDefault="00A0212B" w:rsidP="00AD2E6F">
                                  <w:pPr>
                                    <w:spacing w:afterLines="25" w:after="90" w:line="280" w:lineRule="exact"/>
                                    <w:ind w:leftChars="-15" w:left="603" w:rightChars="-15" w:right="-36" w:hangingChars="280" w:hanging="639"/>
                                    <w:jc w:val="both"/>
                                    <w:rPr>
                                      <w:rFonts w:ascii="標楷體" w:eastAsia="標楷體" w:hAnsi="標楷體"/>
                                      <w:b/>
                                      <w:bCs/>
                                      <w:spacing w:val="-6"/>
                                    </w:rPr>
                                  </w:pPr>
                                  <w:r w:rsidRPr="009B6372">
                                    <w:rPr>
                                      <w:rFonts w:ascii="標楷體" w:eastAsia="標楷體" w:hAnsi="標楷體" w:hint="eastAsia"/>
                                      <w:b/>
                                      <w:bCs/>
                                      <w:spacing w:val="-6"/>
                                    </w:rPr>
                                    <w:t>表</w:t>
                                  </w:r>
                                  <w:r>
                                    <w:rPr>
                                      <w:rFonts w:ascii="標楷體" w:eastAsia="標楷體" w:hAnsi="標楷體"/>
                                      <w:b/>
                                      <w:bCs/>
                                      <w:spacing w:val="-6"/>
                                    </w:rPr>
                                    <w:t>9</w:t>
                                  </w:r>
                                  <w:r w:rsidRPr="009B6372">
                                    <w:rPr>
                                      <w:rFonts w:ascii="標楷體" w:eastAsia="標楷體" w:hAnsi="標楷體" w:hint="eastAsia"/>
                                      <w:b/>
                                      <w:bCs/>
                                      <w:spacing w:val="-6"/>
                                    </w:rPr>
                                    <w:t xml:space="preserve">　「堵詐－電信網路」面向之策略及分項指標</w:t>
                                  </w:r>
                                </w:p>
                              </w:tc>
                            </w:tr>
                            <w:tr w:rsidR="00A0212B" w:rsidRPr="00E76A8D" w14:paraId="357F02EB" w14:textId="77777777" w:rsidTr="00F723DB">
                              <w:trPr>
                                <w:jc w:val="center"/>
                              </w:trPr>
                              <w:tc>
                                <w:tcPr>
                                  <w:tcW w:w="1961" w:type="dxa"/>
                                  <w:vMerge w:val="restart"/>
                                  <w:shd w:val="clear" w:color="auto" w:fill="auto"/>
                                  <w:vAlign w:val="center"/>
                                </w:tcPr>
                                <w:p w14:paraId="40AD12C3" w14:textId="77777777" w:rsidR="00A0212B" w:rsidRPr="00E76A8D" w:rsidRDefault="00A0212B" w:rsidP="00BB173C">
                                  <w:pPr>
                                    <w:spacing w:line="240" w:lineRule="exact"/>
                                    <w:jc w:val="center"/>
                                    <w:rPr>
                                      <w:rFonts w:ascii="標楷體" w:eastAsia="標楷體" w:hAnsi="標楷體"/>
                                      <w:snapToGrid w:val="0"/>
                                      <w:kern w:val="0"/>
                                      <w:sz w:val="20"/>
                                    </w:rPr>
                                  </w:pPr>
                                  <w:r w:rsidRPr="00E76A8D">
                                    <w:rPr>
                                      <w:rFonts w:ascii="標楷體" w:eastAsia="標楷體" w:hAnsi="標楷體" w:hint="eastAsia"/>
                                      <w:snapToGrid w:val="0"/>
                                      <w:kern w:val="0"/>
                                      <w:sz w:val="20"/>
                                    </w:rPr>
                                    <w:t>策　略</w:t>
                                  </w:r>
                                </w:p>
                              </w:tc>
                              <w:tc>
                                <w:tcPr>
                                  <w:tcW w:w="3271" w:type="dxa"/>
                                  <w:gridSpan w:val="2"/>
                                  <w:shd w:val="clear" w:color="auto" w:fill="auto"/>
                                </w:tcPr>
                                <w:p w14:paraId="4AB5A4C5" w14:textId="77777777" w:rsidR="00A0212B" w:rsidRPr="00E76A8D" w:rsidRDefault="00A0212B" w:rsidP="00BB173C">
                                  <w:pPr>
                                    <w:spacing w:line="240" w:lineRule="exact"/>
                                    <w:jc w:val="center"/>
                                    <w:rPr>
                                      <w:rFonts w:ascii="標楷體" w:eastAsia="標楷體" w:hAnsi="標楷體"/>
                                      <w:snapToGrid w:val="0"/>
                                      <w:kern w:val="0"/>
                                      <w:sz w:val="20"/>
                                    </w:rPr>
                                  </w:pPr>
                                  <w:r w:rsidRPr="00E76A8D">
                                    <w:rPr>
                                      <w:rFonts w:ascii="標楷體" w:eastAsia="標楷體" w:hAnsi="標楷體" w:hint="eastAsia"/>
                                      <w:snapToGrid w:val="0"/>
                                      <w:kern w:val="0"/>
                                      <w:sz w:val="20"/>
                                    </w:rPr>
                                    <w:t>分　　項　　指　　標</w:t>
                                  </w:r>
                                </w:p>
                              </w:tc>
                            </w:tr>
                            <w:tr w:rsidR="00A0212B" w:rsidRPr="00E76A8D" w14:paraId="1DF603FD" w14:textId="77777777" w:rsidTr="00F723DB">
                              <w:trPr>
                                <w:jc w:val="center"/>
                              </w:trPr>
                              <w:tc>
                                <w:tcPr>
                                  <w:tcW w:w="1961" w:type="dxa"/>
                                  <w:vMerge/>
                                  <w:shd w:val="clear" w:color="auto" w:fill="auto"/>
                                </w:tcPr>
                                <w:p w14:paraId="649FB3AE" w14:textId="77777777" w:rsidR="00A0212B" w:rsidRPr="00E76A8D" w:rsidRDefault="00A0212B" w:rsidP="00BB173C">
                                  <w:pPr>
                                    <w:spacing w:line="240" w:lineRule="exact"/>
                                    <w:jc w:val="center"/>
                                    <w:rPr>
                                      <w:rFonts w:ascii="標楷體" w:eastAsia="標楷體" w:hAnsi="標楷體"/>
                                      <w:snapToGrid w:val="0"/>
                                      <w:kern w:val="0"/>
                                      <w:sz w:val="20"/>
                                    </w:rPr>
                                  </w:pPr>
                                </w:p>
                              </w:tc>
                              <w:tc>
                                <w:tcPr>
                                  <w:tcW w:w="1346" w:type="dxa"/>
                                  <w:shd w:val="clear" w:color="auto" w:fill="auto"/>
                                </w:tcPr>
                                <w:p w14:paraId="5DBD10E5" w14:textId="77777777" w:rsidR="00A0212B" w:rsidRPr="00E76A8D" w:rsidRDefault="00A0212B" w:rsidP="00E31547">
                                  <w:pPr>
                                    <w:spacing w:line="240" w:lineRule="exact"/>
                                    <w:jc w:val="both"/>
                                    <w:rPr>
                                      <w:rFonts w:ascii="標楷體" w:eastAsia="標楷體" w:hAnsi="標楷體"/>
                                      <w:snapToGrid w:val="0"/>
                                      <w:kern w:val="0"/>
                                      <w:sz w:val="20"/>
                                    </w:rPr>
                                  </w:pPr>
                                  <w:r w:rsidRPr="00EF6E2D">
                                    <w:rPr>
                                      <w:rFonts w:ascii="標楷體" w:eastAsia="標楷體" w:hAnsi="標楷體" w:hint="eastAsia"/>
                                      <w:snapToGrid w:val="0"/>
                                      <w:kern w:val="0"/>
                                      <w:sz w:val="20"/>
                                    </w:rPr>
                                    <w:t>新世代打擊詐欺策略行動綱領</w:t>
                                  </w:r>
                                </w:p>
                              </w:tc>
                              <w:tc>
                                <w:tcPr>
                                  <w:tcW w:w="1925" w:type="dxa"/>
                                </w:tcPr>
                                <w:p w14:paraId="393E169B" w14:textId="77777777" w:rsidR="00A0212B" w:rsidRPr="00E76A8D" w:rsidRDefault="00A0212B" w:rsidP="00BB173C">
                                  <w:pPr>
                                    <w:spacing w:line="240" w:lineRule="exact"/>
                                    <w:jc w:val="center"/>
                                    <w:rPr>
                                      <w:rFonts w:ascii="標楷體" w:eastAsia="標楷體" w:hAnsi="標楷體"/>
                                      <w:snapToGrid w:val="0"/>
                                      <w:kern w:val="0"/>
                                      <w:sz w:val="20"/>
                                    </w:rPr>
                                  </w:pPr>
                                  <w:r w:rsidRPr="00EF6E2D">
                                    <w:rPr>
                                      <w:rFonts w:ascii="標楷體" w:eastAsia="標楷體" w:hAnsi="標楷體" w:hint="eastAsia"/>
                                      <w:snapToGrid w:val="0"/>
                                      <w:kern w:val="0"/>
                                      <w:sz w:val="20"/>
                                    </w:rPr>
                                    <w:t>新世代打擊詐欺策略行動綱領</w:t>
                                  </w:r>
                                  <w:r w:rsidRPr="00E76A8D">
                                    <w:rPr>
                                      <w:rFonts w:ascii="標楷體" w:eastAsia="標楷體" w:hAnsi="標楷體" w:hint="eastAsia"/>
                                      <w:snapToGrid w:val="0"/>
                                      <w:kern w:val="0"/>
                                      <w:sz w:val="20"/>
                                    </w:rPr>
                                    <w:t>1.5版</w:t>
                                  </w:r>
                                </w:p>
                              </w:tc>
                            </w:tr>
                            <w:tr w:rsidR="00A0212B" w:rsidRPr="00E76A8D" w14:paraId="242ADF07" w14:textId="77777777" w:rsidTr="00F723DB">
                              <w:trPr>
                                <w:trHeight w:val="454"/>
                                <w:jc w:val="center"/>
                              </w:trPr>
                              <w:tc>
                                <w:tcPr>
                                  <w:tcW w:w="1961" w:type="dxa"/>
                                  <w:shd w:val="clear" w:color="auto" w:fill="auto"/>
                                  <w:vAlign w:val="center"/>
                                </w:tcPr>
                                <w:p w14:paraId="0203C5EC"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防杜境外竄改來話詐騙</w:t>
                                  </w:r>
                                </w:p>
                              </w:tc>
                              <w:tc>
                                <w:tcPr>
                                  <w:tcW w:w="1346" w:type="dxa"/>
                                  <w:vMerge w:val="restart"/>
                                  <w:shd w:val="clear" w:color="auto" w:fill="auto"/>
                                </w:tcPr>
                                <w:p w14:paraId="65CCAD5F"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1.每年攔阻簡訊3,000萬則。</w:t>
                                  </w:r>
                                </w:p>
                                <w:p w14:paraId="78241005"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2.每年人頭門號停斷</w:t>
                                  </w:r>
                                  <w:r w:rsidRPr="00E76A8D">
                                    <w:rPr>
                                      <w:rFonts w:ascii="標楷體" w:eastAsia="標楷體" w:hAnsi="標楷體" w:hint="eastAsia"/>
                                      <w:snapToGrid w:val="0"/>
                                      <w:spacing w:val="-14"/>
                                      <w:kern w:val="0"/>
                                      <w:sz w:val="20"/>
                                    </w:rPr>
                                    <w:t>話5,000門。</w:t>
                                  </w:r>
                                </w:p>
                                <w:p w14:paraId="1A877FFD" w14:textId="77777777" w:rsidR="00A0212B" w:rsidRPr="00E76A8D" w:rsidRDefault="00A0212B" w:rsidP="00BB173C">
                                  <w:pPr>
                                    <w:spacing w:line="240" w:lineRule="exact"/>
                                    <w:ind w:leftChars="-15" w:left="164" w:rightChars="-15" w:right="-36" w:hangingChars="100" w:hanging="200"/>
                                    <w:jc w:val="center"/>
                                    <w:rPr>
                                      <w:rFonts w:ascii="標楷體" w:eastAsia="標楷體" w:hAnsi="標楷體"/>
                                      <w:snapToGrid w:val="0"/>
                                      <w:kern w:val="0"/>
                                      <w:sz w:val="20"/>
                                    </w:rPr>
                                  </w:pPr>
                                  <w:r w:rsidRPr="00E76A8D">
                                    <w:rPr>
                                      <w:rFonts w:ascii="標楷體" w:eastAsia="標楷體" w:hAnsi="標楷體"/>
                                      <w:snapToGrid w:val="0"/>
                                      <w:kern w:val="0"/>
                                      <w:sz w:val="20"/>
                                    </w:rPr>
                                    <w:t>(</w:t>
                                  </w:r>
                                  <w:r w:rsidRPr="00E76A8D">
                                    <w:rPr>
                                      <w:rFonts w:ascii="標楷體" w:eastAsia="標楷體" w:hAnsi="標楷體" w:hint="eastAsia"/>
                                      <w:snapToGrid w:val="0"/>
                                      <w:kern w:val="0"/>
                                      <w:sz w:val="20"/>
                                    </w:rPr>
                                    <w:t>採滾動修正</w:t>
                                  </w:r>
                                  <w:r w:rsidRPr="00E76A8D">
                                    <w:rPr>
                                      <w:rFonts w:ascii="標楷體" w:eastAsia="標楷體" w:hAnsi="標楷體"/>
                                      <w:snapToGrid w:val="0"/>
                                      <w:kern w:val="0"/>
                                      <w:sz w:val="20"/>
                                    </w:rPr>
                                    <w:t>)</w:t>
                                  </w:r>
                                </w:p>
                              </w:tc>
                              <w:tc>
                                <w:tcPr>
                                  <w:tcW w:w="1925" w:type="dxa"/>
                                  <w:vMerge w:val="restart"/>
                                  <w:shd w:val="clear" w:color="auto" w:fill="auto"/>
                                </w:tcPr>
                                <w:p w14:paraId="5B45BD3D"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1.每年攔阻簡訊</w:t>
                                  </w:r>
                                  <w:r w:rsidRPr="00E76A8D">
                                    <w:rPr>
                                      <w:rFonts w:ascii="標楷體" w:eastAsia="標楷體" w:hAnsi="標楷體" w:hint="eastAsia"/>
                                      <w:snapToGrid w:val="0"/>
                                      <w:spacing w:val="-4"/>
                                      <w:kern w:val="0"/>
                                      <w:sz w:val="20"/>
                                    </w:rPr>
                                    <w:t>3,000萬則</w:t>
                                  </w:r>
                                  <w:r>
                                    <w:rPr>
                                      <w:rFonts w:ascii="標楷體" w:eastAsia="標楷體" w:hAnsi="標楷體" w:hint="eastAsia"/>
                                      <w:snapToGrid w:val="0"/>
                                      <w:spacing w:val="-4"/>
                                      <w:kern w:val="0"/>
                                      <w:sz w:val="20"/>
                                    </w:rPr>
                                    <w:t>(</w:t>
                                  </w:r>
                                  <w:r w:rsidRPr="00E76A8D">
                                    <w:rPr>
                                      <w:rFonts w:ascii="標楷體" w:eastAsia="標楷體" w:hAnsi="標楷體" w:hint="eastAsia"/>
                                      <w:snapToGrid w:val="0"/>
                                      <w:spacing w:val="-4"/>
                                      <w:kern w:val="0"/>
                                      <w:sz w:val="20"/>
                                    </w:rPr>
                                    <w:t>採滾動</w:t>
                                  </w:r>
                                  <w:r w:rsidRPr="00E76A8D">
                                    <w:rPr>
                                      <w:rFonts w:ascii="標楷體" w:eastAsia="標楷體" w:hAnsi="標楷體" w:hint="eastAsia"/>
                                      <w:snapToGrid w:val="0"/>
                                      <w:kern w:val="0"/>
                                      <w:sz w:val="20"/>
                                    </w:rPr>
                                    <w:t>修正</w:t>
                                  </w:r>
                                  <w:r>
                                    <w:rPr>
                                      <w:rFonts w:ascii="標楷體" w:eastAsia="標楷體" w:hAnsi="標楷體" w:hint="eastAsia"/>
                                      <w:snapToGrid w:val="0"/>
                                      <w:kern w:val="0"/>
                                      <w:sz w:val="20"/>
                                    </w:rPr>
                                    <w:t>)</w:t>
                                  </w:r>
                                  <w:r w:rsidRPr="00E76A8D">
                                    <w:rPr>
                                      <w:rFonts w:ascii="標楷體" w:eastAsia="標楷體" w:hAnsi="標楷體" w:hint="eastAsia"/>
                                      <w:snapToGrid w:val="0"/>
                                      <w:kern w:val="0"/>
                                      <w:sz w:val="20"/>
                                    </w:rPr>
                                    <w:t>。</w:t>
                                  </w:r>
                                </w:p>
                                <w:p w14:paraId="1D79AD12"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2.每年人頭門號停</w:t>
                                  </w:r>
                                  <w:r w:rsidRPr="00E76A8D">
                                    <w:rPr>
                                      <w:rFonts w:ascii="標楷體" w:eastAsia="標楷體" w:hAnsi="標楷體" w:hint="eastAsia"/>
                                      <w:snapToGrid w:val="0"/>
                                      <w:spacing w:val="-4"/>
                                      <w:kern w:val="0"/>
                                      <w:sz w:val="20"/>
                                    </w:rPr>
                                    <w:t>斷話5,000門</w:t>
                                  </w:r>
                                  <w:r>
                                    <w:rPr>
                                      <w:rFonts w:ascii="標楷體" w:eastAsia="標楷體" w:hAnsi="標楷體" w:hint="eastAsia"/>
                                      <w:snapToGrid w:val="0"/>
                                      <w:spacing w:val="-4"/>
                                      <w:kern w:val="0"/>
                                      <w:sz w:val="20"/>
                                    </w:rPr>
                                    <w:t>(</w:t>
                                  </w:r>
                                  <w:r w:rsidRPr="00E76A8D">
                                    <w:rPr>
                                      <w:rFonts w:ascii="標楷體" w:eastAsia="標楷體" w:hAnsi="標楷體" w:hint="eastAsia"/>
                                      <w:snapToGrid w:val="0"/>
                                      <w:spacing w:val="-4"/>
                                      <w:kern w:val="0"/>
                                      <w:sz w:val="20"/>
                                    </w:rPr>
                                    <w:t>採滾</w:t>
                                  </w:r>
                                  <w:r w:rsidRPr="00E76A8D">
                                    <w:rPr>
                                      <w:rFonts w:ascii="標楷體" w:eastAsia="標楷體" w:hAnsi="標楷體" w:hint="eastAsia"/>
                                      <w:snapToGrid w:val="0"/>
                                      <w:kern w:val="0"/>
                                      <w:sz w:val="20"/>
                                    </w:rPr>
                                    <w:t>動修正</w:t>
                                  </w:r>
                                  <w:r>
                                    <w:rPr>
                                      <w:rFonts w:ascii="標楷體" w:eastAsia="標楷體" w:hAnsi="標楷體" w:hint="eastAsia"/>
                                      <w:snapToGrid w:val="0"/>
                                      <w:kern w:val="0"/>
                                      <w:sz w:val="20"/>
                                    </w:rPr>
                                    <w:t>)</w:t>
                                  </w:r>
                                  <w:r w:rsidRPr="00E76A8D">
                                    <w:rPr>
                                      <w:rFonts w:ascii="標楷體" w:eastAsia="標楷體" w:hAnsi="標楷體" w:hint="eastAsia"/>
                                      <w:snapToGrid w:val="0"/>
                                      <w:kern w:val="0"/>
                                      <w:sz w:val="20"/>
                                    </w:rPr>
                                    <w:t>。</w:t>
                                  </w:r>
                                </w:p>
                                <w:p w14:paraId="5FF15232"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3.</w:t>
                                  </w:r>
                                  <w:r w:rsidRPr="00E76A8D">
                                    <w:rPr>
                                      <w:rFonts w:ascii="標楷體" w:eastAsia="標楷體" w:hAnsi="標楷體" w:hint="eastAsia"/>
                                      <w:snapToGrid w:val="0"/>
                                      <w:spacing w:val="-6"/>
                                      <w:kern w:val="0"/>
                                      <w:sz w:val="20"/>
                                    </w:rPr>
                                    <w:t>開發2種以上數位</w:t>
                                  </w:r>
                                  <w:r w:rsidRPr="00E76A8D">
                                    <w:rPr>
                                      <w:rFonts w:ascii="標楷體" w:eastAsia="標楷體" w:hAnsi="標楷體" w:hint="eastAsia"/>
                                      <w:snapToGrid w:val="0"/>
                                      <w:kern w:val="0"/>
                                      <w:sz w:val="20"/>
                                    </w:rPr>
                                    <w:t>防詐工具。</w:t>
                                  </w:r>
                                </w:p>
                                <w:p w14:paraId="47EB2D04"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4.輔導三大公協會會員辦理網購程序之防詐相關警示措施及物流隱碼技術。</w:t>
                                  </w:r>
                                </w:p>
                              </w:tc>
                            </w:tr>
                            <w:tr w:rsidR="00A0212B" w:rsidRPr="00E76A8D" w14:paraId="0F69972E" w14:textId="77777777" w:rsidTr="00F723DB">
                              <w:trPr>
                                <w:trHeight w:val="454"/>
                                <w:jc w:val="center"/>
                              </w:trPr>
                              <w:tc>
                                <w:tcPr>
                                  <w:tcW w:w="1961" w:type="dxa"/>
                                  <w:shd w:val="clear" w:color="auto" w:fill="auto"/>
                                  <w:vAlign w:val="center"/>
                                </w:tcPr>
                                <w:p w14:paraId="1BBACA97"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遏止人頭門號詐騙工具</w:t>
                                  </w:r>
                                </w:p>
                              </w:tc>
                              <w:tc>
                                <w:tcPr>
                                  <w:tcW w:w="1346" w:type="dxa"/>
                                  <w:vMerge/>
                                  <w:shd w:val="clear" w:color="auto" w:fill="auto"/>
                                </w:tcPr>
                                <w:p w14:paraId="67FABB6D"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18F523C2"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2F1FF10D" w14:textId="77777777" w:rsidTr="00F723DB">
                              <w:trPr>
                                <w:trHeight w:val="454"/>
                                <w:jc w:val="center"/>
                              </w:trPr>
                              <w:tc>
                                <w:tcPr>
                                  <w:tcW w:w="1961" w:type="dxa"/>
                                  <w:shd w:val="clear" w:color="auto" w:fill="auto"/>
                                  <w:vAlign w:val="center"/>
                                </w:tcPr>
                                <w:p w14:paraId="60D9810C"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防杜簡訊業者幫助詐騙及建立惡意簡訊攔阻機制</w:t>
                                  </w:r>
                                </w:p>
                              </w:tc>
                              <w:tc>
                                <w:tcPr>
                                  <w:tcW w:w="1346" w:type="dxa"/>
                                  <w:vMerge/>
                                  <w:shd w:val="clear" w:color="auto" w:fill="auto"/>
                                </w:tcPr>
                                <w:p w14:paraId="13389230"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7C4CF355"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6FF2B751" w14:textId="77777777" w:rsidTr="00F723DB">
                              <w:trPr>
                                <w:trHeight w:val="454"/>
                                <w:jc w:val="center"/>
                              </w:trPr>
                              <w:tc>
                                <w:tcPr>
                                  <w:tcW w:w="1961" w:type="dxa"/>
                                  <w:shd w:val="clear" w:color="auto" w:fill="auto"/>
                                  <w:vAlign w:val="center"/>
                                </w:tcPr>
                                <w:p w14:paraId="776F4C39"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加強電商業者資安維護</w:t>
                                  </w:r>
                                </w:p>
                              </w:tc>
                              <w:tc>
                                <w:tcPr>
                                  <w:tcW w:w="1346" w:type="dxa"/>
                                  <w:vMerge/>
                                  <w:shd w:val="clear" w:color="auto" w:fill="auto"/>
                                </w:tcPr>
                                <w:p w14:paraId="03CC1202"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46DB8E66"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181623CD" w14:textId="77777777" w:rsidTr="00F723DB">
                              <w:trPr>
                                <w:trHeight w:val="454"/>
                                <w:jc w:val="center"/>
                              </w:trPr>
                              <w:tc>
                                <w:tcPr>
                                  <w:tcW w:w="1961" w:type="dxa"/>
                                  <w:shd w:val="clear" w:color="auto" w:fill="auto"/>
                                  <w:vAlign w:val="center"/>
                                </w:tcPr>
                                <w:p w14:paraId="4D6F9D94" w14:textId="77777777" w:rsidR="00A0212B" w:rsidRPr="00E76A8D" w:rsidRDefault="00A0212B" w:rsidP="00BB173C">
                                  <w:pPr>
                                    <w:spacing w:line="240" w:lineRule="exact"/>
                                    <w:jc w:val="both"/>
                                    <w:rPr>
                                      <w:rFonts w:ascii="標楷體" w:eastAsia="標楷體" w:hAnsi="標楷體"/>
                                      <w:snapToGrid w:val="0"/>
                                      <w:spacing w:val="-10"/>
                                      <w:kern w:val="0"/>
                                      <w:sz w:val="20"/>
                                    </w:rPr>
                                  </w:pPr>
                                  <w:r w:rsidRPr="00E76A8D">
                                    <w:rPr>
                                      <w:rFonts w:ascii="標楷體" w:eastAsia="標楷體" w:hAnsi="標楷體" w:hint="eastAsia"/>
                                      <w:snapToGrid w:val="0"/>
                                      <w:spacing w:val="-10"/>
                                      <w:kern w:val="0"/>
                                      <w:sz w:val="20"/>
                                    </w:rPr>
                                    <w:t>遏止詐騙網頁刊登</w:t>
                                  </w:r>
                                </w:p>
                              </w:tc>
                              <w:tc>
                                <w:tcPr>
                                  <w:tcW w:w="1346" w:type="dxa"/>
                                  <w:vMerge/>
                                  <w:shd w:val="clear" w:color="auto" w:fill="auto"/>
                                </w:tcPr>
                                <w:p w14:paraId="4DFD1A0C"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01DD0BB1"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5E362747" w14:textId="77777777" w:rsidTr="00F723DB">
                              <w:trPr>
                                <w:trHeight w:val="454"/>
                                <w:jc w:val="center"/>
                              </w:trPr>
                              <w:tc>
                                <w:tcPr>
                                  <w:tcW w:w="1961" w:type="dxa"/>
                                  <w:shd w:val="clear" w:color="auto" w:fill="auto"/>
                                  <w:vAlign w:val="center"/>
                                </w:tcPr>
                                <w:p w14:paraId="2468202E"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管理及防制VPN業者詐騙</w:t>
                                  </w:r>
                                </w:p>
                              </w:tc>
                              <w:tc>
                                <w:tcPr>
                                  <w:tcW w:w="1346" w:type="dxa"/>
                                  <w:vMerge/>
                                  <w:shd w:val="clear" w:color="auto" w:fill="auto"/>
                                </w:tcPr>
                                <w:p w14:paraId="49A751BD"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32F78F03"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2B45588A" w14:textId="77777777" w:rsidTr="00F723DB">
                              <w:trPr>
                                <w:trHeight w:val="454"/>
                                <w:jc w:val="center"/>
                              </w:trPr>
                              <w:tc>
                                <w:tcPr>
                                  <w:tcW w:w="5232" w:type="dxa"/>
                                  <w:gridSpan w:val="3"/>
                                  <w:tcBorders>
                                    <w:left w:val="nil"/>
                                    <w:bottom w:val="nil"/>
                                    <w:right w:val="nil"/>
                                  </w:tcBorders>
                                  <w:shd w:val="clear" w:color="auto" w:fill="auto"/>
                                </w:tcPr>
                                <w:p w14:paraId="5E8DA9AE" w14:textId="77777777" w:rsidR="00A0212B" w:rsidRDefault="00A0212B" w:rsidP="00BB173C">
                                  <w:pPr>
                                    <w:spacing w:line="240" w:lineRule="exact"/>
                                    <w:ind w:leftChars="-50" w:left="420" w:hangingChars="300" w:hanging="540"/>
                                    <w:jc w:val="both"/>
                                    <w:rPr>
                                      <w:rFonts w:ascii="標楷體" w:eastAsia="標楷體" w:hAnsi="標楷體"/>
                                      <w:sz w:val="18"/>
                                      <w:szCs w:val="18"/>
                                    </w:rPr>
                                  </w:pPr>
                                  <w:r>
                                    <w:rPr>
                                      <w:rFonts w:ascii="標楷體" w:eastAsia="標楷體" w:hAnsi="標楷體" w:hint="eastAsia"/>
                                      <w:sz w:val="18"/>
                                      <w:szCs w:val="18"/>
                                    </w:rPr>
                                    <w:t>註：1.「</w:t>
                                  </w:r>
                                  <w:r w:rsidRPr="00F60C00">
                                    <w:rPr>
                                      <w:rFonts w:ascii="標楷體" w:eastAsia="標楷體" w:hAnsi="標楷體" w:hint="eastAsia"/>
                                      <w:sz w:val="18"/>
                                      <w:szCs w:val="18"/>
                                    </w:rPr>
                                    <w:t>加強電商業者資安維護</w:t>
                                  </w:r>
                                  <w:r>
                                    <w:rPr>
                                      <w:rFonts w:ascii="標楷體" w:eastAsia="標楷體" w:hAnsi="標楷體" w:hint="eastAsia"/>
                                      <w:sz w:val="18"/>
                                      <w:szCs w:val="18"/>
                                    </w:rPr>
                                    <w:t>」1項策略，由經濟部主辦；其餘5項策略，由</w:t>
                                  </w:r>
                                  <w:r w:rsidRPr="00F60C00">
                                    <w:rPr>
                                      <w:rFonts w:ascii="標楷體" w:eastAsia="標楷體" w:hAnsi="標楷體" w:hint="eastAsia"/>
                                      <w:sz w:val="18"/>
                                      <w:szCs w:val="18"/>
                                    </w:rPr>
                                    <w:t>國家通訊傳播委員會</w:t>
                                  </w:r>
                                  <w:r>
                                    <w:rPr>
                                      <w:rFonts w:ascii="標楷體" w:eastAsia="標楷體" w:hAnsi="標楷體" w:hint="eastAsia"/>
                                      <w:sz w:val="18"/>
                                      <w:szCs w:val="18"/>
                                    </w:rPr>
                                    <w:t>主辦。</w:t>
                                  </w:r>
                                </w:p>
                                <w:p w14:paraId="7BB35EB6" w14:textId="77777777" w:rsidR="00A0212B" w:rsidRPr="00E76A8D" w:rsidRDefault="00A0212B" w:rsidP="00BB173C">
                                  <w:pPr>
                                    <w:spacing w:line="240" w:lineRule="exact"/>
                                    <w:ind w:leftChars="100" w:left="240"/>
                                    <w:rPr>
                                      <w:rFonts w:ascii="標楷體" w:eastAsia="標楷體" w:hAnsi="標楷體"/>
                                      <w:sz w:val="18"/>
                                      <w:szCs w:val="18"/>
                                    </w:rPr>
                                  </w:pPr>
                                  <w:r>
                                    <w:rPr>
                                      <w:rFonts w:ascii="標楷體" w:eastAsia="標楷體" w:hAnsi="標楷體"/>
                                      <w:sz w:val="18"/>
                                      <w:szCs w:val="18"/>
                                    </w:rPr>
                                    <w:t>2.</w:t>
                                  </w:r>
                                  <w:r w:rsidRPr="00E76A8D">
                                    <w:rPr>
                                      <w:rFonts w:ascii="標楷體" w:eastAsia="標楷體" w:hAnsi="標楷體"/>
                                      <w:sz w:val="18"/>
                                      <w:szCs w:val="18"/>
                                    </w:rPr>
                                    <w:t>資料來源：整理自</w:t>
                                  </w:r>
                                  <w:r w:rsidRPr="00F60C00">
                                    <w:rPr>
                                      <w:rFonts w:ascii="標楷體" w:eastAsia="標楷體" w:hAnsi="標楷體" w:hint="eastAsia"/>
                                      <w:sz w:val="18"/>
                                      <w:szCs w:val="18"/>
                                    </w:rPr>
                                    <w:t>國家通訊傳播委員會</w:t>
                                  </w:r>
                                  <w:r w:rsidRPr="00E76A8D">
                                    <w:rPr>
                                      <w:rFonts w:ascii="標楷體" w:eastAsia="標楷體" w:hAnsi="標楷體"/>
                                      <w:sz w:val="18"/>
                                      <w:szCs w:val="18"/>
                                    </w:rPr>
                                    <w:t>提供資料。</w:t>
                                  </w:r>
                                </w:p>
                              </w:tc>
                            </w:tr>
                          </w:tbl>
                          <w:p w14:paraId="1E6279AE" w14:textId="77777777" w:rsidR="00A0212B" w:rsidRPr="00E76A8D" w:rsidRDefault="00A0212B" w:rsidP="00407338"/>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344F26E" id="文字方塊 484" o:spid="_x0000_s1046" type="#_x0000_t202" style="position:absolute;left:0;text-align:left;margin-left:227.9pt;margin-top:32.35pt;width:267.45pt;height:271pt;z-index:-251643904;visibility:visible;mso-wrap-style:square;mso-width-percent:0;mso-height-percent:0;mso-wrap-distance-left:5.65pt;mso-wrap-distance-top:3.6pt;mso-wrap-distance-right:5.65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" stroked="f" strokecolor="red">
                <v:textbox>
                  <w:txbxContent>
                    <w:tbl>
                      <w:tblPr>
                        <w:tblW w:w="5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1346"/>
                        <w:gridCol w:w="1925"/>
                      </w:tblGrid>
                      <w:tr w:rsidR="00A0212B" w:rsidRPr="00E76A8D" w14:paraId="2D73706F" w14:textId="77777777" w:rsidTr="00F723DB">
                        <w:trPr>
                          <w:jc w:val="center"/>
                        </w:trPr>
                        <w:tc>
                          <w:tcPr>
                            <w:tcW w:w="5232" w:type="dxa"/>
                            <w:gridSpan w:val="3"/>
                            <w:tcBorders>
                              <w:top w:val="nil"/>
                              <w:left w:val="nil"/>
                              <w:right w:val="nil"/>
                            </w:tcBorders>
                            <w:shd w:val="clear" w:color="auto" w:fill="auto"/>
                          </w:tcPr>
                          <w:p w14:paraId="3818E0C3" w14:textId="77777777" w:rsidR="00A0212B" w:rsidRPr="009B6372" w:rsidRDefault="00A0212B" w:rsidP="00AD2E6F">
                            <w:pPr>
                              <w:spacing w:afterLines="25" w:after="90" w:line="280" w:lineRule="exact"/>
                              <w:ind w:leftChars="-15" w:left="603" w:rightChars="-15" w:right="-36" w:hangingChars="280" w:hanging="639"/>
                              <w:jc w:val="both"/>
                              <w:rPr>
                                <w:rFonts w:ascii="標楷體" w:eastAsia="標楷體" w:hAnsi="標楷體"/>
                                <w:b/>
                                <w:bCs/>
                                <w:spacing w:val="-6"/>
                              </w:rPr>
                            </w:pPr>
                            <w:r w:rsidRPr="009B6372">
                              <w:rPr>
                                <w:rFonts w:ascii="標楷體" w:eastAsia="標楷體" w:hAnsi="標楷體" w:hint="eastAsia"/>
                                <w:b/>
                                <w:bCs/>
                                <w:spacing w:val="-6"/>
                              </w:rPr>
                              <w:t>表</w:t>
                            </w:r>
                            <w:r>
                              <w:rPr>
                                <w:rFonts w:ascii="標楷體" w:eastAsia="標楷體" w:hAnsi="標楷體"/>
                                <w:b/>
                                <w:bCs/>
                                <w:spacing w:val="-6"/>
                              </w:rPr>
                              <w:t>9</w:t>
                            </w:r>
                            <w:r w:rsidRPr="009B6372">
                              <w:rPr>
                                <w:rFonts w:ascii="標楷體" w:eastAsia="標楷體" w:hAnsi="標楷體" w:hint="eastAsia"/>
                                <w:b/>
                                <w:bCs/>
                                <w:spacing w:val="-6"/>
                              </w:rPr>
                              <w:t xml:space="preserve">　「堵詐－電信網路」面向之策略及分項指標</w:t>
                            </w:r>
                          </w:p>
                        </w:tc>
                      </w:tr>
                      <w:tr w:rsidR="00A0212B" w:rsidRPr="00E76A8D" w14:paraId="357F02EB" w14:textId="77777777" w:rsidTr="00F723DB">
                        <w:trPr>
                          <w:jc w:val="center"/>
                        </w:trPr>
                        <w:tc>
                          <w:tcPr>
                            <w:tcW w:w="1961" w:type="dxa"/>
                            <w:vMerge w:val="restart"/>
                            <w:shd w:val="clear" w:color="auto" w:fill="auto"/>
                            <w:vAlign w:val="center"/>
                          </w:tcPr>
                          <w:p w14:paraId="40AD12C3" w14:textId="77777777" w:rsidR="00A0212B" w:rsidRPr="00E76A8D" w:rsidRDefault="00A0212B" w:rsidP="00BB173C">
                            <w:pPr>
                              <w:spacing w:line="240" w:lineRule="exact"/>
                              <w:jc w:val="center"/>
                              <w:rPr>
                                <w:rFonts w:ascii="標楷體" w:eastAsia="標楷體" w:hAnsi="標楷體"/>
                                <w:snapToGrid w:val="0"/>
                                <w:kern w:val="0"/>
                                <w:sz w:val="20"/>
                              </w:rPr>
                            </w:pPr>
                            <w:r w:rsidRPr="00E76A8D">
                              <w:rPr>
                                <w:rFonts w:ascii="標楷體" w:eastAsia="標楷體" w:hAnsi="標楷體" w:hint="eastAsia"/>
                                <w:snapToGrid w:val="0"/>
                                <w:kern w:val="0"/>
                                <w:sz w:val="20"/>
                              </w:rPr>
                              <w:t>策　略</w:t>
                            </w:r>
                          </w:p>
                        </w:tc>
                        <w:tc>
                          <w:tcPr>
                            <w:tcW w:w="3271" w:type="dxa"/>
                            <w:gridSpan w:val="2"/>
                            <w:shd w:val="clear" w:color="auto" w:fill="auto"/>
                          </w:tcPr>
                          <w:p w14:paraId="4AB5A4C5" w14:textId="77777777" w:rsidR="00A0212B" w:rsidRPr="00E76A8D" w:rsidRDefault="00A0212B" w:rsidP="00BB173C">
                            <w:pPr>
                              <w:spacing w:line="240" w:lineRule="exact"/>
                              <w:jc w:val="center"/>
                              <w:rPr>
                                <w:rFonts w:ascii="標楷體" w:eastAsia="標楷體" w:hAnsi="標楷體"/>
                                <w:snapToGrid w:val="0"/>
                                <w:kern w:val="0"/>
                                <w:sz w:val="20"/>
                              </w:rPr>
                            </w:pPr>
                            <w:r w:rsidRPr="00E76A8D">
                              <w:rPr>
                                <w:rFonts w:ascii="標楷體" w:eastAsia="標楷體" w:hAnsi="標楷體" w:hint="eastAsia"/>
                                <w:snapToGrid w:val="0"/>
                                <w:kern w:val="0"/>
                                <w:sz w:val="20"/>
                              </w:rPr>
                              <w:t>分　　項　　指　　標</w:t>
                            </w:r>
                          </w:p>
                        </w:tc>
                      </w:tr>
                      <w:tr w:rsidR="00A0212B" w:rsidRPr="00E76A8D" w14:paraId="1DF603FD" w14:textId="77777777" w:rsidTr="00F723DB">
                        <w:trPr>
                          <w:jc w:val="center"/>
                        </w:trPr>
                        <w:tc>
                          <w:tcPr>
                            <w:tcW w:w="1961" w:type="dxa"/>
                            <w:vMerge/>
                            <w:shd w:val="clear" w:color="auto" w:fill="auto"/>
                          </w:tcPr>
                          <w:p w14:paraId="649FB3AE" w14:textId="77777777" w:rsidR="00A0212B" w:rsidRPr="00E76A8D" w:rsidRDefault="00A0212B" w:rsidP="00BB173C">
                            <w:pPr>
                              <w:spacing w:line="240" w:lineRule="exact"/>
                              <w:jc w:val="center"/>
                              <w:rPr>
                                <w:rFonts w:ascii="標楷體" w:eastAsia="標楷體" w:hAnsi="標楷體"/>
                                <w:snapToGrid w:val="0"/>
                                <w:kern w:val="0"/>
                                <w:sz w:val="20"/>
                              </w:rPr>
                            </w:pPr>
                          </w:p>
                        </w:tc>
                        <w:tc>
                          <w:tcPr>
                            <w:tcW w:w="1346" w:type="dxa"/>
                            <w:shd w:val="clear" w:color="auto" w:fill="auto"/>
                          </w:tcPr>
                          <w:p w14:paraId="5DBD10E5" w14:textId="77777777" w:rsidR="00A0212B" w:rsidRPr="00E76A8D" w:rsidRDefault="00A0212B" w:rsidP="00E31547">
                            <w:pPr>
                              <w:spacing w:line="240" w:lineRule="exact"/>
                              <w:jc w:val="both"/>
                              <w:rPr>
                                <w:rFonts w:ascii="標楷體" w:eastAsia="標楷體" w:hAnsi="標楷體"/>
                                <w:snapToGrid w:val="0"/>
                                <w:kern w:val="0"/>
                                <w:sz w:val="20"/>
                              </w:rPr>
                            </w:pPr>
                            <w:r w:rsidRPr="00EF6E2D">
                              <w:rPr>
                                <w:rFonts w:ascii="標楷體" w:eastAsia="標楷體" w:hAnsi="標楷體" w:hint="eastAsia"/>
                                <w:snapToGrid w:val="0"/>
                                <w:kern w:val="0"/>
                                <w:sz w:val="20"/>
                              </w:rPr>
                              <w:t>新世代打擊詐欺策略行動綱領</w:t>
                            </w:r>
                          </w:p>
                        </w:tc>
                        <w:tc>
                          <w:tcPr>
                            <w:tcW w:w="1925" w:type="dxa"/>
                          </w:tcPr>
                          <w:p w14:paraId="393E169B" w14:textId="77777777" w:rsidR="00A0212B" w:rsidRPr="00E76A8D" w:rsidRDefault="00A0212B" w:rsidP="00BB173C">
                            <w:pPr>
                              <w:spacing w:line="240" w:lineRule="exact"/>
                              <w:jc w:val="center"/>
                              <w:rPr>
                                <w:rFonts w:ascii="標楷體" w:eastAsia="標楷體" w:hAnsi="標楷體"/>
                                <w:snapToGrid w:val="0"/>
                                <w:kern w:val="0"/>
                                <w:sz w:val="20"/>
                              </w:rPr>
                            </w:pPr>
                            <w:r w:rsidRPr="00EF6E2D">
                              <w:rPr>
                                <w:rFonts w:ascii="標楷體" w:eastAsia="標楷體" w:hAnsi="標楷體" w:hint="eastAsia"/>
                                <w:snapToGrid w:val="0"/>
                                <w:kern w:val="0"/>
                                <w:sz w:val="20"/>
                              </w:rPr>
                              <w:t>新世代打擊詐欺策略行動綱領</w:t>
                            </w:r>
                            <w:r w:rsidRPr="00E76A8D">
                              <w:rPr>
                                <w:rFonts w:ascii="標楷體" w:eastAsia="標楷體" w:hAnsi="標楷體" w:hint="eastAsia"/>
                                <w:snapToGrid w:val="0"/>
                                <w:kern w:val="0"/>
                                <w:sz w:val="20"/>
                              </w:rPr>
                              <w:t>1.5版</w:t>
                            </w:r>
                          </w:p>
                        </w:tc>
                      </w:tr>
                      <w:tr w:rsidR="00A0212B" w:rsidRPr="00E76A8D" w14:paraId="242ADF07" w14:textId="77777777" w:rsidTr="00F723DB">
                        <w:trPr>
                          <w:trHeight w:val="454"/>
                          <w:jc w:val="center"/>
                        </w:trPr>
                        <w:tc>
                          <w:tcPr>
                            <w:tcW w:w="1961" w:type="dxa"/>
                            <w:shd w:val="clear" w:color="auto" w:fill="auto"/>
                            <w:vAlign w:val="center"/>
                          </w:tcPr>
                          <w:p w14:paraId="0203C5EC"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防杜境外竄改來話詐騙</w:t>
                            </w:r>
                          </w:p>
                        </w:tc>
                        <w:tc>
                          <w:tcPr>
                            <w:tcW w:w="1346" w:type="dxa"/>
                            <w:vMerge w:val="restart"/>
                            <w:shd w:val="clear" w:color="auto" w:fill="auto"/>
                          </w:tcPr>
                          <w:p w14:paraId="65CCAD5F"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1.每年攔阻簡訊3,000萬則。</w:t>
                            </w:r>
                          </w:p>
                          <w:p w14:paraId="78241005"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2.每年人頭門號停斷</w:t>
                            </w:r>
                            <w:r w:rsidRPr="00E76A8D">
                              <w:rPr>
                                <w:rFonts w:ascii="標楷體" w:eastAsia="標楷體" w:hAnsi="標楷體" w:hint="eastAsia"/>
                                <w:snapToGrid w:val="0"/>
                                <w:spacing w:val="-14"/>
                                <w:kern w:val="0"/>
                                <w:sz w:val="20"/>
                              </w:rPr>
                              <w:t>話5,000門。</w:t>
                            </w:r>
                          </w:p>
                          <w:p w14:paraId="1A877FFD" w14:textId="77777777" w:rsidR="00A0212B" w:rsidRPr="00E76A8D" w:rsidRDefault="00A0212B" w:rsidP="00BB173C">
                            <w:pPr>
                              <w:spacing w:line="240" w:lineRule="exact"/>
                              <w:ind w:leftChars="-15" w:left="164" w:rightChars="-15" w:right="-36" w:hangingChars="100" w:hanging="200"/>
                              <w:jc w:val="center"/>
                              <w:rPr>
                                <w:rFonts w:ascii="標楷體" w:eastAsia="標楷體" w:hAnsi="標楷體"/>
                                <w:snapToGrid w:val="0"/>
                                <w:kern w:val="0"/>
                                <w:sz w:val="20"/>
                              </w:rPr>
                            </w:pPr>
                            <w:r w:rsidRPr="00E76A8D">
                              <w:rPr>
                                <w:rFonts w:ascii="標楷體" w:eastAsia="標楷體" w:hAnsi="標楷體"/>
                                <w:snapToGrid w:val="0"/>
                                <w:kern w:val="0"/>
                                <w:sz w:val="20"/>
                              </w:rPr>
                              <w:t>(</w:t>
                            </w:r>
                            <w:r w:rsidRPr="00E76A8D">
                              <w:rPr>
                                <w:rFonts w:ascii="標楷體" w:eastAsia="標楷體" w:hAnsi="標楷體" w:hint="eastAsia"/>
                                <w:snapToGrid w:val="0"/>
                                <w:kern w:val="0"/>
                                <w:sz w:val="20"/>
                              </w:rPr>
                              <w:t>採滾動修正</w:t>
                            </w:r>
                            <w:r w:rsidRPr="00E76A8D">
                              <w:rPr>
                                <w:rFonts w:ascii="標楷體" w:eastAsia="標楷體" w:hAnsi="標楷體"/>
                                <w:snapToGrid w:val="0"/>
                                <w:kern w:val="0"/>
                                <w:sz w:val="20"/>
                              </w:rPr>
                              <w:t>)</w:t>
                            </w:r>
                          </w:p>
                        </w:tc>
                        <w:tc>
                          <w:tcPr>
                            <w:tcW w:w="1925" w:type="dxa"/>
                            <w:vMerge w:val="restart"/>
                            <w:shd w:val="clear" w:color="auto" w:fill="auto"/>
                          </w:tcPr>
                          <w:p w14:paraId="5B45BD3D"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1.每年攔阻簡訊</w:t>
                            </w:r>
                            <w:r w:rsidRPr="00E76A8D">
                              <w:rPr>
                                <w:rFonts w:ascii="標楷體" w:eastAsia="標楷體" w:hAnsi="標楷體" w:hint="eastAsia"/>
                                <w:snapToGrid w:val="0"/>
                                <w:spacing w:val="-4"/>
                                <w:kern w:val="0"/>
                                <w:sz w:val="20"/>
                              </w:rPr>
                              <w:t>3,000萬則</w:t>
                            </w:r>
                            <w:r>
                              <w:rPr>
                                <w:rFonts w:ascii="標楷體" w:eastAsia="標楷體" w:hAnsi="標楷體" w:hint="eastAsia"/>
                                <w:snapToGrid w:val="0"/>
                                <w:spacing w:val="-4"/>
                                <w:kern w:val="0"/>
                                <w:sz w:val="20"/>
                              </w:rPr>
                              <w:t>(</w:t>
                            </w:r>
                            <w:r w:rsidRPr="00E76A8D">
                              <w:rPr>
                                <w:rFonts w:ascii="標楷體" w:eastAsia="標楷體" w:hAnsi="標楷體" w:hint="eastAsia"/>
                                <w:snapToGrid w:val="0"/>
                                <w:spacing w:val="-4"/>
                                <w:kern w:val="0"/>
                                <w:sz w:val="20"/>
                              </w:rPr>
                              <w:t>採滾動</w:t>
                            </w:r>
                            <w:r w:rsidRPr="00E76A8D">
                              <w:rPr>
                                <w:rFonts w:ascii="標楷體" w:eastAsia="標楷體" w:hAnsi="標楷體" w:hint="eastAsia"/>
                                <w:snapToGrid w:val="0"/>
                                <w:kern w:val="0"/>
                                <w:sz w:val="20"/>
                              </w:rPr>
                              <w:t>修正</w:t>
                            </w:r>
                            <w:r>
                              <w:rPr>
                                <w:rFonts w:ascii="標楷體" w:eastAsia="標楷體" w:hAnsi="標楷體" w:hint="eastAsia"/>
                                <w:snapToGrid w:val="0"/>
                                <w:kern w:val="0"/>
                                <w:sz w:val="20"/>
                              </w:rPr>
                              <w:t>)</w:t>
                            </w:r>
                            <w:r w:rsidRPr="00E76A8D">
                              <w:rPr>
                                <w:rFonts w:ascii="標楷體" w:eastAsia="標楷體" w:hAnsi="標楷體" w:hint="eastAsia"/>
                                <w:snapToGrid w:val="0"/>
                                <w:kern w:val="0"/>
                                <w:sz w:val="20"/>
                              </w:rPr>
                              <w:t>。</w:t>
                            </w:r>
                          </w:p>
                          <w:p w14:paraId="1D79AD12"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2.每年人頭門號停</w:t>
                            </w:r>
                            <w:r w:rsidRPr="00E76A8D">
                              <w:rPr>
                                <w:rFonts w:ascii="標楷體" w:eastAsia="標楷體" w:hAnsi="標楷體" w:hint="eastAsia"/>
                                <w:snapToGrid w:val="0"/>
                                <w:spacing w:val="-4"/>
                                <w:kern w:val="0"/>
                                <w:sz w:val="20"/>
                              </w:rPr>
                              <w:t>斷話5,000門</w:t>
                            </w:r>
                            <w:r>
                              <w:rPr>
                                <w:rFonts w:ascii="標楷體" w:eastAsia="標楷體" w:hAnsi="標楷體" w:hint="eastAsia"/>
                                <w:snapToGrid w:val="0"/>
                                <w:spacing w:val="-4"/>
                                <w:kern w:val="0"/>
                                <w:sz w:val="20"/>
                              </w:rPr>
                              <w:t>(</w:t>
                            </w:r>
                            <w:r w:rsidRPr="00E76A8D">
                              <w:rPr>
                                <w:rFonts w:ascii="標楷體" w:eastAsia="標楷體" w:hAnsi="標楷體" w:hint="eastAsia"/>
                                <w:snapToGrid w:val="0"/>
                                <w:spacing w:val="-4"/>
                                <w:kern w:val="0"/>
                                <w:sz w:val="20"/>
                              </w:rPr>
                              <w:t>採滾</w:t>
                            </w:r>
                            <w:r w:rsidRPr="00E76A8D">
                              <w:rPr>
                                <w:rFonts w:ascii="標楷體" w:eastAsia="標楷體" w:hAnsi="標楷體" w:hint="eastAsia"/>
                                <w:snapToGrid w:val="0"/>
                                <w:kern w:val="0"/>
                                <w:sz w:val="20"/>
                              </w:rPr>
                              <w:t>動修正</w:t>
                            </w:r>
                            <w:r>
                              <w:rPr>
                                <w:rFonts w:ascii="標楷體" w:eastAsia="標楷體" w:hAnsi="標楷體" w:hint="eastAsia"/>
                                <w:snapToGrid w:val="0"/>
                                <w:kern w:val="0"/>
                                <w:sz w:val="20"/>
                              </w:rPr>
                              <w:t>)</w:t>
                            </w:r>
                            <w:r w:rsidRPr="00E76A8D">
                              <w:rPr>
                                <w:rFonts w:ascii="標楷體" w:eastAsia="標楷體" w:hAnsi="標楷體" w:hint="eastAsia"/>
                                <w:snapToGrid w:val="0"/>
                                <w:kern w:val="0"/>
                                <w:sz w:val="20"/>
                              </w:rPr>
                              <w:t>。</w:t>
                            </w:r>
                          </w:p>
                          <w:p w14:paraId="5FF15232"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3.</w:t>
                            </w:r>
                            <w:r w:rsidRPr="00E76A8D">
                              <w:rPr>
                                <w:rFonts w:ascii="標楷體" w:eastAsia="標楷體" w:hAnsi="標楷體" w:hint="eastAsia"/>
                                <w:snapToGrid w:val="0"/>
                                <w:spacing w:val="-6"/>
                                <w:kern w:val="0"/>
                                <w:sz w:val="20"/>
                              </w:rPr>
                              <w:t>開發2種以上數位</w:t>
                            </w:r>
                            <w:r w:rsidRPr="00E76A8D">
                              <w:rPr>
                                <w:rFonts w:ascii="標楷體" w:eastAsia="標楷體" w:hAnsi="標楷體" w:hint="eastAsia"/>
                                <w:snapToGrid w:val="0"/>
                                <w:kern w:val="0"/>
                                <w:sz w:val="20"/>
                              </w:rPr>
                              <w:t>防詐工具。</w:t>
                            </w:r>
                          </w:p>
                          <w:p w14:paraId="47EB2D04" w14:textId="77777777" w:rsidR="00A0212B" w:rsidRPr="00E76A8D" w:rsidRDefault="00A0212B" w:rsidP="00BB173C">
                            <w:pPr>
                              <w:spacing w:line="240" w:lineRule="exact"/>
                              <w:ind w:left="200" w:hangingChars="100" w:hanging="200"/>
                              <w:jc w:val="both"/>
                              <w:rPr>
                                <w:rFonts w:ascii="標楷體" w:eastAsia="標楷體" w:hAnsi="標楷體"/>
                                <w:snapToGrid w:val="0"/>
                                <w:kern w:val="0"/>
                                <w:sz w:val="20"/>
                              </w:rPr>
                            </w:pPr>
                            <w:r w:rsidRPr="00E76A8D">
                              <w:rPr>
                                <w:rFonts w:ascii="標楷體" w:eastAsia="標楷體" w:hAnsi="標楷體" w:hint="eastAsia"/>
                                <w:snapToGrid w:val="0"/>
                                <w:kern w:val="0"/>
                                <w:sz w:val="20"/>
                              </w:rPr>
                              <w:t>4.輔導三大公協會會員辦理網購程序之防詐相關警示措施及物流隱碼技術。</w:t>
                            </w:r>
                          </w:p>
                        </w:tc>
                      </w:tr>
                      <w:tr w:rsidR="00A0212B" w:rsidRPr="00E76A8D" w14:paraId="0F69972E" w14:textId="77777777" w:rsidTr="00F723DB">
                        <w:trPr>
                          <w:trHeight w:val="454"/>
                          <w:jc w:val="center"/>
                        </w:trPr>
                        <w:tc>
                          <w:tcPr>
                            <w:tcW w:w="1961" w:type="dxa"/>
                            <w:shd w:val="clear" w:color="auto" w:fill="auto"/>
                            <w:vAlign w:val="center"/>
                          </w:tcPr>
                          <w:p w14:paraId="1BBACA97"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遏止人頭門號詐騙工具</w:t>
                            </w:r>
                          </w:p>
                        </w:tc>
                        <w:tc>
                          <w:tcPr>
                            <w:tcW w:w="1346" w:type="dxa"/>
                            <w:vMerge/>
                            <w:shd w:val="clear" w:color="auto" w:fill="auto"/>
                          </w:tcPr>
                          <w:p w14:paraId="67FABB6D"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18F523C2"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2F1FF10D" w14:textId="77777777" w:rsidTr="00F723DB">
                        <w:trPr>
                          <w:trHeight w:val="454"/>
                          <w:jc w:val="center"/>
                        </w:trPr>
                        <w:tc>
                          <w:tcPr>
                            <w:tcW w:w="1961" w:type="dxa"/>
                            <w:shd w:val="clear" w:color="auto" w:fill="auto"/>
                            <w:vAlign w:val="center"/>
                          </w:tcPr>
                          <w:p w14:paraId="60D9810C"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防杜簡訊業者幫助詐騙及建立惡意簡訊攔阻機制</w:t>
                            </w:r>
                          </w:p>
                        </w:tc>
                        <w:tc>
                          <w:tcPr>
                            <w:tcW w:w="1346" w:type="dxa"/>
                            <w:vMerge/>
                            <w:shd w:val="clear" w:color="auto" w:fill="auto"/>
                          </w:tcPr>
                          <w:p w14:paraId="13389230"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7C4CF355"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6FF2B751" w14:textId="77777777" w:rsidTr="00F723DB">
                        <w:trPr>
                          <w:trHeight w:val="454"/>
                          <w:jc w:val="center"/>
                        </w:trPr>
                        <w:tc>
                          <w:tcPr>
                            <w:tcW w:w="1961" w:type="dxa"/>
                            <w:shd w:val="clear" w:color="auto" w:fill="auto"/>
                            <w:vAlign w:val="center"/>
                          </w:tcPr>
                          <w:p w14:paraId="776F4C39"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加強電商業者資安維護</w:t>
                            </w:r>
                          </w:p>
                        </w:tc>
                        <w:tc>
                          <w:tcPr>
                            <w:tcW w:w="1346" w:type="dxa"/>
                            <w:vMerge/>
                            <w:shd w:val="clear" w:color="auto" w:fill="auto"/>
                          </w:tcPr>
                          <w:p w14:paraId="03CC1202"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46DB8E66"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181623CD" w14:textId="77777777" w:rsidTr="00F723DB">
                        <w:trPr>
                          <w:trHeight w:val="454"/>
                          <w:jc w:val="center"/>
                        </w:trPr>
                        <w:tc>
                          <w:tcPr>
                            <w:tcW w:w="1961" w:type="dxa"/>
                            <w:shd w:val="clear" w:color="auto" w:fill="auto"/>
                            <w:vAlign w:val="center"/>
                          </w:tcPr>
                          <w:p w14:paraId="4D6F9D94" w14:textId="77777777" w:rsidR="00A0212B" w:rsidRPr="00E76A8D" w:rsidRDefault="00A0212B" w:rsidP="00BB173C">
                            <w:pPr>
                              <w:spacing w:line="240" w:lineRule="exact"/>
                              <w:jc w:val="both"/>
                              <w:rPr>
                                <w:rFonts w:ascii="標楷體" w:eastAsia="標楷體" w:hAnsi="標楷體"/>
                                <w:snapToGrid w:val="0"/>
                                <w:spacing w:val="-10"/>
                                <w:kern w:val="0"/>
                                <w:sz w:val="20"/>
                              </w:rPr>
                            </w:pPr>
                            <w:r w:rsidRPr="00E76A8D">
                              <w:rPr>
                                <w:rFonts w:ascii="標楷體" w:eastAsia="標楷體" w:hAnsi="標楷體" w:hint="eastAsia"/>
                                <w:snapToGrid w:val="0"/>
                                <w:spacing w:val="-10"/>
                                <w:kern w:val="0"/>
                                <w:sz w:val="20"/>
                              </w:rPr>
                              <w:t>遏止詐騙網頁刊登</w:t>
                            </w:r>
                          </w:p>
                        </w:tc>
                        <w:tc>
                          <w:tcPr>
                            <w:tcW w:w="1346" w:type="dxa"/>
                            <w:vMerge/>
                            <w:shd w:val="clear" w:color="auto" w:fill="auto"/>
                          </w:tcPr>
                          <w:p w14:paraId="4DFD1A0C"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01DD0BB1"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5E362747" w14:textId="77777777" w:rsidTr="00F723DB">
                        <w:trPr>
                          <w:trHeight w:val="454"/>
                          <w:jc w:val="center"/>
                        </w:trPr>
                        <w:tc>
                          <w:tcPr>
                            <w:tcW w:w="1961" w:type="dxa"/>
                            <w:shd w:val="clear" w:color="auto" w:fill="auto"/>
                            <w:vAlign w:val="center"/>
                          </w:tcPr>
                          <w:p w14:paraId="2468202E" w14:textId="77777777" w:rsidR="00A0212B" w:rsidRPr="00E76A8D" w:rsidRDefault="00A0212B" w:rsidP="00BB173C">
                            <w:pPr>
                              <w:spacing w:line="240" w:lineRule="exact"/>
                              <w:jc w:val="both"/>
                              <w:rPr>
                                <w:rFonts w:ascii="標楷體" w:eastAsia="標楷體" w:hAnsi="標楷體"/>
                                <w:snapToGrid w:val="0"/>
                                <w:kern w:val="0"/>
                                <w:sz w:val="20"/>
                              </w:rPr>
                            </w:pPr>
                            <w:r w:rsidRPr="00E76A8D">
                              <w:rPr>
                                <w:rFonts w:ascii="標楷體" w:eastAsia="標楷體" w:hAnsi="標楷體" w:hint="eastAsia"/>
                                <w:snapToGrid w:val="0"/>
                                <w:kern w:val="0"/>
                                <w:sz w:val="20"/>
                              </w:rPr>
                              <w:t>管理及防制VPN業者詐騙</w:t>
                            </w:r>
                          </w:p>
                        </w:tc>
                        <w:tc>
                          <w:tcPr>
                            <w:tcW w:w="1346" w:type="dxa"/>
                            <w:vMerge/>
                            <w:shd w:val="clear" w:color="auto" w:fill="auto"/>
                          </w:tcPr>
                          <w:p w14:paraId="49A751BD" w14:textId="77777777" w:rsidR="00A0212B" w:rsidRPr="00E76A8D" w:rsidRDefault="00A0212B" w:rsidP="00BB173C">
                            <w:pPr>
                              <w:spacing w:line="240" w:lineRule="exact"/>
                              <w:rPr>
                                <w:rFonts w:ascii="標楷體" w:eastAsia="標楷體" w:hAnsi="標楷體"/>
                                <w:snapToGrid w:val="0"/>
                                <w:kern w:val="0"/>
                              </w:rPr>
                            </w:pPr>
                          </w:p>
                        </w:tc>
                        <w:tc>
                          <w:tcPr>
                            <w:tcW w:w="1925" w:type="dxa"/>
                            <w:vMerge/>
                          </w:tcPr>
                          <w:p w14:paraId="32F78F03" w14:textId="77777777" w:rsidR="00A0212B" w:rsidRPr="00E76A8D" w:rsidRDefault="00A0212B" w:rsidP="00BB173C">
                            <w:pPr>
                              <w:spacing w:line="240" w:lineRule="exact"/>
                              <w:rPr>
                                <w:rFonts w:ascii="標楷體" w:eastAsia="標楷體" w:hAnsi="標楷體"/>
                                <w:snapToGrid w:val="0"/>
                                <w:kern w:val="0"/>
                              </w:rPr>
                            </w:pPr>
                          </w:p>
                        </w:tc>
                      </w:tr>
                      <w:tr w:rsidR="00A0212B" w:rsidRPr="00E76A8D" w14:paraId="2B45588A" w14:textId="77777777" w:rsidTr="00F723DB">
                        <w:trPr>
                          <w:trHeight w:val="454"/>
                          <w:jc w:val="center"/>
                        </w:trPr>
                        <w:tc>
                          <w:tcPr>
                            <w:tcW w:w="5232" w:type="dxa"/>
                            <w:gridSpan w:val="3"/>
                            <w:tcBorders>
                              <w:left w:val="nil"/>
                              <w:bottom w:val="nil"/>
                              <w:right w:val="nil"/>
                            </w:tcBorders>
                            <w:shd w:val="clear" w:color="auto" w:fill="auto"/>
                          </w:tcPr>
                          <w:p w14:paraId="5E8DA9AE" w14:textId="77777777" w:rsidR="00A0212B" w:rsidRDefault="00A0212B" w:rsidP="00BB173C">
                            <w:pPr>
                              <w:spacing w:line="240" w:lineRule="exact"/>
                              <w:ind w:leftChars="-50" w:left="420" w:hangingChars="300" w:hanging="540"/>
                              <w:jc w:val="both"/>
                              <w:rPr>
                                <w:rFonts w:ascii="標楷體" w:eastAsia="標楷體" w:hAnsi="標楷體"/>
                                <w:sz w:val="18"/>
                                <w:szCs w:val="18"/>
                              </w:rPr>
                            </w:pPr>
                            <w:r>
                              <w:rPr>
                                <w:rFonts w:ascii="標楷體" w:eastAsia="標楷體" w:hAnsi="標楷體" w:hint="eastAsia"/>
                                <w:sz w:val="18"/>
                                <w:szCs w:val="18"/>
                              </w:rPr>
                              <w:t>註：1.「</w:t>
                            </w:r>
                            <w:r w:rsidRPr="00F60C00">
                              <w:rPr>
                                <w:rFonts w:ascii="標楷體" w:eastAsia="標楷體" w:hAnsi="標楷體" w:hint="eastAsia"/>
                                <w:sz w:val="18"/>
                                <w:szCs w:val="18"/>
                              </w:rPr>
                              <w:t>加強電商業者資安維護</w:t>
                            </w:r>
                            <w:r>
                              <w:rPr>
                                <w:rFonts w:ascii="標楷體" w:eastAsia="標楷體" w:hAnsi="標楷體" w:hint="eastAsia"/>
                                <w:sz w:val="18"/>
                                <w:szCs w:val="18"/>
                              </w:rPr>
                              <w:t>」1項策略，由經濟部主辦；其餘5項策略，由</w:t>
                            </w:r>
                            <w:r w:rsidRPr="00F60C00">
                              <w:rPr>
                                <w:rFonts w:ascii="標楷體" w:eastAsia="標楷體" w:hAnsi="標楷體" w:hint="eastAsia"/>
                                <w:sz w:val="18"/>
                                <w:szCs w:val="18"/>
                              </w:rPr>
                              <w:t>國家通訊傳播委員會</w:t>
                            </w:r>
                            <w:r>
                              <w:rPr>
                                <w:rFonts w:ascii="標楷體" w:eastAsia="標楷體" w:hAnsi="標楷體" w:hint="eastAsia"/>
                                <w:sz w:val="18"/>
                                <w:szCs w:val="18"/>
                              </w:rPr>
                              <w:t>主辦。</w:t>
                            </w:r>
                          </w:p>
                          <w:p w14:paraId="7BB35EB6" w14:textId="77777777" w:rsidR="00A0212B" w:rsidRPr="00E76A8D" w:rsidRDefault="00A0212B" w:rsidP="00BB173C">
                            <w:pPr>
                              <w:spacing w:line="240" w:lineRule="exact"/>
                              <w:ind w:leftChars="100" w:left="240"/>
                              <w:rPr>
                                <w:rFonts w:ascii="標楷體" w:eastAsia="標楷體" w:hAnsi="標楷體"/>
                                <w:sz w:val="18"/>
                                <w:szCs w:val="18"/>
                              </w:rPr>
                            </w:pPr>
                            <w:r>
                              <w:rPr>
                                <w:rFonts w:ascii="標楷體" w:eastAsia="標楷體" w:hAnsi="標楷體"/>
                                <w:sz w:val="18"/>
                                <w:szCs w:val="18"/>
                              </w:rPr>
                              <w:t>2.</w:t>
                            </w:r>
                            <w:r w:rsidRPr="00E76A8D">
                              <w:rPr>
                                <w:rFonts w:ascii="標楷體" w:eastAsia="標楷體" w:hAnsi="標楷體"/>
                                <w:sz w:val="18"/>
                                <w:szCs w:val="18"/>
                              </w:rPr>
                              <w:t>資料來源：整理自</w:t>
                            </w:r>
                            <w:r w:rsidRPr="00F60C00">
                              <w:rPr>
                                <w:rFonts w:ascii="標楷體" w:eastAsia="標楷體" w:hAnsi="標楷體" w:hint="eastAsia"/>
                                <w:sz w:val="18"/>
                                <w:szCs w:val="18"/>
                              </w:rPr>
                              <w:t>國家通訊傳播委員會</w:t>
                            </w:r>
                            <w:r w:rsidRPr="00E76A8D">
                              <w:rPr>
                                <w:rFonts w:ascii="標楷體" w:eastAsia="標楷體" w:hAnsi="標楷體"/>
                                <w:sz w:val="18"/>
                                <w:szCs w:val="18"/>
                              </w:rPr>
                              <w:t>提供資料。</w:t>
                            </w:r>
                          </w:p>
                        </w:tc>
                      </w:tr>
                    </w:tbl>
                    <w:p w14:paraId="1E6279AE" w14:textId="77777777" w:rsidR="00A0212B" w:rsidRPr="00E76A8D" w:rsidRDefault="00A0212B" w:rsidP="00407338"/>
                  </w:txbxContent>
                </v:textbox>
                <w10:wrap type="tight"/>
              </v:shape>
            </w:pict>
          </mc:Fallback>
        </mc:AlternateContent>
      </w:r>
      <w:r w:rsidRPr="00C30430">
        <w:rPr>
          <w:rFonts w:ascii="標楷體" w:eastAsia="標楷體" w:hAnsi="標楷體" w:hint="eastAsia"/>
          <w:bCs/>
          <w:szCs w:val="24"/>
        </w:rPr>
        <w:t>增列「開發2種以上數位防詐工具」、「輔導三大公協會會員辦理網購程序之防詐相關警示措施及物流隱碼技術」等2項分項指標，惟</w:t>
      </w:r>
      <w:r w:rsidR="00DC36B0">
        <w:rPr>
          <w:rFonts w:ascii="標楷體" w:eastAsia="標楷體" w:hAnsi="標楷體" w:hint="eastAsia"/>
          <w:bCs/>
          <w:szCs w:val="24"/>
        </w:rPr>
        <w:t>該</w:t>
      </w:r>
      <w:r w:rsidRPr="00C30430">
        <w:rPr>
          <w:rFonts w:ascii="標楷體" w:eastAsia="標楷體" w:hAnsi="標楷體" w:hint="eastAsia"/>
          <w:bCs/>
          <w:szCs w:val="24"/>
        </w:rPr>
        <w:t>綱領所列「堵詐－電信網路」面向之原策略與分項指標均未配合滾動修正（</w:t>
      </w:r>
      <w:r w:rsidRPr="006678C5">
        <w:rPr>
          <w:rFonts w:ascii="標楷體" w:eastAsia="標楷體" w:hAnsi="標楷體" w:hint="eastAsia"/>
          <w:bCs/>
          <w:szCs w:val="24"/>
        </w:rPr>
        <w:t>表</w:t>
      </w:r>
      <w:r w:rsidR="00AD2E6F" w:rsidRPr="006678C5">
        <w:rPr>
          <w:rFonts w:ascii="標楷體" w:eastAsia="標楷體" w:hAnsi="標楷體" w:hint="eastAsia"/>
          <w:bCs/>
          <w:szCs w:val="24"/>
        </w:rPr>
        <w:t>9</w:t>
      </w:r>
      <w:r w:rsidRPr="00C30430">
        <w:rPr>
          <w:rFonts w:ascii="標楷體" w:eastAsia="標楷體" w:hAnsi="標楷體" w:hint="eastAsia"/>
          <w:bCs/>
          <w:szCs w:val="24"/>
        </w:rPr>
        <w:t>），執行結果，112年6至12月計攔阻詐騙簡訊444.6萬則、人頭門號停斷話1,157門，占分項指標目標值僅14.82％、23.14％，達成情形未如預期，據述主要係該會於112年6月訂頒電信事業受理申辦電信服務風險管理機制指引，要求電信事業應落實認識客戶風險管理機制</w:t>
      </w:r>
      <w:r w:rsidRPr="00E31547">
        <w:rPr>
          <w:rFonts w:ascii="標楷體" w:eastAsia="標楷體" w:hAnsi="標楷體" w:hint="eastAsia"/>
          <w:bCs/>
          <w:spacing w:val="8"/>
          <w:szCs w:val="24"/>
        </w:rPr>
        <w:t>（</w:t>
      </w:r>
      <w:r w:rsidRPr="00E31547">
        <w:rPr>
          <w:rFonts w:ascii="標楷體" w:eastAsia="標楷體" w:hAnsi="標楷體"/>
          <w:bCs/>
          <w:spacing w:val="8"/>
          <w:szCs w:val="24"/>
        </w:rPr>
        <w:t>Know Your Customer）及加強門號管理等管制措施，因國內門號已較難大量取得，涉詐人頭門號數量隨減等所致，有待配合調整相關績效指標</w:t>
      </w:r>
      <w:r w:rsidR="00C30E69">
        <w:rPr>
          <w:rFonts w:ascii="標楷體" w:eastAsia="標楷體" w:hAnsi="標楷體" w:hint="eastAsia"/>
          <w:bCs/>
          <w:spacing w:val="8"/>
          <w:szCs w:val="24"/>
        </w:rPr>
        <w:t>。</w:t>
      </w:r>
      <w:r w:rsidRPr="00E31547">
        <w:rPr>
          <w:rFonts w:ascii="標楷體" w:eastAsia="標楷體" w:hAnsi="標楷體"/>
          <w:bCs/>
          <w:spacing w:val="8"/>
          <w:szCs w:val="24"/>
        </w:rPr>
        <w:t>經函請國家通訊傳播委員會檢討改善。據復：將配合行政院規劃，於113年下半年檢討</w:t>
      </w:r>
      <w:r w:rsidR="00DC36B0" w:rsidRPr="00DC36B0">
        <w:rPr>
          <w:rFonts w:ascii="標楷體" w:eastAsia="標楷體" w:hAnsi="標楷體" w:hint="eastAsia"/>
          <w:bCs/>
          <w:spacing w:val="8"/>
          <w:szCs w:val="24"/>
        </w:rPr>
        <w:t>新世代打擊詐欺策略行動綱領</w:t>
      </w:r>
      <w:r w:rsidR="00DC36B0">
        <w:rPr>
          <w:rFonts w:ascii="標楷體" w:eastAsia="標楷體" w:hAnsi="標楷體" w:hint="eastAsia"/>
          <w:bCs/>
          <w:spacing w:val="8"/>
          <w:szCs w:val="24"/>
        </w:rPr>
        <w:t>之</w:t>
      </w:r>
      <w:r w:rsidRPr="00E31547">
        <w:rPr>
          <w:rFonts w:ascii="標楷體" w:eastAsia="標楷體" w:hAnsi="標楷體" w:hint="eastAsia"/>
          <w:bCs/>
          <w:spacing w:val="8"/>
          <w:szCs w:val="24"/>
        </w:rPr>
        <w:t>策略及施行細項，訂定合理指標以反映執行績效，另已研提督導電信事業實施大量商業簡訊檢查機制、落實認識客戶風險管理機制、個人簡訊風險控管等強化源頭管理措施</w:t>
      </w:r>
      <w:r w:rsidRPr="00E31547">
        <w:rPr>
          <w:rFonts w:ascii="標楷體" w:eastAsia="標楷體" w:hAnsi="標楷體" w:hint="eastAsia"/>
          <w:spacing w:val="8"/>
          <w:szCs w:val="24"/>
        </w:rPr>
        <w:t>。</w:t>
      </w:r>
    </w:p>
    <w:p w14:paraId="4316B8E1" w14:textId="00905265" w:rsidR="00BB173C" w:rsidRDefault="00BB173C" w:rsidP="004D7C92">
      <w:pPr>
        <w:overflowPunct w:val="0"/>
        <w:spacing w:line="400" w:lineRule="exact"/>
        <w:ind w:firstLineChars="450" w:firstLine="1081"/>
        <w:jc w:val="both"/>
        <w:rPr>
          <w:rFonts w:ascii="標楷體" w:eastAsia="標楷體" w:hAnsi="標楷體"/>
          <w:szCs w:val="24"/>
        </w:rPr>
      </w:pPr>
      <w:r w:rsidRPr="009D11AD">
        <w:rPr>
          <w:rFonts w:ascii="標楷體" w:eastAsia="標楷體" w:hAnsi="標楷體" w:hint="eastAsia"/>
          <w:b/>
          <w:szCs w:val="24"/>
        </w:rPr>
        <w:t xml:space="preserve">2.　</w:t>
      </w:r>
      <w:r w:rsidRPr="00C30430">
        <w:rPr>
          <w:rFonts w:ascii="標楷體" w:eastAsia="標楷體" w:hAnsi="標楷體" w:hint="eastAsia"/>
          <w:b/>
          <w:szCs w:val="24"/>
        </w:rPr>
        <w:t>防杜涉詐國際來話成效逐漸顯現，惟補助作業前置規劃未盡周妥，允宜通盤審酌各類施詐管道，研議周延有效之防制措施：</w:t>
      </w:r>
      <w:r w:rsidRPr="00C30430">
        <w:rPr>
          <w:rFonts w:ascii="標楷體" w:eastAsia="標楷體" w:hAnsi="標楷體" w:hint="eastAsia"/>
          <w:bCs/>
          <w:szCs w:val="24"/>
        </w:rPr>
        <w:t>國家通訊傳播委員會為推動毀斷詐欺管道措施，減少民眾接觸詐騙電話，於112年4月邀集國內主要電信業者召開研討「國際來話加語音警示語」會議，規劃建置攔阻及語音警示設備相關經費與期程，並請各電信業者全力配合達成目標，嗣該會於112年5至10月陸續引導電信業者建置通信網路來電號碼比對攔阻及境外來話撥入加註警語之軟硬體設備，執行結果，113年2月國際來話較112年5月減少4,304萬餘通，其中偽冒我國國碼「+886」開頭者減少1,596萬餘通，減幅分別達84.72％及97.20％（</w:t>
      </w:r>
      <w:r w:rsidRPr="006678C5">
        <w:rPr>
          <w:rFonts w:ascii="標楷體" w:eastAsia="標楷體" w:hAnsi="標楷體" w:hint="eastAsia"/>
          <w:bCs/>
          <w:szCs w:val="24"/>
        </w:rPr>
        <w:t>表</w:t>
      </w:r>
      <w:r w:rsidR="00AD2E6F" w:rsidRPr="006678C5">
        <w:rPr>
          <w:rFonts w:ascii="標楷體" w:eastAsia="標楷體" w:hAnsi="標楷體" w:hint="eastAsia"/>
          <w:bCs/>
          <w:szCs w:val="24"/>
        </w:rPr>
        <w:t>10</w:t>
      </w:r>
      <w:r w:rsidRPr="00C30430">
        <w:rPr>
          <w:rFonts w:ascii="標楷體" w:eastAsia="標楷體" w:hAnsi="標楷體" w:hint="eastAsia"/>
          <w:bCs/>
          <w:szCs w:val="24"/>
        </w:rPr>
        <w:t>），引導電信業者防杜涉詐國際來話成效逐漸顯現。惟查國家通訊傳播委員會迄至112年9月始訂定推動國內</w:t>
      </w:r>
      <w:r>
        <w:rPr>
          <w:rFonts w:ascii="標楷體" w:eastAsia="標楷體" w:hAnsi="標楷體" w:hint="eastAsia"/>
          <w:bCs/>
          <w:noProof/>
          <w:color w:val="000000"/>
          <w:kern w:val="0"/>
        </w:rPr>
        <mc:AlternateContent>
          <mc:Choice Requires="wps">
            <w:drawing>
              <wp:anchor distT="45720" distB="45720" distL="114300" distR="114300" simplePos="0" relativeHeight="251630592" behindDoc="1" locked="0" layoutInCell="1" allowOverlap="1" wp14:anchorId="11A9F2D0" wp14:editId="3FA8765A">
                <wp:simplePos x="0" y="0"/>
                <wp:positionH relativeFrom="column">
                  <wp:posOffset>3228340</wp:posOffset>
                </wp:positionH>
                <wp:positionV relativeFrom="paragraph">
                  <wp:posOffset>1233805</wp:posOffset>
                </wp:positionV>
                <wp:extent cx="3062605" cy="2045970"/>
                <wp:effectExtent l="0" t="0" r="4445" b="0"/>
                <wp:wrapTight wrapText="bothSides">
                  <wp:wrapPolygon edited="0">
                    <wp:start x="0" y="0"/>
                    <wp:lineTo x="0" y="21318"/>
                    <wp:lineTo x="21497" y="21318"/>
                    <wp:lineTo x="21497" y="0"/>
                    <wp:lineTo x="0" y="0"/>
                  </wp:wrapPolygon>
                </wp:wrapTight>
                <wp:docPr id="88" name="文字方塊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2605" cy="2045970"/>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4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
                              <w:gridCol w:w="828"/>
                              <w:gridCol w:w="938"/>
                              <w:gridCol w:w="1232"/>
                              <w:gridCol w:w="1414"/>
                            </w:tblGrid>
                            <w:tr w:rsidR="00A0212B" w:rsidRPr="008B60FA" w14:paraId="74844B46" w14:textId="77777777" w:rsidTr="00BB173C">
                              <w:trPr>
                                <w:jc w:val="center"/>
                              </w:trPr>
                              <w:tc>
                                <w:tcPr>
                                  <w:tcW w:w="4734" w:type="dxa"/>
                                  <w:gridSpan w:val="5"/>
                                  <w:tcBorders>
                                    <w:top w:val="nil"/>
                                    <w:left w:val="nil"/>
                                    <w:bottom w:val="nil"/>
                                    <w:right w:val="nil"/>
                                  </w:tcBorders>
                                  <w:shd w:val="clear" w:color="auto" w:fill="auto"/>
                                  <w:vAlign w:val="center"/>
                                </w:tcPr>
                                <w:p w14:paraId="647841E1" w14:textId="308A2EF4" w:rsidR="00A0212B" w:rsidRPr="008B60FA" w:rsidRDefault="00A0212B" w:rsidP="00AD2E6F">
                                  <w:pPr>
                                    <w:spacing w:afterLines="25" w:after="90" w:line="280" w:lineRule="exact"/>
                                    <w:ind w:leftChars="-15" w:left="614" w:rightChars="-15" w:right="-36" w:hangingChars="280" w:hanging="650"/>
                                    <w:jc w:val="center"/>
                                    <w:rPr>
                                      <w:rFonts w:ascii="標楷體" w:eastAsia="標楷體" w:hAnsi="標楷體"/>
                                      <w:b/>
                                      <w:bCs/>
                                      <w:spacing w:val="-4"/>
                                    </w:rPr>
                                  </w:pPr>
                                  <w:bookmarkStart w:id="0" w:name="_Hlk164243325"/>
                                  <w:r w:rsidRPr="008B60FA">
                                    <w:rPr>
                                      <w:rFonts w:ascii="標楷體" w:eastAsia="標楷體" w:hAnsi="標楷體" w:hint="eastAsia"/>
                                      <w:b/>
                                      <w:bCs/>
                                      <w:spacing w:val="-4"/>
                                    </w:rPr>
                                    <w:t>表</w:t>
                                  </w:r>
                                  <w:r>
                                    <w:rPr>
                                      <w:rFonts w:ascii="標楷體" w:eastAsia="標楷體" w:hAnsi="標楷體"/>
                                      <w:b/>
                                      <w:bCs/>
                                      <w:spacing w:val="-4"/>
                                    </w:rPr>
                                    <w:t>10</w:t>
                                  </w:r>
                                  <w:r w:rsidRPr="008B60FA">
                                    <w:rPr>
                                      <w:rFonts w:ascii="標楷體" w:eastAsia="標楷體" w:hAnsi="標楷體" w:hint="eastAsia"/>
                                      <w:b/>
                                      <w:bCs/>
                                      <w:spacing w:val="-4"/>
                                    </w:rPr>
                                    <w:t xml:space="preserve">　國際來話攔阻及警示機制推動成效</w:t>
                                  </w:r>
                                </w:p>
                              </w:tc>
                            </w:tr>
                            <w:tr w:rsidR="00A0212B" w:rsidRPr="008B60FA" w14:paraId="07C4CF48" w14:textId="77777777" w:rsidTr="00BB173C">
                              <w:trPr>
                                <w:jc w:val="center"/>
                              </w:trPr>
                              <w:tc>
                                <w:tcPr>
                                  <w:tcW w:w="4734" w:type="dxa"/>
                                  <w:gridSpan w:val="5"/>
                                  <w:tcBorders>
                                    <w:top w:val="nil"/>
                                    <w:left w:val="nil"/>
                                    <w:right w:val="nil"/>
                                  </w:tcBorders>
                                  <w:shd w:val="clear" w:color="auto" w:fill="auto"/>
                                  <w:vAlign w:val="center"/>
                                </w:tcPr>
                                <w:p w14:paraId="1248A3E9" w14:textId="77777777" w:rsidR="00A0212B" w:rsidRPr="008B60FA" w:rsidRDefault="00A0212B" w:rsidP="00BB173C">
                                  <w:pPr>
                                    <w:overflowPunct w:val="0"/>
                                    <w:autoSpaceDE w:val="0"/>
                                    <w:autoSpaceDN w:val="0"/>
                                    <w:snapToGrid w:val="0"/>
                                    <w:spacing w:line="240" w:lineRule="exact"/>
                                    <w:jc w:val="right"/>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單位：千通、％</w:t>
                                  </w:r>
                                </w:p>
                              </w:tc>
                            </w:tr>
                            <w:tr w:rsidR="00A0212B" w:rsidRPr="008B60FA" w14:paraId="5ED22D63" w14:textId="77777777" w:rsidTr="00BB173C">
                              <w:trPr>
                                <w:trHeight w:val="340"/>
                                <w:jc w:val="center"/>
                              </w:trPr>
                              <w:tc>
                                <w:tcPr>
                                  <w:tcW w:w="1150" w:type="dxa"/>
                                  <w:gridSpan w:val="2"/>
                                  <w:vMerge w:val="restart"/>
                                  <w:shd w:val="clear" w:color="auto" w:fill="auto"/>
                                  <w:vAlign w:val="center"/>
                                </w:tcPr>
                                <w:p w14:paraId="2450A206"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 xml:space="preserve">項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目</w:t>
                                  </w:r>
                                </w:p>
                              </w:tc>
                              <w:tc>
                                <w:tcPr>
                                  <w:tcW w:w="3584" w:type="dxa"/>
                                  <w:gridSpan w:val="3"/>
                                  <w:shd w:val="clear" w:color="auto" w:fill="auto"/>
                                  <w:vAlign w:val="center"/>
                                </w:tcPr>
                                <w:p w14:paraId="446481BE"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 xml:space="preserve">國  際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 xml:space="preserve">來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 xml:space="preserve">話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 xml:space="preserve">話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 xml:space="preserve">務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量</w:t>
                                  </w:r>
                                </w:p>
                              </w:tc>
                            </w:tr>
                            <w:tr w:rsidR="00A0212B" w:rsidRPr="008B60FA" w14:paraId="511FF0B0" w14:textId="77777777" w:rsidTr="00BB173C">
                              <w:trPr>
                                <w:trHeight w:val="340"/>
                                <w:jc w:val="center"/>
                              </w:trPr>
                              <w:tc>
                                <w:tcPr>
                                  <w:tcW w:w="1150" w:type="dxa"/>
                                  <w:gridSpan w:val="2"/>
                                  <w:vMerge/>
                                  <w:shd w:val="clear" w:color="auto" w:fill="auto"/>
                                  <w:vAlign w:val="center"/>
                                </w:tcPr>
                                <w:p w14:paraId="4024273A"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p>
                              </w:tc>
                              <w:tc>
                                <w:tcPr>
                                  <w:tcW w:w="938" w:type="dxa"/>
                                  <w:shd w:val="clear" w:color="auto" w:fill="auto"/>
                                  <w:vAlign w:val="center"/>
                                </w:tcPr>
                                <w:p w14:paraId="4601A400" w14:textId="77777777" w:rsidR="00A0212B" w:rsidRPr="008B60FA" w:rsidRDefault="00A0212B" w:rsidP="00BB173C">
                                  <w:pPr>
                                    <w:overflowPunct w:val="0"/>
                                    <w:autoSpaceDE w:val="0"/>
                                    <w:autoSpaceDN w:val="0"/>
                                    <w:snapToGrid w:val="0"/>
                                    <w:spacing w:line="280" w:lineRule="exact"/>
                                    <w:ind w:leftChars="-15" w:left="-36" w:rightChars="-15" w:right="-36"/>
                                    <w:jc w:val="center"/>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kern w:val="0"/>
                                      <w:sz w:val="20"/>
                                    </w:rPr>
                                    <w:t>合</w:t>
                                  </w:r>
                                  <w:r w:rsidRPr="00E2159A">
                                    <w:rPr>
                                      <w:rFonts w:ascii="標楷體" w:eastAsia="標楷體" w:hAnsi="標楷體" w:cs="DFKaiShu-SB-Estd-BF" w:hint="eastAsia"/>
                                      <w:bCs/>
                                      <w:color w:val="000000"/>
                                      <w:kern w:val="0"/>
                                      <w:sz w:val="20"/>
                                    </w:rPr>
                                    <w:t xml:space="preserve"> </w:t>
                                  </w:r>
                                  <w:r w:rsidRPr="008B60FA">
                                    <w:rPr>
                                      <w:rFonts w:ascii="標楷體" w:eastAsia="標楷體" w:hAnsi="標楷體" w:cs="DFKaiShu-SB-Estd-BF" w:hint="eastAsia"/>
                                      <w:bCs/>
                                      <w:color w:val="000000"/>
                                      <w:kern w:val="0"/>
                                      <w:sz w:val="20"/>
                                    </w:rPr>
                                    <w:t>計</w:t>
                                  </w:r>
                                </w:p>
                              </w:tc>
                              <w:tc>
                                <w:tcPr>
                                  <w:tcW w:w="1232" w:type="dxa"/>
                                  <w:shd w:val="clear" w:color="auto" w:fill="auto"/>
                                  <w:vAlign w:val="center"/>
                                </w:tcPr>
                                <w:p w14:paraId="47FD7C3A" w14:textId="77777777" w:rsidR="00A0212B" w:rsidRPr="008B60FA" w:rsidRDefault="00A0212B" w:rsidP="00BB173C">
                                  <w:pPr>
                                    <w:overflowPunct w:val="0"/>
                                    <w:autoSpaceDE w:val="0"/>
                                    <w:autoSpaceDN w:val="0"/>
                                    <w:snapToGrid w:val="0"/>
                                    <w:spacing w:line="280" w:lineRule="exact"/>
                                    <w:ind w:leftChars="-15" w:left="-36" w:rightChars="-15" w:right="-36"/>
                                    <w:jc w:val="center"/>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「+886」開頭</w:t>
                                  </w:r>
                                </w:p>
                              </w:tc>
                              <w:tc>
                                <w:tcPr>
                                  <w:tcW w:w="1414" w:type="dxa"/>
                                  <w:shd w:val="clear" w:color="auto" w:fill="auto"/>
                                  <w:vAlign w:val="center"/>
                                </w:tcPr>
                                <w:p w14:paraId="629389F2" w14:textId="77777777" w:rsidR="00A0212B" w:rsidRPr="008B60FA" w:rsidRDefault="00A0212B" w:rsidP="00BB173C">
                                  <w:pPr>
                                    <w:overflowPunct w:val="0"/>
                                    <w:autoSpaceDE w:val="0"/>
                                    <w:autoSpaceDN w:val="0"/>
                                    <w:snapToGrid w:val="0"/>
                                    <w:spacing w:line="280" w:lineRule="exact"/>
                                    <w:ind w:leftChars="-15" w:left="-36" w:rightChars="-15" w:right="-36"/>
                                    <w:jc w:val="center"/>
                                    <w:outlineLvl w:val="2"/>
                                    <w:rPr>
                                      <w:rFonts w:ascii="標楷體" w:eastAsia="標楷體" w:hAnsi="標楷體" w:cs="DFKaiShu-SB-Estd-BF"/>
                                      <w:bCs/>
                                      <w:color w:val="000000"/>
                                      <w:kern w:val="0"/>
                                      <w:sz w:val="20"/>
                                    </w:rPr>
                                  </w:pPr>
                                  <w:r w:rsidRPr="008B60FA">
                                    <w:rPr>
                                      <w:rFonts w:ascii="標楷體" w:eastAsia="標楷體" w:hAnsi="標楷體" w:cs="DFKaiShu-SB-Estd-BF" w:hint="eastAsia"/>
                                      <w:bCs/>
                                      <w:color w:val="000000"/>
                                      <w:spacing w:val="-10"/>
                                      <w:kern w:val="0"/>
                                      <w:sz w:val="20"/>
                                    </w:rPr>
                                    <w:t>非「+886」開頭</w:t>
                                  </w:r>
                                </w:p>
                              </w:tc>
                            </w:tr>
                            <w:tr w:rsidR="00A0212B" w:rsidRPr="008B60FA" w14:paraId="1CE13A48" w14:textId="77777777" w:rsidTr="00BB173C">
                              <w:trPr>
                                <w:trHeight w:val="369"/>
                                <w:jc w:val="center"/>
                              </w:trPr>
                              <w:tc>
                                <w:tcPr>
                                  <w:tcW w:w="1150" w:type="dxa"/>
                                  <w:gridSpan w:val="2"/>
                                  <w:shd w:val="clear" w:color="auto" w:fill="auto"/>
                                  <w:vAlign w:val="center"/>
                                </w:tcPr>
                                <w:p w14:paraId="51617FBB"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112年5月</w:t>
                                  </w:r>
                                </w:p>
                              </w:tc>
                              <w:tc>
                                <w:tcPr>
                                  <w:tcW w:w="938" w:type="dxa"/>
                                  <w:shd w:val="clear" w:color="auto" w:fill="auto"/>
                                  <w:vAlign w:val="center"/>
                                </w:tcPr>
                                <w:p w14:paraId="246E0313"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
                                      <w:color w:val="000000"/>
                                      <w:spacing w:val="-10"/>
                                      <w:kern w:val="0"/>
                                      <w:sz w:val="20"/>
                                    </w:rPr>
                                  </w:pPr>
                                  <w:r w:rsidRPr="008B60FA">
                                    <w:rPr>
                                      <w:rFonts w:ascii="標楷體" w:eastAsia="標楷體" w:hAnsi="標楷體" w:cs="DFKaiShu-SB-Estd-BF" w:hint="eastAsia"/>
                                      <w:b/>
                                      <w:color w:val="000000"/>
                                      <w:spacing w:val="-10"/>
                                      <w:kern w:val="0"/>
                                      <w:sz w:val="20"/>
                                    </w:rPr>
                                    <w:t>50</w:t>
                                  </w:r>
                                  <w:r w:rsidRPr="008B60FA">
                                    <w:rPr>
                                      <w:rFonts w:ascii="標楷體" w:eastAsia="標楷體" w:hAnsi="標楷體" w:cs="DFKaiShu-SB-Estd-BF"/>
                                      <w:b/>
                                      <w:color w:val="000000"/>
                                      <w:spacing w:val="-10"/>
                                      <w:kern w:val="0"/>
                                      <w:sz w:val="20"/>
                                    </w:rPr>
                                    <w:t>,</w:t>
                                  </w:r>
                                  <w:r w:rsidRPr="008B60FA">
                                    <w:rPr>
                                      <w:rFonts w:ascii="標楷體" w:eastAsia="標楷體" w:hAnsi="標楷體" w:cs="DFKaiShu-SB-Estd-BF" w:hint="eastAsia"/>
                                      <w:b/>
                                      <w:color w:val="000000"/>
                                      <w:spacing w:val="-10"/>
                                      <w:kern w:val="0"/>
                                      <w:sz w:val="20"/>
                                    </w:rPr>
                                    <w:t>8</w:t>
                                  </w:r>
                                  <w:r w:rsidRPr="008B60FA">
                                    <w:rPr>
                                      <w:rFonts w:ascii="標楷體" w:eastAsia="標楷體" w:hAnsi="標楷體" w:cs="DFKaiShu-SB-Estd-BF"/>
                                      <w:b/>
                                      <w:color w:val="000000"/>
                                      <w:spacing w:val="-10"/>
                                      <w:kern w:val="0"/>
                                      <w:sz w:val="20"/>
                                    </w:rPr>
                                    <w:t>0</w:t>
                                  </w:r>
                                  <w:r w:rsidRPr="008B60FA">
                                    <w:rPr>
                                      <w:rFonts w:ascii="標楷體" w:eastAsia="標楷體" w:hAnsi="標楷體" w:cs="DFKaiShu-SB-Estd-BF" w:hint="eastAsia"/>
                                      <w:b/>
                                      <w:color w:val="000000"/>
                                      <w:spacing w:val="-10"/>
                                      <w:kern w:val="0"/>
                                      <w:sz w:val="20"/>
                                    </w:rPr>
                                    <w:t>0</w:t>
                                  </w:r>
                                </w:p>
                              </w:tc>
                              <w:tc>
                                <w:tcPr>
                                  <w:tcW w:w="1232" w:type="dxa"/>
                                  <w:shd w:val="clear" w:color="auto" w:fill="auto"/>
                                  <w:vAlign w:val="center"/>
                                </w:tcPr>
                                <w:p w14:paraId="2B78B716"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1</w:t>
                                  </w:r>
                                  <w:r w:rsidRPr="008B60FA">
                                    <w:rPr>
                                      <w:rFonts w:ascii="標楷體" w:eastAsia="標楷體" w:hAnsi="標楷體" w:cs="DFKaiShu-SB-Estd-BF"/>
                                      <w:bCs/>
                                      <w:color w:val="000000"/>
                                      <w:spacing w:val="-10"/>
                                      <w:kern w:val="0"/>
                                      <w:sz w:val="20"/>
                                    </w:rPr>
                                    <w:t>6,42</w:t>
                                  </w:r>
                                  <w:r w:rsidRPr="008B60FA">
                                    <w:rPr>
                                      <w:rFonts w:ascii="標楷體" w:eastAsia="標楷體" w:hAnsi="標楷體" w:cs="DFKaiShu-SB-Estd-BF" w:hint="eastAsia"/>
                                      <w:bCs/>
                                      <w:color w:val="000000"/>
                                      <w:spacing w:val="-10"/>
                                      <w:kern w:val="0"/>
                                      <w:sz w:val="20"/>
                                    </w:rPr>
                                    <w:t>0</w:t>
                                  </w:r>
                                </w:p>
                              </w:tc>
                              <w:tc>
                                <w:tcPr>
                                  <w:tcW w:w="1414" w:type="dxa"/>
                                  <w:shd w:val="clear" w:color="auto" w:fill="auto"/>
                                  <w:vAlign w:val="center"/>
                                </w:tcPr>
                                <w:p w14:paraId="51148FE6"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3</w:t>
                                  </w:r>
                                  <w:r w:rsidRPr="008B60FA">
                                    <w:rPr>
                                      <w:rFonts w:ascii="標楷體" w:eastAsia="標楷體" w:hAnsi="標楷體" w:cs="DFKaiShu-SB-Estd-BF"/>
                                      <w:bCs/>
                                      <w:color w:val="000000"/>
                                      <w:spacing w:val="-10"/>
                                      <w:kern w:val="0"/>
                                      <w:sz w:val="20"/>
                                    </w:rPr>
                                    <w:t>4,38</w:t>
                                  </w:r>
                                  <w:r w:rsidRPr="008B60FA">
                                    <w:rPr>
                                      <w:rFonts w:ascii="標楷體" w:eastAsia="標楷體" w:hAnsi="標楷體" w:cs="DFKaiShu-SB-Estd-BF" w:hint="eastAsia"/>
                                      <w:bCs/>
                                      <w:color w:val="000000"/>
                                      <w:spacing w:val="-10"/>
                                      <w:kern w:val="0"/>
                                      <w:sz w:val="20"/>
                                    </w:rPr>
                                    <w:t>0</w:t>
                                  </w:r>
                                </w:p>
                              </w:tc>
                            </w:tr>
                            <w:tr w:rsidR="00A0212B" w:rsidRPr="008B60FA" w14:paraId="7BDB2A23" w14:textId="77777777" w:rsidTr="00BB173C">
                              <w:trPr>
                                <w:trHeight w:val="369"/>
                                <w:jc w:val="center"/>
                              </w:trPr>
                              <w:tc>
                                <w:tcPr>
                                  <w:tcW w:w="1150" w:type="dxa"/>
                                  <w:gridSpan w:val="2"/>
                                  <w:shd w:val="clear" w:color="auto" w:fill="auto"/>
                                  <w:vAlign w:val="center"/>
                                </w:tcPr>
                                <w:p w14:paraId="078599D3"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113年2月</w:t>
                                  </w:r>
                                </w:p>
                              </w:tc>
                              <w:tc>
                                <w:tcPr>
                                  <w:tcW w:w="938" w:type="dxa"/>
                                  <w:shd w:val="clear" w:color="auto" w:fill="auto"/>
                                  <w:vAlign w:val="center"/>
                                </w:tcPr>
                                <w:p w14:paraId="2B6AF9F0"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
                                      <w:color w:val="000000"/>
                                      <w:spacing w:val="-10"/>
                                      <w:kern w:val="0"/>
                                      <w:sz w:val="20"/>
                                    </w:rPr>
                                  </w:pPr>
                                  <w:r w:rsidRPr="008B60FA">
                                    <w:rPr>
                                      <w:rFonts w:ascii="標楷體" w:eastAsia="標楷體" w:hAnsi="標楷體" w:cs="DFKaiShu-SB-Estd-BF" w:hint="eastAsia"/>
                                      <w:b/>
                                      <w:color w:val="000000"/>
                                      <w:spacing w:val="-10"/>
                                      <w:kern w:val="0"/>
                                      <w:sz w:val="20"/>
                                    </w:rPr>
                                    <w:t>7</w:t>
                                  </w:r>
                                  <w:r w:rsidRPr="008B60FA">
                                    <w:rPr>
                                      <w:rFonts w:ascii="標楷體" w:eastAsia="標楷體" w:hAnsi="標楷體" w:cs="DFKaiShu-SB-Estd-BF"/>
                                      <w:b/>
                                      <w:color w:val="000000"/>
                                      <w:spacing w:val="-10"/>
                                      <w:kern w:val="0"/>
                                      <w:sz w:val="20"/>
                                    </w:rPr>
                                    <w:t>,76</w:t>
                                  </w:r>
                                  <w:r w:rsidRPr="008B60FA">
                                    <w:rPr>
                                      <w:rFonts w:ascii="標楷體" w:eastAsia="標楷體" w:hAnsi="標楷體" w:cs="DFKaiShu-SB-Estd-BF" w:hint="eastAsia"/>
                                      <w:b/>
                                      <w:color w:val="000000"/>
                                      <w:spacing w:val="-10"/>
                                      <w:kern w:val="0"/>
                                      <w:sz w:val="20"/>
                                    </w:rPr>
                                    <w:t>0</w:t>
                                  </w:r>
                                </w:p>
                              </w:tc>
                              <w:tc>
                                <w:tcPr>
                                  <w:tcW w:w="1232" w:type="dxa"/>
                                  <w:shd w:val="clear" w:color="auto" w:fill="auto"/>
                                  <w:vAlign w:val="center"/>
                                </w:tcPr>
                                <w:p w14:paraId="42032E33"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bCs/>
                                      <w:color w:val="000000"/>
                                      <w:spacing w:val="-10"/>
                                      <w:kern w:val="0"/>
                                      <w:sz w:val="20"/>
                                    </w:rPr>
                                    <w:t>46</w:t>
                                  </w:r>
                                  <w:r w:rsidRPr="008B60FA">
                                    <w:rPr>
                                      <w:rFonts w:ascii="標楷體" w:eastAsia="標楷體" w:hAnsi="標楷體" w:cs="DFKaiShu-SB-Estd-BF" w:hint="eastAsia"/>
                                      <w:bCs/>
                                      <w:color w:val="000000"/>
                                      <w:spacing w:val="-10"/>
                                      <w:kern w:val="0"/>
                                      <w:sz w:val="20"/>
                                    </w:rPr>
                                    <w:t>0</w:t>
                                  </w:r>
                                </w:p>
                              </w:tc>
                              <w:tc>
                                <w:tcPr>
                                  <w:tcW w:w="1414" w:type="dxa"/>
                                  <w:shd w:val="clear" w:color="auto" w:fill="auto"/>
                                  <w:vAlign w:val="center"/>
                                </w:tcPr>
                                <w:p w14:paraId="0F103558"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7</w:t>
                                  </w:r>
                                  <w:r w:rsidRPr="008B60FA">
                                    <w:rPr>
                                      <w:rFonts w:ascii="標楷體" w:eastAsia="標楷體" w:hAnsi="標楷體" w:cs="DFKaiShu-SB-Estd-BF"/>
                                      <w:bCs/>
                                      <w:color w:val="000000"/>
                                      <w:spacing w:val="-10"/>
                                      <w:kern w:val="0"/>
                                      <w:sz w:val="20"/>
                                    </w:rPr>
                                    <w:t>,30</w:t>
                                  </w:r>
                                  <w:r w:rsidRPr="008B60FA">
                                    <w:rPr>
                                      <w:rFonts w:ascii="標楷體" w:eastAsia="標楷體" w:hAnsi="標楷體" w:cs="DFKaiShu-SB-Estd-BF" w:hint="eastAsia"/>
                                      <w:bCs/>
                                      <w:color w:val="000000"/>
                                      <w:spacing w:val="-10"/>
                                      <w:kern w:val="0"/>
                                      <w:sz w:val="20"/>
                                    </w:rPr>
                                    <w:t>0</w:t>
                                  </w:r>
                                </w:p>
                              </w:tc>
                            </w:tr>
                            <w:tr w:rsidR="00A0212B" w:rsidRPr="008B60FA" w14:paraId="307AF1DB" w14:textId="77777777" w:rsidTr="00BB173C">
                              <w:trPr>
                                <w:trHeight w:val="369"/>
                                <w:jc w:val="center"/>
                              </w:trPr>
                              <w:tc>
                                <w:tcPr>
                                  <w:tcW w:w="322" w:type="dxa"/>
                                  <w:vMerge w:val="restart"/>
                                  <w:shd w:val="clear" w:color="auto" w:fill="auto"/>
                                  <w:vAlign w:val="center"/>
                                </w:tcPr>
                                <w:p w14:paraId="21EC7142" w14:textId="77777777" w:rsidR="00A0212B" w:rsidRPr="008B60FA" w:rsidRDefault="00A0212B" w:rsidP="00BB173C">
                                  <w:pPr>
                                    <w:overflowPunct w:val="0"/>
                                    <w:autoSpaceDE w:val="0"/>
                                    <w:autoSpaceDN w:val="0"/>
                                    <w:snapToGrid w:val="0"/>
                                    <w:spacing w:line="240" w:lineRule="exact"/>
                                    <w:ind w:leftChars="-15" w:left="-36"/>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bCs/>
                                      <w:color w:val="000000"/>
                                      <w:spacing w:val="-2"/>
                                      <w:kern w:val="0"/>
                                      <w:sz w:val="20"/>
                                    </w:rPr>
                                    <w:t>比較</w:t>
                                  </w:r>
                                </w:p>
                              </w:tc>
                              <w:tc>
                                <w:tcPr>
                                  <w:tcW w:w="828" w:type="dxa"/>
                                  <w:tcBorders>
                                    <w:top w:val="single" w:sz="4" w:space="0" w:color="auto"/>
                                    <w:bottom w:val="single" w:sz="4" w:space="0" w:color="auto"/>
                                  </w:tcBorders>
                                  <w:shd w:val="clear" w:color="auto" w:fill="auto"/>
                                  <w:vAlign w:val="center"/>
                                </w:tcPr>
                                <w:p w14:paraId="06C1C43A"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D0D0D" w:themeColor="text1" w:themeTint="F2"/>
                                      <w:spacing w:val="-2"/>
                                      <w:kern w:val="0"/>
                                      <w:sz w:val="20"/>
                                    </w:rPr>
                                  </w:pPr>
                                  <w:r w:rsidRPr="008B60FA">
                                    <w:rPr>
                                      <w:rFonts w:ascii="標楷體" w:eastAsia="標楷體" w:hAnsi="標楷體" w:cs="DFKaiShu-SB-Estd-BF" w:hint="eastAsia"/>
                                      <w:bCs/>
                                      <w:color w:val="0D0D0D" w:themeColor="text1" w:themeTint="F2"/>
                                      <w:spacing w:val="-2"/>
                                      <w:kern w:val="0"/>
                                      <w:sz w:val="20"/>
                                    </w:rPr>
                                    <w:t>增減數</w:t>
                                  </w:r>
                                </w:p>
                              </w:tc>
                              <w:tc>
                                <w:tcPr>
                                  <w:tcW w:w="938" w:type="dxa"/>
                                  <w:shd w:val="clear" w:color="auto" w:fill="auto"/>
                                  <w:vAlign w:val="center"/>
                                </w:tcPr>
                                <w:p w14:paraId="529190FA"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
                                      <w:color w:val="000000"/>
                                      <w:spacing w:val="-10"/>
                                      <w:kern w:val="0"/>
                                      <w:sz w:val="20"/>
                                    </w:rPr>
                                  </w:pPr>
                                  <w:r w:rsidRPr="008B60FA">
                                    <w:rPr>
                                      <w:rFonts w:ascii="標楷體" w:eastAsia="標楷體" w:hAnsi="標楷體" w:cs="DFKaiShu-SB-Estd-BF" w:hint="eastAsia"/>
                                      <w:b/>
                                      <w:color w:val="000000"/>
                                      <w:spacing w:val="-10"/>
                                      <w:kern w:val="0"/>
                                      <w:sz w:val="20"/>
                                    </w:rPr>
                                    <w:t>-</w:t>
                                  </w:r>
                                  <w:r w:rsidRPr="008B60FA">
                                    <w:rPr>
                                      <w:rFonts w:ascii="標楷體" w:eastAsia="標楷體" w:hAnsi="標楷體" w:cs="DFKaiShu-SB-Estd-BF"/>
                                      <w:b/>
                                      <w:color w:val="000000"/>
                                      <w:spacing w:val="-10"/>
                                      <w:kern w:val="0"/>
                                      <w:sz w:val="20"/>
                                    </w:rPr>
                                    <w:t xml:space="preserve"> 43,04</w:t>
                                  </w:r>
                                  <w:r w:rsidRPr="008B60FA">
                                    <w:rPr>
                                      <w:rFonts w:ascii="標楷體" w:eastAsia="標楷體" w:hAnsi="標楷體" w:cs="DFKaiShu-SB-Estd-BF" w:hint="eastAsia"/>
                                      <w:b/>
                                      <w:color w:val="000000"/>
                                      <w:spacing w:val="-10"/>
                                      <w:kern w:val="0"/>
                                      <w:sz w:val="20"/>
                                    </w:rPr>
                                    <w:t>0</w:t>
                                  </w:r>
                                  <w:r w:rsidRPr="008B60FA">
                                    <w:rPr>
                                      <w:rFonts w:ascii="標楷體" w:eastAsia="標楷體" w:hAnsi="標楷體" w:cs="DFKaiShu-SB-Estd-BF"/>
                                      <w:b/>
                                      <w:color w:val="000000"/>
                                      <w:spacing w:val="-10"/>
                                      <w:kern w:val="0"/>
                                      <w:sz w:val="20"/>
                                    </w:rPr>
                                    <w:t xml:space="preserve"> </w:t>
                                  </w:r>
                                </w:p>
                              </w:tc>
                              <w:tc>
                                <w:tcPr>
                                  <w:tcW w:w="1232" w:type="dxa"/>
                                  <w:shd w:val="clear" w:color="auto" w:fill="auto"/>
                                  <w:vAlign w:val="center"/>
                                </w:tcPr>
                                <w:p w14:paraId="3573B198"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bCs/>
                                      <w:color w:val="000000"/>
                                      <w:spacing w:val="-10"/>
                                      <w:kern w:val="0"/>
                                      <w:sz w:val="20"/>
                                    </w:rPr>
                                    <w:t xml:space="preserve">- </w:t>
                                  </w:r>
                                  <w:r w:rsidRPr="008B60FA">
                                    <w:rPr>
                                      <w:rFonts w:ascii="標楷體" w:eastAsia="標楷體" w:hAnsi="標楷體" w:cs="DFKaiShu-SB-Estd-BF" w:hint="eastAsia"/>
                                      <w:bCs/>
                                      <w:color w:val="000000"/>
                                      <w:spacing w:val="-10"/>
                                      <w:kern w:val="0"/>
                                      <w:sz w:val="20"/>
                                    </w:rPr>
                                    <w:t>1</w:t>
                                  </w:r>
                                  <w:r w:rsidRPr="008B60FA">
                                    <w:rPr>
                                      <w:rFonts w:ascii="標楷體" w:eastAsia="標楷體" w:hAnsi="標楷體" w:cs="DFKaiShu-SB-Estd-BF"/>
                                      <w:bCs/>
                                      <w:color w:val="000000"/>
                                      <w:spacing w:val="-10"/>
                                      <w:kern w:val="0"/>
                                      <w:sz w:val="20"/>
                                    </w:rPr>
                                    <w:t>5,96</w:t>
                                  </w:r>
                                  <w:r w:rsidRPr="008B60FA">
                                    <w:rPr>
                                      <w:rFonts w:ascii="標楷體" w:eastAsia="標楷體" w:hAnsi="標楷體" w:cs="DFKaiShu-SB-Estd-BF" w:hint="eastAsia"/>
                                      <w:bCs/>
                                      <w:color w:val="000000"/>
                                      <w:spacing w:val="-10"/>
                                      <w:kern w:val="0"/>
                                      <w:sz w:val="20"/>
                                    </w:rPr>
                                    <w:t>0</w:t>
                                  </w:r>
                                </w:p>
                              </w:tc>
                              <w:tc>
                                <w:tcPr>
                                  <w:tcW w:w="1414" w:type="dxa"/>
                                  <w:shd w:val="clear" w:color="auto" w:fill="auto"/>
                                  <w:vAlign w:val="center"/>
                                </w:tcPr>
                                <w:p w14:paraId="3270E7D7"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w:t>
                                  </w:r>
                                  <w:r w:rsidRPr="008B60FA">
                                    <w:rPr>
                                      <w:rFonts w:ascii="標楷體" w:eastAsia="標楷體" w:hAnsi="標楷體" w:cs="DFKaiShu-SB-Estd-BF"/>
                                      <w:bCs/>
                                      <w:color w:val="000000"/>
                                      <w:spacing w:val="-10"/>
                                      <w:kern w:val="0"/>
                                      <w:sz w:val="20"/>
                                    </w:rPr>
                                    <w:t xml:space="preserve"> 27,08</w:t>
                                  </w:r>
                                  <w:r w:rsidRPr="008B60FA">
                                    <w:rPr>
                                      <w:rFonts w:ascii="標楷體" w:eastAsia="標楷體" w:hAnsi="標楷體" w:cs="DFKaiShu-SB-Estd-BF" w:hint="eastAsia"/>
                                      <w:bCs/>
                                      <w:color w:val="000000"/>
                                      <w:spacing w:val="-10"/>
                                      <w:kern w:val="0"/>
                                      <w:sz w:val="20"/>
                                    </w:rPr>
                                    <w:t>0</w:t>
                                  </w:r>
                                </w:p>
                              </w:tc>
                            </w:tr>
                            <w:tr w:rsidR="00A0212B" w:rsidRPr="008B60FA" w14:paraId="72619538" w14:textId="77777777" w:rsidTr="00BB173C">
                              <w:trPr>
                                <w:trHeight w:val="369"/>
                                <w:jc w:val="center"/>
                              </w:trPr>
                              <w:tc>
                                <w:tcPr>
                                  <w:tcW w:w="322" w:type="dxa"/>
                                  <w:vMerge/>
                                  <w:shd w:val="clear" w:color="auto" w:fill="auto"/>
                                  <w:vAlign w:val="center"/>
                                </w:tcPr>
                                <w:p w14:paraId="779D34B9"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p>
                              </w:tc>
                              <w:tc>
                                <w:tcPr>
                                  <w:tcW w:w="828" w:type="dxa"/>
                                  <w:tcBorders>
                                    <w:bottom w:val="single" w:sz="4" w:space="0" w:color="auto"/>
                                  </w:tcBorders>
                                  <w:shd w:val="clear" w:color="auto" w:fill="auto"/>
                                  <w:vAlign w:val="center"/>
                                </w:tcPr>
                                <w:p w14:paraId="64FC9910"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D0D0D" w:themeColor="text1" w:themeTint="F2"/>
                                      <w:spacing w:val="-2"/>
                                      <w:kern w:val="0"/>
                                      <w:sz w:val="20"/>
                                    </w:rPr>
                                  </w:pPr>
                                  <w:r w:rsidRPr="008B60FA">
                                    <w:rPr>
                                      <w:rFonts w:ascii="標楷體" w:eastAsia="標楷體" w:hAnsi="標楷體" w:cs="DFKaiShu-SB-Estd-BF" w:hint="eastAsia"/>
                                      <w:bCs/>
                                      <w:color w:val="0D0D0D" w:themeColor="text1" w:themeTint="F2"/>
                                      <w:spacing w:val="-2"/>
                                      <w:kern w:val="0"/>
                                      <w:sz w:val="20"/>
                                    </w:rPr>
                                    <w:t>增減率</w:t>
                                  </w:r>
                                </w:p>
                              </w:tc>
                              <w:tc>
                                <w:tcPr>
                                  <w:tcW w:w="938" w:type="dxa"/>
                                  <w:shd w:val="clear" w:color="auto" w:fill="auto"/>
                                  <w:vAlign w:val="center"/>
                                </w:tcPr>
                                <w:p w14:paraId="4988DE64"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
                                      <w:color w:val="000000"/>
                                      <w:spacing w:val="-10"/>
                                      <w:kern w:val="0"/>
                                      <w:sz w:val="20"/>
                                    </w:rPr>
                                  </w:pPr>
                                  <w:r w:rsidRPr="008B60FA">
                                    <w:rPr>
                                      <w:rFonts w:ascii="標楷體" w:eastAsia="標楷體" w:hAnsi="標楷體" w:cs="DFKaiShu-SB-Estd-BF"/>
                                      <w:b/>
                                      <w:color w:val="000000"/>
                                      <w:spacing w:val="-10"/>
                                      <w:kern w:val="0"/>
                                      <w:sz w:val="20"/>
                                    </w:rPr>
                                    <w:t>- 84.72</w:t>
                                  </w:r>
                                </w:p>
                              </w:tc>
                              <w:tc>
                                <w:tcPr>
                                  <w:tcW w:w="1232" w:type="dxa"/>
                                  <w:shd w:val="clear" w:color="auto" w:fill="auto"/>
                                  <w:vAlign w:val="center"/>
                                </w:tcPr>
                                <w:p w14:paraId="22C88B88"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bCs/>
                                      <w:color w:val="000000"/>
                                      <w:spacing w:val="-10"/>
                                      <w:kern w:val="0"/>
                                      <w:sz w:val="20"/>
                                    </w:rPr>
                                    <w:t>- 97.20</w:t>
                                  </w:r>
                                </w:p>
                              </w:tc>
                              <w:tc>
                                <w:tcPr>
                                  <w:tcW w:w="1414" w:type="dxa"/>
                                  <w:shd w:val="clear" w:color="auto" w:fill="auto"/>
                                  <w:vAlign w:val="center"/>
                                </w:tcPr>
                                <w:p w14:paraId="029D94C9"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- 7</w:t>
                                  </w:r>
                                  <w:r w:rsidRPr="008B60FA">
                                    <w:rPr>
                                      <w:rFonts w:ascii="標楷體" w:eastAsia="標楷體" w:hAnsi="標楷體" w:cs="DFKaiShu-SB-Estd-BF"/>
                                      <w:bCs/>
                                      <w:color w:val="000000"/>
                                      <w:spacing w:val="-10"/>
                                      <w:kern w:val="0"/>
                                      <w:sz w:val="20"/>
                                    </w:rPr>
                                    <w:t>8.77</w:t>
                                  </w:r>
                                </w:p>
                              </w:tc>
                            </w:tr>
                            <w:tr w:rsidR="00A0212B" w:rsidRPr="008B60FA" w14:paraId="21A38874" w14:textId="77777777" w:rsidTr="00BB173C">
                              <w:trPr>
                                <w:jc w:val="center"/>
                              </w:trPr>
                              <w:tc>
                                <w:tcPr>
                                  <w:tcW w:w="4734" w:type="dxa"/>
                                  <w:gridSpan w:val="5"/>
                                  <w:tcBorders>
                                    <w:left w:val="nil"/>
                                    <w:bottom w:val="nil"/>
                                    <w:right w:val="nil"/>
                                  </w:tcBorders>
                                  <w:shd w:val="clear" w:color="auto" w:fill="auto"/>
                                </w:tcPr>
                                <w:p w14:paraId="24A67A03" w14:textId="77777777" w:rsidR="00A0212B" w:rsidRPr="008B60FA" w:rsidRDefault="00A0212B" w:rsidP="00F31B49">
                                  <w:pPr>
                                    <w:overflowPunct w:val="0"/>
                                    <w:autoSpaceDE w:val="0"/>
                                    <w:autoSpaceDN w:val="0"/>
                                    <w:snapToGrid w:val="0"/>
                                    <w:spacing w:line="240" w:lineRule="exact"/>
                                    <w:ind w:leftChars="-50" w:left="-120"/>
                                    <w:jc w:val="both"/>
                                    <w:outlineLvl w:val="2"/>
                                    <w:rPr>
                                      <w:rFonts w:ascii="標楷體" w:eastAsia="標楷體" w:hAnsi="標楷體" w:cs="DFKaiShu-SB-Estd-BF"/>
                                      <w:bCs/>
                                      <w:color w:val="000000"/>
                                      <w:spacing w:val="-2"/>
                                      <w:kern w:val="0"/>
                                      <w:sz w:val="18"/>
                                      <w:szCs w:val="18"/>
                                    </w:rPr>
                                  </w:pPr>
                                  <w:r w:rsidRPr="008B60FA">
                                    <w:rPr>
                                      <w:rFonts w:ascii="標楷體" w:eastAsia="標楷體" w:hAnsi="標楷體" w:cs="DFKaiShu-SB-Estd-BF"/>
                                      <w:bCs/>
                                      <w:color w:val="000000"/>
                                      <w:spacing w:val="-2"/>
                                      <w:kern w:val="0"/>
                                      <w:sz w:val="18"/>
                                      <w:szCs w:val="18"/>
                                    </w:rPr>
                                    <w:t>資料來源：整理自</w:t>
                                  </w:r>
                                  <w:r w:rsidRPr="008B60FA">
                                    <w:rPr>
                                      <w:rFonts w:ascii="標楷體" w:eastAsia="標楷體" w:hAnsi="標楷體" w:cs="DFKaiShu-SB-Estd-BF" w:hint="eastAsia"/>
                                      <w:bCs/>
                                      <w:color w:val="000000"/>
                                      <w:spacing w:val="-2"/>
                                      <w:kern w:val="0"/>
                                      <w:sz w:val="18"/>
                                      <w:szCs w:val="18"/>
                                    </w:rPr>
                                    <w:t>國家通訊傳播委員會</w:t>
                                  </w:r>
                                  <w:r w:rsidRPr="008B60FA">
                                    <w:rPr>
                                      <w:rFonts w:ascii="標楷體" w:eastAsia="標楷體" w:hAnsi="標楷體" w:cs="DFKaiShu-SB-Estd-BF"/>
                                      <w:bCs/>
                                      <w:color w:val="000000"/>
                                      <w:spacing w:val="-2"/>
                                      <w:kern w:val="0"/>
                                      <w:sz w:val="18"/>
                                      <w:szCs w:val="18"/>
                                    </w:rPr>
                                    <w:t>提供資料。</w:t>
                                  </w:r>
                                </w:p>
                              </w:tc>
                            </w:tr>
                            <w:bookmarkEnd w:id="0"/>
                          </w:tbl>
                          <w:p w14:paraId="19B688EF" w14:textId="77777777" w:rsidR="00A0212B" w:rsidRPr="008B60FA" w:rsidRDefault="00A0212B" w:rsidP="00BB173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A9F2D0" id="文字方塊 88" o:spid="_x0000_s1047" type="#_x0000_t202" style="position:absolute;left:0;text-align:left;margin-left:254.2pt;margin-top:97.15pt;width:241.15pt;height:161.1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" stroked="f" strokecolor="red">
                <v:textbox>
                  <w:txbxContent>
                    <w:tbl>
                      <w:tblPr>
                        <w:tblW w:w="4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
                        <w:gridCol w:w="828"/>
                        <w:gridCol w:w="938"/>
                        <w:gridCol w:w="1232"/>
                        <w:gridCol w:w="1414"/>
                      </w:tblGrid>
                      <w:tr w:rsidR="00A0212B" w:rsidRPr="008B60FA" w14:paraId="74844B46" w14:textId="77777777" w:rsidTr="00BB173C">
                        <w:trPr>
                          <w:jc w:val="center"/>
                        </w:trPr>
                        <w:tc>
                          <w:tcPr>
                            <w:tcW w:w="4734" w:type="dxa"/>
                            <w:gridSpan w:val="5"/>
                            <w:tcBorders>
                              <w:top w:val="nil"/>
                              <w:left w:val="nil"/>
                              <w:bottom w:val="nil"/>
                              <w:right w:val="nil"/>
                            </w:tcBorders>
                            <w:shd w:val="clear" w:color="auto" w:fill="auto"/>
                            <w:vAlign w:val="center"/>
                          </w:tcPr>
                          <w:p w14:paraId="647841E1" w14:textId="308A2EF4" w:rsidR="00A0212B" w:rsidRPr="008B60FA" w:rsidRDefault="00A0212B" w:rsidP="00AD2E6F">
                            <w:pPr>
                              <w:spacing w:afterLines="25" w:after="90" w:line="280" w:lineRule="exact"/>
                              <w:ind w:leftChars="-15" w:left="614" w:rightChars="-15" w:right="-36" w:hangingChars="280" w:hanging="650"/>
                              <w:jc w:val="center"/>
                              <w:rPr>
                                <w:rFonts w:ascii="標楷體" w:eastAsia="標楷體" w:hAnsi="標楷體"/>
                                <w:b/>
                                <w:bCs/>
                                <w:spacing w:val="-4"/>
                              </w:rPr>
                            </w:pPr>
                            <w:bookmarkStart w:id="1" w:name="_Hlk164243325"/>
                            <w:r w:rsidRPr="008B60FA">
                              <w:rPr>
                                <w:rFonts w:ascii="標楷體" w:eastAsia="標楷體" w:hAnsi="標楷體" w:hint="eastAsia"/>
                                <w:b/>
                                <w:bCs/>
                                <w:spacing w:val="-4"/>
                              </w:rPr>
                              <w:t>表</w:t>
                            </w:r>
                            <w:r>
                              <w:rPr>
                                <w:rFonts w:ascii="標楷體" w:eastAsia="標楷體" w:hAnsi="標楷體"/>
                                <w:b/>
                                <w:bCs/>
                                <w:spacing w:val="-4"/>
                              </w:rPr>
                              <w:t>10</w:t>
                            </w:r>
                            <w:r w:rsidRPr="008B60FA">
                              <w:rPr>
                                <w:rFonts w:ascii="標楷體" w:eastAsia="標楷體" w:hAnsi="標楷體" w:hint="eastAsia"/>
                                <w:b/>
                                <w:bCs/>
                                <w:spacing w:val="-4"/>
                              </w:rPr>
                              <w:t xml:space="preserve">　國際來話攔阻及警示機制推動成效</w:t>
                            </w:r>
                          </w:p>
                        </w:tc>
                      </w:tr>
                      <w:tr w:rsidR="00A0212B" w:rsidRPr="008B60FA" w14:paraId="07C4CF48" w14:textId="77777777" w:rsidTr="00BB173C">
                        <w:trPr>
                          <w:jc w:val="center"/>
                        </w:trPr>
                        <w:tc>
                          <w:tcPr>
                            <w:tcW w:w="4734" w:type="dxa"/>
                            <w:gridSpan w:val="5"/>
                            <w:tcBorders>
                              <w:top w:val="nil"/>
                              <w:left w:val="nil"/>
                              <w:right w:val="nil"/>
                            </w:tcBorders>
                            <w:shd w:val="clear" w:color="auto" w:fill="auto"/>
                            <w:vAlign w:val="center"/>
                          </w:tcPr>
                          <w:p w14:paraId="1248A3E9" w14:textId="77777777" w:rsidR="00A0212B" w:rsidRPr="008B60FA" w:rsidRDefault="00A0212B" w:rsidP="00BB173C">
                            <w:pPr>
                              <w:overflowPunct w:val="0"/>
                              <w:autoSpaceDE w:val="0"/>
                              <w:autoSpaceDN w:val="0"/>
                              <w:snapToGrid w:val="0"/>
                              <w:spacing w:line="240" w:lineRule="exact"/>
                              <w:jc w:val="right"/>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單位：千通、％</w:t>
                            </w:r>
                          </w:p>
                        </w:tc>
                      </w:tr>
                      <w:tr w:rsidR="00A0212B" w:rsidRPr="008B60FA" w14:paraId="5ED22D63" w14:textId="77777777" w:rsidTr="00BB173C">
                        <w:trPr>
                          <w:trHeight w:val="340"/>
                          <w:jc w:val="center"/>
                        </w:trPr>
                        <w:tc>
                          <w:tcPr>
                            <w:tcW w:w="1150" w:type="dxa"/>
                            <w:gridSpan w:val="2"/>
                            <w:vMerge w:val="restart"/>
                            <w:shd w:val="clear" w:color="auto" w:fill="auto"/>
                            <w:vAlign w:val="center"/>
                          </w:tcPr>
                          <w:p w14:paraId="2450A206"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 xml:space="preserve">項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目</w:t>
                            </w:r>
                          </w:p>
                        </w:tc>
                        <w:tc>
                          <w:tcPr>
                            <w:tcW w:w="3584" w:type="dxa"/>
                            <w:gridSpan w:val="3"/>
                            <w:shd w:val="clear" w:color="auto" w:fill="auto"/>
                            <w:vAlign w:val="center"/>
                          </w:tcPr>
                          <w:p w14:paraId="446481BE"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 xml:space="preserve">國  際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 xml:space="preserve">來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 xml:space="preserve">話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 xml:space="preserve">話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 xml:space="preserve">務 </w:t>
                            </w:r>
                            <w:r w:rsidRPr="008B60FA">
                              <w:rPr>
                                <w:rFonts w:ascii="標楷體" w:eastAsia="標楷體" w:hAnsi="標楷體" w:cs="DFKaiShu-SB-Estd-BF"/>
                                <w:bCs/>
                                <w:color w:val="000000"/>
                                <w:spacing w:val="-2"/>
                                <w:kern w:val="0"/>
                                <w:sz w:val="20"/>
                              </w:rPr>
                              <w:t xml:space="preserve"> </w:t>
                            </w:r>
                            <w:r w:rsidRPr="008B60FA">
                              <w:rPr>
                                <w:rFonts w:ascii="標楷體" w:eastAsia="標楷體" w:hAnsi="標楷體" w:cs="DFKaiShu-SB-Estd-BF" w:hint="eastAsia"/>
                                <w:bCs/>
                                <w:color w:val="000000"/>
                                <w:spacing w:val="-2"/>
                                <w:kern w:val="0"/>
                                <w:sz w:val="20"/>
                              </w:rPr>
                              <w:t>量</w:t>
                            </w:r>
                          </w:p>
                        </w:tc>
                      </w:tr>
                      <w:tr w:rsidR="00A0212B" w:rsidRPr="008B60FA" w14:paraId="511FF0B0" w14:textId="77777777" w:rsidTr="00BB173C">
                        <w:trPr>
                          <w:trHeight w:val="340"/>
                          <w:jc w:val="center"/>
                        </w:trPr>
                        <w:tc>
                          <w:tcPr>
                            <w:tcW w:w="1150" w:type="dxa"/>
                            <w:gridSpan w:val="2"/>
                            <w:vMerge/>
                            <w:shd w:val="clear" w:color="auto" w:fill="auto"/>
                            <w:vAlign w:val="center"/>
                          </w:tcPr>
                          <w:p w14:paraId="4024273A"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p>
                        </w:tc>
                        <w:tc>
                          <w:tcPr>
                            <w:tcW w:w="938" w:type="dxa"/>
                            <w:shd w:val="clear" w:color="auto" w:fill="auto"/>
                            <w:vAlign w:val="center"/>
                          </w:tcPr>
                          <w:p w14:paraId="4601A400" w14:textId="77777777" w:rsidR="00A0212B" w:rsidRPr="008B60FA" w:rsidRDefault="00A0212B" w:rsidP="00BB173C">
                            <w:pPr>
                              <w:overflowPunct w:val="0"/>
                              <w:autoSpaceDE w:val="0"/>
                              <w:autoSpaceDN w:val="0"/>
                              <w:snapToGrid w:val="0"/>
                              <w:spacing w:line="280" w:lineRule="exact"/>
                              <w:ind w:leftChars="-15" w:left="-36" w:rightChars="-15" w:right="-36"/>
                              <w:jc w:val="center"/>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kern w:val="0"/>
                                <w:sz w:val="20"/>
                              </w:rPr>
                              <w:t>合</w:t>
                            </w:r>
                            <w:r w:rsidRPr="00E2159A">
                              <w:rPr>
                                <w:rFonts w:ascii="標楷體" w:eastAsia="標楷體" w:hAnsi="標楷體" w:cs="DFKaiShu-SB-Estd-BF" w:hint="eastAsia"/>
                                <w:bCs/>
                                <w:color w:val="000000"/>
                                <w:kern w:val="0"/>
                                <w:sz w:val="20"/>
                              </w:rPr>
                              <w:t xml:space="preserve"> </w:t>
                            </w:r>
                            <w:r w:rsidRPr="008B60FA">
                              <w:rPr>
                                <w:rFonts w:ascii="標楷體" w:eastAsia="標楷體" w:hAnsi="標楷體" w:cs="DFKaiShu-SB-Estd-BF" w:hint="eastAsia"/>
                                <w:bCs/>
                                <w:color w:val="000000"/>
                                <w:kern w:val="0"/>
                                <w:sz w:val="20"/>
                              </w:rPr>
                              <w:t>計</w:t>
                            </w:r>
                          </w:p>
                        </w:tc>
                        <w:tc>
                          <w:tcPr>
                            <w:tcW w:w="1232" w:type="dxa"/>
                            <w:shd w:val="clear" w:color="auto" w:fill="auto"/>
                            <w:vAlign w:val="center"/>
                          </w:tcPr>
                          <w:p w14:paraId="47FD7C3A" w14:textId="77777777" w:rsidR="00A0212B" w:rsidRPr="008B60FA" w:rsidRDefault="00A0212B" w:rsidP="00BB173C">
                            <w:pPr>
                              <w:overflowPunct w:val="0"/>
                              <w:autoSpaceDE w:val="0"/>
                              <w:autoSpaceDN w:val="0"/>
                              <w:snapToGrid w:val="0"/>
                              <w:spacing w:line="280" w:lineRule="exact"/>
                              <w:ind w:leftChars="-15" w:left="-36" w:rightChars="-15" w:right="-36"/>
                              <w:jc w:val="center"/>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「+886」開頭</w:t>
                            </w:r>
                          </w:p>
                        </w:tc>
                        <w:tc>
                          <w:tcPr>
                            <w:tcW w:w="1414" w:type="dxa"/>
                            <w:shd w:val="clear" w:color="auto" w:fill="auto"/>
                            <w:vAlign w:val="center"/>
                          </w:tcPr>
                          <w:p w14:paraId="629389F2" w14:textId="77777777" w:rsidR="00A0212B" w:rsidRPr="008B60FA" w:rsidRDefault="00A0212B" w:rsidP="00BB173C">
                            <w:pPr>
                              <w:overflowPunct w:val="0"/>
                              <w:autoSpaceDE w:val="0"/>
                              <w:autoSpaceDN w:val="0"/>
                              <w:snapToGrid w:val="0"/>
                              <w:spacing w:line="280" w:lineRule="exact"/>
                              <w:ind w:leftChars="-15" w:left="-36" w:rightChars="-15" w:right="-36"/>
                              <w:jc w:val="center"/>
                              <w:outlineLvl w:val="2"/>
                              <w:rPr>
                                <w:rFonts w:ascii="標楷體" w:eastAsia="標楷體" w:hAnsi="標楷體" w:cs="DFKaiShu-SB-Estd-BF"/>
                                <w:bCs/>
                                <w:color w:val="000000"/>
                                <w:kern w:val="0"/>
                                <w:sz w:val="20"/>
                              </w:rPr>
                            </w:pPr>
                            <w:r w:rsidRPr="008B60FA">
                              <w:rPr>
                                <w:rFonts w:ascii="標楷體" w:eastAsia="標楷體" w:hAnsi="標楷體" w:cs="DFKaiShu-SB-Estd-BF" w:hint="eastAsia"/>
                                <w:bCs/>
                                <w:color w:val="000000"/>
                                <w:spacing w:val="-10"/>
                                <w:kern w:val="0"/>
                                <w:sz w:val="20"/>
                              </w:rPr>
                              <w:t>非「+886」開頭</w:t>
                            </w:r>
                          </w:p>
                        </w:tc>
                      </w:tr>
                      <w:tr w:rsidR="00A0212B" w:rsidRPr="008B60FA" w14:paraId="1CE13A48" w14:textId="77777777" w:rsidTr="00BB173C">
                        <w:trPr>
                          <w:trHeight w:val="369"/>
                          <w:jc w:val="center"/>
                        </w:trPr>
                        <w:tc>
                          <w:tcPr>
                            <w:tcW w:w="1150" w:type="dxa"/>
                            <w:gridSpan w:val="2"/>
                            <w:shd w:val="clear" w:color="auto" w:fill="auto"/>
                            <w:vAlign w:val="center"/>
                          </w:tcPr>
                          <w:p w14:paraId="51617FBB"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112年5月</w:t>
                            </w:r>
                          </w:p>
                        </w:tc>
                        <w:tc>
                          <w:tcPr>
                            <w:tcW w:w="938" w:type="dxa"/>
                            <w:shd w:val="clear" w:color="auto" w:fill="auto"/>
                            <w:vAlign w:val="center"/>
                          </w:tcPr>
                          <w:p w14:paraId="246E0313"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
                                <w:color w:val="000000"/>
                                <w:spacing w:val="-10"/>
                                <w:kern w:val="0"/>
                                <w:sz w:val="20"/>
                              </w:rPr>
                            </w:pPr>
                            <w:r w:rsidRPr="008B60FA">
                              <w:rPr>
                                <w:rFonts w:ascii="標楷體" w:eastAsia="標楷體" w:hAnsi="標楷體" w:cs="DFKaiShu-SB-Estd-BF" w:hint="eastAsia"/>
                                <w:b/>
                                <w:color w:val="000000"/>
                                <w:spacing w:val="-10"/>
                                <w:kern w:val="0"/>
                                <w:sz w:val="20"/>
                              </w:rPr>
                              <w:t>50</w:t>
                            </w:r>
                            <w:r w:rsidRPr="008B60FA">
                              <w:rPr>
                                <w:rFonts w:ascii="標楷體" w:eastAsia="標楷體" w:hAnsi="標楷體" w:cs="DFKaiShu-SB-Estd-BF"/>
                                <w:b/>
                                <w:color w:val="000000"/>
                                <w:spacing w:val="-10"/>
                                <w:kern w:val="0"/>
                                <w:sz w:val="20"/>
                              </w:rPr>
                              <w:t>,</w:t>
                            </w:r>
                            <w:r w:rsidRPr="008B60FA">
                              <w:rPr>
                                <w:rFonts w:ascii="標楷體" w:eastAsia="標楷體" w:hAnsi="標楷體" w:cs="DFKaiShu-SB-Estd-BF" w:hint="eastAsia"/>
                                <w:b/>
                                <w:color w:val="000000"/>
                                <w:spacing w:val="-10"/>
                                <w:kern w:val="0"/>
                                <w:sz w:val="20"/>
                              </w:rPr>
                              <w:t>8</w:t>
                            </w:r>
                            <w:r w:rsidRPr="008B60FA">
                              <w:rPr>
                                <w:rFonts w:ascii="標楷體" w:eastAsia="標楷體" w:hAnsi="標楷體" w:cs="DFKaiShu-SB-Estd-BF"/>
                                <w:b/>
                                <w:color w:val="000000"/>
                                <w:spacing w:val="-10"/>
                                <w:kern w:val="0"/>
                                <w:sz w:val="20"/>
                              </w:rPr>
                              <w:t>0</w:t>
                            </w:r>
                            <w:r w:rsidRPr="008B60FA">
                              <w:rPr>
                                <w:rFonts w:ascii="標楷體" w:eastAsia="標楷體" w:hAnsi="標楷體" w:cs="DFKaiShu-SB-Estd-BF" w:hint="eastAsia"/>
                                <w:b/>
                                <w:color w:val="000000"/>
                                <w:spacing w:val="-10"/>
                                <w:kern w:val="0"/>
                                <w:sz w:val="20"/>
                              </w:rPr>
                              <w:t>0</w:t>
                            </w:r>
                          </w:p>
                        </w:tc>
                        <w:tc>
                          <w:tcPr>
                            <w:tcW w:w="1232" w:type="dxa"/>
                            <w:shd w:val="clear" w:color="auto" w:fill="auto"/>
                            <w:vAlign w:val="center"/>
                          </w:tcPr>
                          <w:p w14:paraId="2B78B716"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1</w:t>
                            </w:r>
                            <w:r w:rsidRPr="008B60FA">
                              <w:rPr>
                                <w:rFonts w:ascii="標楷體" w:eastAsia="標楷體" w:hAnsi="標楷體" w:cs="DFKaiShu-SB-Estd-BF"/>
                                <w:bCs/>
                                <w:color w:val="000000"/>
                                <w:spacing w:val="-10"/>
                                <w:kern w:val="0"/>
                                <w:sz w:val="20"/>
                              </w:rPr>
                              <w:t>6,42</w:t>
                            </w:r>
                            <w:r w:rsidRPr="008B60FA">
                              <w:rPr>
                                <w:rFonts w:ascii="標楷體" w:eastAsia="標楷體" w:hAnsi="標楷體" w:cs="DFKaiShu-SB-Estd-BF" w:hint="eastAsia"/>
                                <w:bCs/>
                                <w:color w:val="000000"/>
                                <w:spacing w:val="-10"/>
                                <w:kern w:val="0"/>
                                <w:sz w:val="20"/>
                              </w:rPr>
                              <w:t>0</w:t>
                            </w:r>
                          </w:p>
                        </w:tc>
                        <w:tc>
                          <w:tcPr>
                            <w:tcW w:w="1414" w:type="dxa"/>
                            <w:shd w:val="clear" w:color="auto" w:fill="auto"/>
                            <w:vAlign w:val="center"/>
                          </w:tcPr>
                          <w:p w14:paraId="51148FE6"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3</w:t>
                            </w:r>
                            <w:r w:rsidRPr="008B60FA">
                              <w:rPr>
                                <w:rFonts w:ascii="標楷體" w:eastAsia="標楷體" w:hAnsi="標楷體" w:cs="DFKaiShu-SB-Estd-BF"/>
                                <w:bCs/>
                                <w:color w:val="000000"/>
                                <w:spacing w:val="-10"/>
                                <w:kern w:val="0"/>
                                <w:sz w:val="20"/>
                              </w:rPr>
                              <w:t>4,38</w:t>
                            </w:r>
                            <w:r w:rsidRPr="008B60FA">
                              <w:rPr>
                                <w:rFonts w:ascii="標楷體" w:eastAsia="標楷體" w:hAnsi="標楷體" w:cs="DFKaiShu-SB-Estd-BF" w:hint="eastAsia"/>
                                <w:bCs/>
                                <w:color w:val="000000"/>
                                <w:spacing w:val="-10"/>
                                <w:kern w:val="0"/>
                                <w:sz w:val="20"/>
                              </w:rPr>
                              <w:t>0</w:t>
                            </w:r>
                          </w:p>
                        </w:tc>
                      </w:tr>
                      <w:tr w:rsidR="00A0212B" w:rsidRPr="008B60FA" w14:paraId="7BDB2A23" w14:textId="77777777" w:rsidTr="00BB173C">
                        <w:trPr>
                          <w:trHeight w:val="369"/>
                          <w:jc w:val="center"/>
                        </w:trPr>
                        <w:tc>
                          <w:tcPr>
                            <w:tcW w:w="1150" w:type="dxa"/>
                            <w:gridSpan w:val="2"/>
                            <w:shd w:val="clear" w:color="auto" w:fill="auto"/>
                            <w:vAlign w:val="center"/>
                          </w:tcPr>
                          <w:p w14:paraId="078599D3"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hint="eastAsia"/>
                                <w:bCs/>
                                <w:color w:val="000000"/>
                                <w:spacing w:val="-2"/>
                                <w:kern w:val="0"/>
                                <w:sz w:val="20"/>
                              </w:rPr>
                              <w:t>113年2月</w:t>
                            </w:r>
                          </w:p>
                        </w:tc>
                        <w:tc>
                          <w:tcPr>
                            <w:tcW w:w="938" w:type="dxa"/>
                            <w:shd w:val="clear" w:color="auto" w:fill="auto"/>
                            <w:vAlign w:val="center"/>
                          </w:tcPr>
                          <w:p w14:paraId="2B6AF9F0"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
                                <w:color w:val="000000"/>
                                <w:spacing w:val="-10"/>
                                <w:kern w:val="0"/>
                                <w:sz w:val="20"/>
                              </w:rPr>
                            </w:pPr>
                            <w:r w:rsidRPr="008B60FA">
                              <w:rPr>
                                <w:rFonts w:ascii="標楷體" w:eastAsia="標楷體" w:hAnsi="標楷體" w:cs="DFKaiShu-SB-Estd-BF" w:hint="eastAsia"/>
                                <w:b/>
                                <w:color w:val="000000"/>
                                <w:spacing w:val="-10"/>
                                <w:kern w:val="0"/>
                                <w:sz w:val="20"/>
                              </w:rPr>
                              <w:t>7</w:t>
                            </w:r>
                            <w:r w:rsidRPr="008B60FA">
                              <w:rPr>
                                <w:rFonts w:ascii="標楷體" w:eastAsia="標楷體" w:hAnsi="標楷體" w:cs="DFKaiShu-SB-Estd-BF"/>
                                <w:b/>
                                <w:color w:val="000000"/>
                                <w:spacing w:val="-10"/>
                                <w:kern w:val="0"/>
                                <w:sz w:val="20"/>
                              </w:rPr>
                              <w:t>,76</w:t>
                            </w:r>
                            <w:r w:rsidRPr="008B60FA">
                              <w:rPr>
                                <w:rFonts w:ascii="標楷體" w:eastAsia="標楷體" w:hAnsi="標楷體" w:cs="DFKaiShu-SB-Estd-BF" w:hint="eastAsia"/>
                                <w:b/>
                                <w:color w:val="000000"/>
                                <w:spacing w:val="-10"/>
                                <w:kern w:val="0"/>
                                <w:sz w:val="20"/>
                              </w:rPr>
                              <w:t>0</w:t>
                            </w:r>
                          </w:p>
                        </w:tc>
                        <w:tc>
                          <w:tcPr>
                            <w:tcW w:w="1232" w:type="dxa"/>
                            <w:shd w:val="clear" w:color="auto" w:fill="auto"/>
                            <w:vAlign w:val="center"/>
                          </w:tcPr>
                          <w:p w14:paraId="42032E33"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bCs/>
                                <w:color w:val="000000"/>
                                <w:spacing w:val="-10"/>
                                <w:kern w:val="0"/>
                                <w:sz w:val="20"/>
                              </w:rPr>
                              <w:t>46</w:t>
                            </w:r>
                            <w:r w:rsidRPr="008B60FA">
                              <w:rPr>
                                <w:rFonts w:ascii="標楷體" w:eastAsia="標楷體" w:hAnsi="標楷體" w:cs="DFKaiShu-SB-Estd-BF" w:hint="eastAsia"/>
                                <w:bCs/>
                                <w:color w:val="000000"/>
                                <w:spacing w:val="-10"/>
                                <w:kern w:val="0"/>
                                <w:sz w:val="20"/>
                              </w:rPr>
                              <w:t>0</w:t>
                            </w:r>
                          </w:p>
                        </w:tc>
                        <w:tc>
                          <w:tcPr>
                            <w:tcW w:w="1414" w:type="dxa"/>
                            <w:shd w:val="clear" w:color="auto" w:fill="auto"/>
                            <w:vAlign w:val="center"/>
                          </w:tcPr>
                          <w:p w14:paraId="0F103558"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7</w:t>
                            </w:r>
                            <w:r w:rsidRPr="008B60FA">
                              <w:rPr>
                                <w:rFonts w:ascii="標楷體" w:eastAsia="標楷體" w:hAnsi="標楷體" w:cs="DFKaiShu-SB-Estd-BF"/>
                                <w:bCs/>
                                <w:color w:val="000000"/>
                                <w:spacing w:val="-10"/>
                                <w:kern w:val="0"/>
                                <w:sz w:val="20"/>
                              </w:rPr>
                              <w:t>,30</w:t>
                            </w:r>
                            <w:r w:rsidRPr="008B60FA">
                              <w:rPr>
                                <w:rFonts w:ascii="標楷體" w:eastAsia="標楷體" w:hAnsi="標楷體" w:cs="DFKaiShu-SB-Estd-BF" w:hint="eastAsia"/>
                                <w:bCs/>
                                <w:color w:val="000000"/>
                                <w:spacing w:val="-10"/>
                                <w:kern w:val="0"/>
                                <w:sz w:val="20"/>
                              </w:rPr>
                              <w:t>0</w:t>
                            </w:r>
                          </w:p>
                        </w:tc>
                      </w:tr>
                      <w:tr w:rsidR="00A0212B" w:rsidRPr="008B60FA" w14:paraId="307AF1DB" w14:textId="77777777" w:rsidTr="00BB173C">
                        <w:trPr>
                          <w:trHeight w:val="369"/>
                          <w:jc w:val="center"/>
                        </w:trPr>
                        <w:tc>
                          <w:tcPr>
                            <w:tcW w:w="322" w:type="dxa"/>
                            <w:vMerge w:val="restart"/>
                            <w:shd w:val="clear" w:color="auto" w:fill="auto"/>
                            <w:vAlign w:val="center"/>
                          </w:tcPr>
                          <w:p w14:paraId="21EC7142" w14:textId="77777777" w:rsidR="00A0212B" w:rsidRPr="008B60FA" w:rsidRDefault="00A0212B" w:rsidP="00BB173C">
                            <w:pPr>
                              <w:overflowPunct w:val="0"/>
                              <w:autoSpaceDE w:val="0"/>
                              <w:autoSpaceDN w:val="0"/>
                              <w:snapToGrid w:val="0"/>
                              <w:spacing w:line="240" w:lineRule="exact"/>
                              <w:ind w:leftChars="-15" w:left="-36"/>
                              <w:jc w:val="center"/>
                              <w:outlineLvl w:val="2"/>
                              <w:rPr>
                                <w:rFonts w:ascii="標楷體" w:eastAsia="標楷體" w:hAnsi="標楷體" w:cs="DFKaiShu-SB-Estd-BF"/>
                                <w:bCs/>
                                <w:color w:val="000000"/>
                                <w:spacing w:val="-2"/>
                                <w:kern w:val="0"/>
                                <w:sz w:val="20"/>
                              </w:rPr>
                            </w:pPr>
                            <w:r w:rsidRPr="008B60FA">
                              <w:rPr>
                                <w:rFonts w:ascii="標楷體" w:eastAsia="標楷體" w:hAnsi="標楷體" w:cs="DFKaiShu-SB-Estd-BF"/>
                                <w:bCs/>
                                <w:color w:val="000000"/>
                                <w:spacing w:val="-2"/>
                                <w:kern w:val="0"/>
                                <w:sz w:val="20"/>
                              </w:rPr>
                              <w:t>比較</w:t>
                            </w:r>
                          </w:p>
                        </w:tc>
                        <w:tc>
                          <w:tcPr>
                            <w:tcW w:w="828" w:type="dxa"/>
                            <w:tcBorders>
                              <w:top w:val="single" w:sz="4" w:space="0" w:color="auto"/>
                              <w:bottom w:val="single" w:sz="4" w:space="0" w:color="auto"/>
                            </w:tcBorders>
                            <w:shd w:val="clear" w:color="auto" w:fill="auto"/>
                            <w:vAlign w:val="center"/>
                          </w:tcPr>
                          <w:p w14:paraId="06C1C43A"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D0D0D" w:themeColor="text1" w:themeTint="F2"/>
                                <w:spacing w:val="-2"/>
                                <w:kern w:val="0"/>
                                <w:sz w:val="20"/>
                              </w:rPr>
                            </w:pPr>
                            <w:r w:rsidRPr="008B60FA">
                              <w:rPr>
                                <w:rFonts w:ascii="標楷體" w:eastAsia="標楷體" w:hAnsi="標楷體" w:cs="DFKaiShu-SB-Estd-BF" w:hint="eastAsia"/>
                                <w:bCs/>
                                <w:color w:val="0D0D0D" w:themeColor="text1" w:themeTint="F2"/>
                                <w:spacing w:val="-2"/>
                                <w:kern w:val="0"/>
                                <w:sz w:val="20"/>
                              </w:rPr>
                              <w:t>增減數</w:t>
                            </w:r>
                          </w:p>
                        </w:tc>
                        <w:tc>
                          <w:tcPr>
                            <w:tcW w:w="938" w:type="dxa"/>
                            <w:shd w:val="clear" w:color="auto" w:fill="auto"/>
                            <w:vAlign w:val="center"/>
                          </w:tcPr>
                          <w:p w14:paraId="529190FA"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
                                <w:color w:val="000000"/>
                                <w:spacing w:val="-10"/>
                                <w:kern w:val="0"/>
                                <w:sz w:val="20"/>
                              </w:rPr>
                            </w:pPr>
                            <w:r w:rsidRPr="008B60FA">
                              <w:rPr>
                                <w:rFonts w:ascii="標楷體" w:eastAsia="標楷體" w:hAnsi="標楷體" w:cs="DFKaiShu-SB-Estd-BF" w:hint="eastAsia"/>
                                <w:b/>
                                <w:color w:val="000000"/>
                                <w:spacing w:val="-10"/>
                                <w:kern w:val="0"/>
                                <w:sz w:val="20"/>
                              </w:rPr>
                              <w:t>-</w:t>
                            </w:r>
                            <w:r w:rsidRPr="008B60FA">
                              <w:rPr>
                                <w:rFonts w:ascii="標楷體" w:eastAsia="標楷體" w:hAnsi="標楷體" w:cs="DFKaiShu-SB-Estd-BF"/>
                                <w:b/>
                                <w:color w:val="000000"/>
                                <w:spacing w:val="-10"/>
                                <w:kern w:val="0"/>
                                <w:sz w:val="20"/>
                              </w:rPr>
                              <w:t xml:space="preserve"> 43,04</w:t>
                            </w:r>
                            <w:r w:rsidRPr="008B60FA">
                              <w:rPr>
                                <w:rFonts w:ascii="標楷體" w:eastAsia="標楷體" w:hAnsi="標楷體" w:cs="DFKaiShu-SB-Estd-BF" w:hint="eastAsia"/>
                                <w:b/>
                                <w:color w:val="000000"/>
                                <w:spacing w:val="-10"/>
                                <w:kern w:val="0"/>
                                <w:sz w:val="20"/>
                              </w:rPr>
                              <w:t>0</w:t>
                            </w:r>
                            <w:r w:rsidRPr="008B60FA">
                              <w:rPr>
                                <w:rFonts w:ascii="標楷體" w:eastAsia="標楷體" w:hAnsi="標楷體" w:cs="DFKaiShu-SB-Estd-BF"/>
                                <w:b/>
                                <w:color w:val="000000"/>
                                <w:spacing w:val="-10"/>
                                <w:kern w:val="0"/>
                                <w:sz w:val="20"/>
                              </w:rPr>
                              <w:t xml:space="preserve"> </w:t>
                            </w:r>
                          </w:p>
                        </w:tc>
                        <w:tc>
                          <w:tcPr>
                            <w:tcW w:w="1232" w:type="dxa"/>
                            <w:shd w:val="clear" w:color="auto" w:fill="auto"/>
                            <w:vAlign w:val="center"/>
                          </w:tcPr>
                          <w:p w14:paraId="3573B198"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bCs/>
                                <w:color w:val="000000"/>
                                <w:spacing w:val="-10"/>
                                <w:kern w:val="0"/>
                                <w:sz w:val="20"/>
                              </w:rPr>
                              <w:t xml:space="preserve">- </w:t>
                            </w:r>
                            <w:r w:rsidRPr="008B60FA">
                              <w:rPr>
                                <w:rFonts w:ascii="標楷體" w:eastAsia="標楷體" w:hAnsi="標楷體" w:cs="DFKaiShu-SB-Estd-BF" w:hint="eastAsia"/>
                                <w:bCs/>
                                <w:color w:val="000000"/>
                                <w:spacing w:val="-10"/>
                                <w:kern w:val="0"/>
                                <w:sz w:val="20"/>
                              </w:rPr>
                              <w:t>1</w:t>
                            </w:r>
                            <w:r w:rsidRPr="008B60FA">
                              <w:rPr>
                                <w:rFonts w:ascii="標楷體" w:eastAsia="標楷體" w:hAnsi="標楷體" w:cs="DFKaiShu-SB-Estd-BF"/>
                                <w:bCs/>
                                <w:color w:val="000000"/>
                                <w:spacing w:val="-10"/>
                                <w:kern w:val="0"/>
                                <w:sz w:val="20"/>
                              </w:rPr>
                              <w:t>5,96</w:t>
                            </w:r>
                            <w:r w:rsidRPr="008B60FA">
                              <w:rPr>
                                <w:rFonts w:ascii="標楷體" w:eastAsia="標楷體" w:hAnsi="標楷體" w:cs="DFKaiShu-SB-Estd-BF" w:hint="eastAsia"/>
                                <w:bCs/>
                                <w:color w:val="000000"/>
                                <w:spacing w:val="-10"/>
                                <w:kern w:val="0"/>
                                <w:sz w:val="20"/>
                              </w:rPr>
                              <w:t>0</w:t>
                            </w:r>
                          </w:p>
                        </w:tc>
                        <w:tc>
                          <w:tcPr>
                            <w:tcW w:w="1414" w:type="dxa"/>
                            <w:shd w:val="clear" w:color="auto" w:fill="auto"/>
                            <w:vAlign w:val="center"/>
                          </w:tcPr>
                          <w:p w14:paraId="3270E7D7"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w:t>
                            </w:r>
                            <w:r w:rsidRPr="008B60FA">
                              <w:rPr>
                                <w:rFonts w:ascii="標楷體" w:eastAsia="標楷體" w:hAnsi="標楷體" w:cs="DFKaiShu-SB-Estd-BF"/>
                                <w:bCs/>
                                <w:color w:val="000000"/>
                                <w:spacing w:val="-10"/>
                                <w:kern w:val="0"/>
                                <w:sz w:val="20"/>
                              </w:rPr>
                              <w:t xml:space="preserve"> 27,08</w:t>
                            </w:r>
                            <w:r w:rsidRPr="008B60FA">
                              <w:rPr>
                                <w:rFonts w:ascii="標楷體" w:eastAsia="標楷體" w:hAnsi="標楷體" w:cs="DFKaiShu-SB-Estd-BF" w:hint="eastAsia"/>
                                <w:bCs/>
                                <w:color w:val="000000"/>
                                <w:spacing w:val="-10"/>
                                <w:kern w:val="0"/>
                                <w:sz w:val="20"/>
                              </w:rPr>
                              <w:t>0</w:t>
                            </w:r>
                          </w:p>
                        </w:tc>
                      </w:tr>
                      <w:tr w:rsidR="00A0212B" w:rsidRPr="008B60FA" w14:paraId="72619538" w14:textId="77777777" w:rsidTr="00BB173C">
                        <w:trPr>
                          <w:trHeight w:val="369"/>
                          <w:jc w:val="center"/>
                        </w:trPr>
                        <w:tc>
                          <w:tcPr>
                            <w:tcW w:w="322" w:type="dxa"/>
                            <w:vMerge/>
                            <w:shd w:val="clear" w:color="auto" w:fill="auto"/>
                            <w:vAlign w:val="center"/>
                          </w:tcPr>
                          <w:p w14:paraId="779D34B9"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00000"/>
                                <w:spacing w:val="-2"/>
                                <w:kern w:val="0"/>
                                <w:sz w:val="20"/>
                              </w:rPr>
                            </w:pPr>
                          </w:p>
                        </w:tc>
                        <w:tc>
                          <w:tcPr>
                            <w:tcW w:w="828" w:type="dxa"/>
                            <w:tcBorders>
                              <w:bottom w:val="single" w:sz="4" w:space="0" w:color="auto"/>
                            </w:tcBorders>
                            <w:shd w:val="clear" w:color="auto" w:fill="auto"/>
                            <w:vAlign w:val="center"/>
                          </w:tcPr>
                          <w:p w14:paraId="64FC9910" w14:textId="77777777" w:rsidR="00A0212B" w:rsidRPr="008B60FA" w:rsidRDefault="00A0212B" w:rsidP="00BB173C">
                            <w:pPr>
                              <w:overflowPunct w:val="0"/>
                              <w:autoSpaceDE w:val="0"/>
                              <w:autoSpaceDN w:val="0"/>
                              <w:snapToGrid w:val="0"/>
                              <w:spacing w:line="280" w:lineRule="exact"/>
                              <w:jc w:val="center"/>
                              <w:outlineLvl w:val="2"/>
                              <w:rPr>
                                <w:rFonts w:ascii="標楷體" w:eastAsia="標楷體" w:hAnsi="標楷體" w:cs="DFKaiShu-SB-Estd-BF"/>
                                <w:bCs/>
                                <w:color w:val="0D0D0D" w:themeColor="text1" w:themeTint="F2"/>
                                <w:spacing w:val="-2"/>
                                <w:kern w:val="0"/>
                                <w:sz w:val="20"/>
                              </w:rPr>
                            </w:pPr>
                            <w:r w:rsidRPr="008B60FA">
                              <w:rPr>
                                <w:rFonts w:ascii="標楷體" w:eastAsia="標楷體" w:hAnsi="標楷體" w:cs="DFKaiShu-SB-Estd-BF" w:hint="eastAsia"/>
                                <w:bCs/>
                                <w:color w:val="0D0D0D" w:themeColor="text1" w:themeTint="F2"/>
                                <w:spacing w:val="-2"/>
                                <w:kern w:val="0"/>
                                <w:sz w:val="20"/>
                              </w:rPr>
                              <w:t>增減率</w:t>
                            </w:r>
                          </w:p>
                        </w:tc>
                        <w:tc>
                          <w:tcPr>
                            <w:tcW w:w="938" w:type="dxa"/>
                            <w:shd w:val="clear" w:color="auto" w:fill="auto"/>
                            <w:vAlign w:val="center"/>
                          </w:tcPr>
                          <w:p w14:paraId="4988DE64"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
                                <w:color w:val="000000"/>
                                <w:spacing w:val="-10"/>
                                <w:kern w:val="0"/>
                                <w:sz w:val="20"/>
                              </w:rPr>
                            </w:pPr>
                            <w:r w:rsidRPr="008B60FA">
                              <w:rPr>
                                <w:rFonts w:ascii="標楷體" w:eastAsia="標楷體" w:hAnsi="標楷體" w:cs="DFKaiShu-SB-Estd-BF"/>
                                <w:b/>
                                <w:color w:val="000000"/>
                                <w:spacing w:val="-10"/>
                                <w:kern w:val="0"/>
                                <w:sz w:val="20"/>
                              </w:rPr>
                              <w:t>- 84.72</w:t>
                            </w:r>
                          </w:p>
                        </w:tc>
                        <w:tc>
                          <w:tcPr>
                            <w:tcW w:w="1232" w:type="dxa"/>
                            <w:shd w:val="clear" w:color="auto" w:fill="auto"/>
                            <w:vAlign w:val="center"/>
                          </w:tcPr>
                          <w:p w14:paraId="22C88B88"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bCs/>
                                <w:color w:val="000000"/>
                                <w:spacing w:val="-10"/>
                                <w:kern w:val="0"/>
                                <w:sz w:val="20"/>
                              </w:rPr>
                              <w:t>- 97.20</w:t>
                            </w:r>
                          </w:p>
                        </w:tc>
                        <w:tc>
                          <w:tcPr>
                            <w:tcW w:w="1414" w:type="dxa"/>
                            <w:shd w:val="clear" w:color="auto" w:fill="auto"/>
                            <w:vAlign w:val="center"/>
                          </w:tcPr>
                          <w:p w14:paraId="029D94C9" w14:textId="77777777" w:rsidR="00A0212B" w:rsidRPr="008B60FA" w:rsidRDefault="00A0212B" w:rsidP="00BB173C">
                            <w:pPr>
                              <w:overflowPunct w:val="0"/>
                              <w:autoSpaceDE w:val="0"/>
                              <w:autoSpaceDN w:val="0"/>
                              <w:snapToGrid w:val="0"/>
                              <w:spacing w:line="280" w:lineRule="exact"/>
                              <w:jc w:val="right"/>
                              <w:outlineLvl w:val="2"/>
                              <w:rPr>
                                <w:rFonts w:ascii="標楷體" w:eastAsia="標楷體" w:hAnsi="標楷體" w:cs="DFKaiShu-SB-Estd-BF"/>
                                <w:bCs/>
                                <w:color w:val="000000"/>
                                <w:spacing w:val="-10"/>
                                <w:kern w:val="0"/>
                                <w:sz w:val="20"/>
                              </w:rPr>
                            </w:pPr>
                            <w:r w:rsidRPr="008B60FA">
                              <w:rPr>
                                <w:rFonts w:ascii="標楷體" w:eastAsia="標楷體" w:hAnsi="標楷體" w:cs="DFKaiShu-SB-Estd-BF" w:hint="eastAsia"/>
                                <w:bCs/>
                                <w:color w:val="000000"/>
                                <w:spacing w:val="-10"/>
                                <w:kern w:val="0"/>
                                <w:sz w:val="20"/>
                              </w:rPr>
                              <w:t>- 7</w:t>
                            </w:r>
                            <w:r w:rsidRPr="008B60FA">
                              <w:rPr>
                                <w:rFonts w:ascii="標楷體" w:eastAsia="標楷體" w:hAnsi="標楷體" w:cs="DFKaiShu-SB-Estd-BF"/>
                                <w:bCs/>
                                <w:color w:val="000000"/>
                                <w:spacing w:val="-10"/>
                                <w:kern w:val="0"/>
                                <w:sz w:val="20"/>
                              </w:rPr>
                              <w:t>8.77</w:t>
                            </w:r>
                          </w:p>
                        </w:tc>
                      </w:tr>
                      <w:tr w:rsidR="00A0212B" w:rsidRPr="008B60FA" w14:paraId="21A38874" w14:textId="77777777" w:rsidTr="00BB173C">
                        <w:trPr>
                          <w:jc w:val="center"/>
                        </w:trPr>
                        <w:tc>
                          <w:tcPr>
                            <w:tcW w:w="4734" w:type="dxa"/>
                            <w:gridSpan w:val="5"/>
                            <w:tcBorders>
                              <w:left w:val="nil"/>
                              <w:bottom w:val="nil"/>
                              <w:right w:val="nil"/>
                            </w:tcBorders>
                            <w:shd w:val="clear" w:color="auto" w:fill="auto"/>
                          </w:tcPr>
                          <w:p w14:paraId="24A67A03" w14:textId="77777777" w:rsidR="00A0212B" w:rsidRPr="008B60FA" w:rsidRDefault="00A0212B" w:rsidP="00F31B49">
                            <w:pPr>
                              <w:overflowPunct w:val="0"/>
                              <w:autoSpaceDE w:val="0"/>
                              <w:autoSpaceDN w:val="0"/>
                              <w:snapToGrid w:val="0"/>
                              <w:spacing w:line="240" w:lineRule="exact"/>
                              <w:ind w:leftChars="-50" w:left="-120"/>
                              <w:jc w:val="both"/>
                              <w:outlineLvl w:val="2"/>
                              <w:rPr>
                                <w:rFonts w:ascii="標楷體" w:eastAsia="標楷體" w:hAnsi="標楷體" w:cs="DFKaiShu-SB-Estd-BF"/>
                                <w:bCs/>
                                <w:color w:val="000000"/>
                                <w:spacing w:val="-2"/>
                                <w:kern w:val="0"/>
                                <w:sz w:val="18"/>
                                <w:szCs w:val="18"/>
                              </w:rPr>
                            </w:pPr>
                            <w:r w:rsidRPr="008B60FA">
                              <w:rPr>
                                <w:rFonts w:ascii="標楷體" w:eastAsia="標楷體" w:hAnsi="標楷體" w:cs="DFKaiShu-SB-Estd-BF"/>
                                <w:bCs/>
                                <w:color w:val="000000"/>
                                <w:spacing w:val="-2"/>
                                <w:kern w:val="0"/>
                                <w:sz w:val="18"/>
                                <w:szCs w:val="18"/>
                              </w:rPr>
                              <w:t>資料來源：整理自</w:t>
                            </w:r>
                            <w:r w:rsidRPr="008B60FA">
                              <w:rPr>
                                <w:rFonts w:ascii="標楷體" w:eastAsia="標楷體" w:hAnsi="標楷體" w:cs="DFKaiShu-SB-Estd-BF" w:hint="eastAsia"/>
                                <w:bCs/>
                                <w:color w:val="000000"/>
                                <w:spacing w:val="-2"/>
                                <w:kern w:val="0"/>
                                <w:sz w:val="18"/>
                                <w:szCs w:val="18"/>
                              </w:rPr>
                              <w:t>國家通訊傳播委員會</w:t>
                            </w:r>
                            <w:r w:rsidRPr="008B60FA">
                              <w:rPr>
                                <w:rFonts w:ascii="標楷體" w:eastAsia="標楷體" w:hAnsi="標楷體" w:cs="DFKaiShu-SB-Estd-BF"/>
                                <w:bCs/>
                                <w:color w:val="000000"/>
                                <w:spacing w:val="-2"/>
                                <w:kern w:val="0"/>
                                <w:sz w:val="18"/>
                                <w:szCs w:val="18"/>
                              </w:rPr>
                              <w:t>提供資料。</w:t>
                            </w:r>
                          </w:p>
                        </w:tc>
                      </w:tr>
                      <w:bookmarkEnd w:id="1"/>
                    </w:tbl>
                    <w:p w14:paraId="19B688EF" w14:textId="77777777" w:rsidR="00A0212B" w:rsidRPr="008B60FA" w:rsidRDefault="00A0212B" w:rsidP="00BB173C"/>
                  </w:txbxContent>
                </v:textbox>
                <w10:wrap type="tight"/>
              </v:shape>
            </w:pict>
          </mc:Fallback>
        </mc:AlternateContent>
      </w:r>
      <w:r w:rsidRPr="00C30430">
        <w:rPr>
          <w:rFonts w:ascii="標楷體" w:eastAsia="標楷體" w:hAnsi="標楷體" w:hint="eastAsia"/>
          <w:bCs/>
          <w:szCs w:val="24"/>
        </w:rPr>
        <w:t>電信事業加強攔阻及警示國際電話詐騙補助作業要點，規範補助目的、申請資格及補助範圍等事項，顯示該會於補助規範訂</w:t>
      </w:r>
      <w:r w:rsidRPr="00DC30AC">
        <w:rPr>
          <w:rFonts w:ascii="標楷體" w:eastAsia="標楷體" w:hAnsi="標楷體" w:hint="eastAsia"/>
          <w:bCs/>
          <w:szCs w:val="24"/>
        </w:rPr>
        <w:t>定及核定前，即先行引導業者布建防杜語音詐騙電話設備，並於112年5至7月陸續完成攔阻</w:t>
      </w:r>
      <w:r w:rsidRPr="00C30430">
        <w:rPr>
          <w:rFonts w:ascii="標楷體" w:eastAsia="標楷體" w:hAnsi="標楷體" w:hint="eastAsia"/>
          <w:bCs/>
          <w:szCs w:val="24"/>
        </w:rPr>
        <w:lastRenderedPageBreak/>
        <w:t>固定網路「+886（0-8）」開頭國際偽冒來話功能及建置「+886（9）」開頭國際來話－市話提供語音警示等，雖係為爭取打擊詐欺措施時效，協調電信業者及早推動毀斷詐欺管道所採之權宜措施，惟補助作業程序仍未盡周妥。鑑於詐騙型態日新月異，政府打擊詐欺犯罪仍面臨嚴峻挑戰，</w:t>
      </w:r>
      <w:r w:rsidR="000333BD" w:rsidRPr="00C30430">
        <w:rPr>
          <w:rFonts w:ascii="標楷體" w:eastAsia="標楷體" w:hAnsi="標楷體" w:hint="eastAsia"/>
          <w:bCs/>
          <w:szCs w:val="24"/>
        </w:rPr>
        <w:t>經函請國家通訊傳播委員會</w:t>
      </w:r>
      <w:r w:rsidRPr="00C30430">
        <w:rPr>
          <w:rFonts w:ascii="標楷體" w:eastAsia="標楷體" w:hAnsi="標楷體" w:hint="eastAsia"/>
          <w:bCs/>
          <w:szCs w:val="24"/>
        </w:rPr>
        <w:t>通盤審酌各類詐欺犯罪型態與施詐管道，持續強化補助案件前置規劃作業，並研議周延有效之防制措施。據復：將持續精進打詐作為，針對詐騙手法變化，採滾動式檢討及調整堵詐策略，研議整體性有效防制措施，並完善前置規劃作業，以公私協力</w:t>
      </w:r>
      <w:r w:rsidR="00B06D65">
        <w:rPr>
          <w:rFonts w:ascii="標楷體" w:eastAsia="標楷體" w:hAnsi="標楷體" w:hint="eastAsia"/>
          <w:bCs/>
          <w:szCs w:val="24"/>
        </w:rPr>
        <w:t>達成</w:t>
      </w:r>
      <w:r w:rsidRPr="00C30430">
        <w:rPr>
          <w:rFonts w:ascii="標楷體" w:eastAsia="標楷體" w:hAnsi="標楷體" w:hint="eastAsia"/>
          <w:bCs/>
          <w:szCs w:val="24"/>
        </w:rPr>
        <w:t>減少民眾財產損失</w:t>
      </w:r>
      <w:r w:rsidR="00B06D65">
        <w:rPr>
          <w:rFonts w:ascii="標楷體" w:eastAsia="標楷體" w:hAnsi="標楷體" w:hint="eastAsia"/>
          <w:bCs/>
          <w:szCs w:val="24"/>
        </w:rPr>
        <w:t>目標</w:t>
      </w:r>
      <w:r w:rsidRPr="00CE57F9">
        <w:rPr>
          <w:rFonts w:ascii="標楷體" w:eastAsia="標楷體" w:hAnsi="標楷體" w:hint="eastAsia"/>
          <w:szCs w:val="24"/>
        </w:rPr>
        <w:t>。</w:t>
      </w:r>
    </w:p>
    <w:p w14:paraId="59BF7231" w14:textId="27D11F0C" w:rsidR="00BB173C" w:rsidRDefault="00BB173C" w:rsidP="00BB173C">
      <w:pPr>
        <w:overflowPunct w:val="0"/>
        <w:spacing w:line="430" w:lineRule="exact"/>
        <w:ind w:firstLineChars="450" w:firstLine="1080"/>
        <w:jc w:val="both"/>
        <w:rPr>
          <w:rFonts w:ascii="標楷體" w:eastAsia="標楷體" w:hAnsi="標楷體"/>
          <w:bCs/>
          <w:noProof/>
          <w:snapToGrid w:val="0"/>
          <w:color w:val="000000"/>
          <w:kern w:val="0"/>
        </w:rPr>
      </w:pPr>
      <w:r>
        <w:rPr>
          <w:rFonts w:ascii="標楷體" w:eastAsia="標楷體" w:hAnsi="標楷體" w:hint="eastAsia"/>
          <w:bCs/>
          <w:noProof/>
          <w:color w:val="000000"/>
          <w:kern w:val="0"/>
        </w:rPr>
        <mc:AlternateContent>
          <mc:Choice Requires="wps">
            <w:drawing>
              <wp:anchor distT="45720" distB="45720" distL="114300" distR="114300" simplePos="0" relativeHeight="251665408" behindDoc="1" locked="0" layoutInCell="1" allowOverlap="1" wp14:anchorId="61A17142" wp14:editId="3CD124E0">
                <wp:simplePos x="0" y="0"/>
                <wp:positionH relativeFrom="column">
                  <wp:posOffset>3528060</wp:posOffset>
                </wp:positionH>
                <wp:positionV relativeFrom="paragraph">
                  <wp:posOffset>3401695</wp:posOffset>
                </wp:positionV>
                <wp:extent cx="2765425" cy="3080385"/>
                <wp:effectExtent l="0" t="0" r="0" b="5715"/>
                <wp:wrapTight wrapText="bothSides">
                  <wp:wrapPolygon edited="0">
                    <wp:start x="0" y="0"/>
                    <wp:lineTo x="0" y="21506"/>
                    <wp:lineTo x="21426" y="21506"/>
                    <wp:lineTo x="21426" y="0"/>
                    <wp:lineTo x="0" y="0"/>
                  </wp:wrapPolygon>
                </wp:wrapTight>
                <wp:docPr id="97" name="文字方塊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5425" cy="3080385"/>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txbx>
                        <w:txbxContent>
                          <w:tbl>
                            <w:tblPr>
                              <w:tblW w:w="4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1"/>
                              <w:gridCol w:w="595"/>
                            </w:tblGrid>
                            <w:tr w:rsidR="00A0212B" w:rsidRPr="006C2A4C" w14:paraId="4C1E6E4E" w14:textId="77777777" w:rsidTr="00BB173C">
                              <w:trPr>
                                <w:trHeight w:val="340"/>
                                <w:jc w:val="center"/>
                              </w:trPr>
                              <w:tc>
                                <w:tcPr>
                                  <w:tcW w:w="4286" w:type="dxa"/>
                                  <w:gridSpan w:val="2"/>
                                  <w:tcBorders>
                                    <w:top w:val="nil"/>
                                    <w:left w:val="nil"/>
                                    <w:bottom w:val="nil"/>
                                    <w:right w:val="nil"/>
                                  </w:tcBorders>
                                  <w:shd w:val="clear" w:color="auto" w:fill="auto"/>
                                  <w:vAlign w:val="center"/>
                                </w:tcPr>
                                <w:p w14:paraId="1B45496C" w14:textId="2E7B4821" w:rsidR="00A0212B" w:rsidRPr="00A20488" w:rsidRDefault="00A0212B" w:rsidP="00E31547">
                                  <w:pPr>
                                    <w:overflowPunct w:val="0"/>
                                    <w:autoSpaceDE w:val="0"/>
                                    <w:autoSpaceDN w:val="0"/>
                                    <w:spacing w:line="240" w:lineRule="exact"/>
                                    <w:ind w:left="721" w:hangingChars="300" w:hanging="721"/>
                                    <w:jc w:val="both"/>
                                    <w:rPr>
                                      <w:rFonts w:ascii="標楷體" w:eastAsia="標楷體" w:hAnsi="標楷體"/>
                                      <w:b/>
                                      <w:bCs/>
                                      <w:snapToGrid w:val="0"/>
                                      <w:color w:val="0D0D0D"/>
                                      <w:kern w:val="0"/>
                                      <w:szCs w:val="22"/>
                                    </w:rPr>
                                  </w:pPr>
                                  <w:bookmarkStart w:id="2" w:name="_Hlk169010344"/>
                                  <w:r w:rsidRPr="00A20488">
                                    <w:rPr>
                                      <w:rFonts w:ascii="標楷體" w:eastAsia="標楷體" w:hAnsi="標楷體" w:hint="eastAsia"/>
                                      <w:b/>
                                      <w:bCs/>
                                      <w:snapToGrid w:val="0"/>
                                      <w:color w:val="0D0D0D"/>
                                      <w:kern w:val="0"/>
                                      <w:szCs w:val="22"/>
                                    </w:rPr>
                                    <w:t>表</w:t>
                                  </w:r>
                                  <w:r>
                                    <w:rPr>
                                      <w:rFonts w:ascii="標楷體" w:eastAsia="標楷體" w:hAnsi="標楷體"/>
                                      <w:b/>
                                      <w:bCs/>
                                      <w:snapToGrid w:val="0"/>
                                      <w:color w:val="0D0D0D"/>
                                      <w:kern w:val="0"/>
                                      <w:szCs w:val="22"/>
                                    </w:rPr>
                                    <w:t>11</w:t>
                                  </w:r>
                                  <w:r w:rsidRPr="00A20488">
                                    <w:rPr>
                                      <w:rFonts w:ascii="標楷體" w:eastAsia="標楷體" w:hAnsi="標楷體" w:hint="eastAsia"/>
                                      <w:b/>
                                      <w:bCs/>
                                      <w:snapToGrid w:val="0"/>
                                      <w:color w:val="0D0D0D"/>
                                      <w:kern w:val="0"/>
                                      <w:szCs w:val="22"/>
                                    </w:rPr>
                                    <w:t xml:space="preserve">　</w:t>
                                  </w:r>
                                  <w:r w:rsidRPr="008B60FA">
                                    <w:rPr>
                                      <w:rFonts w:ascii="標楷體" w:eastAsia="標楷體" w:hAnsi="標楷體" w:hint="eastAsia"/>
                                      <w:b/>
                                      <w:bCs/>
                                      <w:snapToGrid w:val="0"/>
                                      <w:color w:val="0D0D0D"/>
                                      <w:kern w:val="0"/>
                                      <w:szCs w:val="22"/>
                                    </w:rPr>
                                    <w:t>112年7至10月份</w:t>
                                  </w:r>
                                  <w:r w:rsidRPr="00872F68">
                                    <w:rPr>
                                      <w:rFonts w:ascii="標楷體" w:eastAsia="標楷體" w:hAnsi="標楷體" w:hint="eastAsia"/>
                                      <w:b/>
                                      <w:bCs/>
                                      <w:snapToGrid w:val="0"/>
                                      <w:color w:val="0D0D0D"/>
                                      <w:kern w:val="0"/>
                                      <w:szCs w:val="22"/>
                                    </w:rPr>
                                    <w:t>電信業者稽核報告揭露各類通路未落實風險管理</w:t>
                                  </w:r>
                                  <w:r>
                                    <w:rPr>
                                      <w:rFonts w:ascii="標楷體" w:eastAsia="標楷體" w:hAnsi="標楷體" w:hint="eastAsia"/>
                                      <w:b/>
                                      <w:bCs/>
                                      <w:snapToGrid w:val="0"/>
                                      <w:color w:val="0D0D0D"/>
                                      <w:kern w:val="0"/>
                                      <w:szCs w:val="22"/>
                                    </w:rPr>
                                    <w:t>機制</w:t>
                                  </w:r>
                                  <w:r w:rsidRPr="00A20488">
                                    <w:rPr>
                                      <w:rFonts w:ascii="標楷體" w:eastAsia="標楷體" w:hAnsi="標楷體" w:hint="eastAsia"/>
                                      <w:b/>
                                      <w:bCs/>
                                      <w:snapToGrid w:val="0"/>
                                      <w:color w:val="0D0D0D"/>
                                      <w:kern w:val="0"/>
                                      <w:szCs w:val="22"/>
                                    </w:rPr>
                                    <w:t>情形</w:t>
                                  </w:r>
                                </w:p>
                              </w:tc>
                            </w:tr>
                            <w:tr w:rsidR="00A0212B" w:rsidRPr="006C2A4C" w14:paraId="6343BF26" w14:textId="77777777" w:rsidTr="00BB173C">
                              <w:trPr>
                                <w:trHeight w:val="151"/>
                                <w:jc w:val="center"/>
                              </w:trPr>
                              <w:tc>
                                <w:tcPr>
                                  <w:tcW w:w="4286" w:type="dxa"/>
                                  <w:gridSpan w:val="2"/>
                                  <w:tcBorders>
                                    <w:top w:val="nil"/>
                                    <w:left w:val="nil"/>
                                    <w:right w:val="nil"/>
                                  </w:tcBorders>
                                  <w:shd w:val="clear" w:color="auto" w:fill="auto"/>
                                  <w:vAlign w:val="center"/>
                                </w:tcPr>
                                <w:p w14:paraId="467A7769" w14:textId="77777777" w:rsidR="00A0212B" w:rsidRPr="006C2A4C" w:rsidRDefault="00A0212B" w:rsidP="00BB173C">
                                  <w:pPr>
                                    <w:overflowPunct w:val="0"/>
                                    <w:autoSpaceDE w:val="0"/>
                                    <w:autoSpaceDN w:val="0"/>
                                    <w:spacing w:line="240" w:lineRule="exact"/>
                                    <w:jc w:val="right"/>
                                    <w:rPr>
                                      <w:rFonts w:ascii="標楷體" w:eastAsia="標楷體" w:hAnsi="標楷體"/>
                                      <w:color w:val="0D0D0D"/>
                                      <w:spacing w:val="-10"/>
                                      <w:sz w:val="20"/>
                                      <w:szCs w:val="18"/>
                                    </w:rPr>
                                  </w:pPr>
                                  <w:r w:rsidRPr="006C2A4C">
                                    <w:rPr>
                                      <w:rFonts w:ascii="標楷體" w:eastAsia="標楷體" w:hAnsi="標楷體" w:hint="eastAsia"/>
                                      <w:color w:val="0D0D0D"/>
                                      <w:spacing w:val="-10"/>
                                      <w:sz w:val="20"/>
                                      <w:szCs w:val="18"/>
                                    </w:rPr>
                                    <w:t>單位：</w:t>
                                  </w:r>
                                  <w:r>
                                    <w:rPr>
                                      <w:rFonts w:ascii="標楷體" w:eastAsia="標楷體" w:hAnsi="標楷體" w:hint="eastAsia"/>
                                      <w:color w:val="0D0D0D"/>
                                      <w:spacing w:val="-10"/>
                                      <w:sz w:val="20"/>
                                      <w:szCs w:val="18"/>
                                    </w:rPr>
                                    <w:t>件</w:t>
                                  </w:r>
                                </w:p>
                              </w:tc>
                            </w:tr>
                            <w:tr w:rsidR="00A0212B" w:rsidRPr="006C2A4C" w14:paraId="4086A044" w14:textId="77777777" w:rsidTr="00BB173C">
                              <w:trPr>
                                <w:trHeight w:val="397"/>
                                <w:jc w:val="center"/>
                              </w:trPr>
                              <w:tc>
                                <w:tcPr>
                                  <w:tcW w:w="3691" w:type="dxa"/>
                                  <w:shd w:val="clear" w:color="auto" w:fill="auto"/>
                                  <w:vAlign w:val="center"/>
                                </w:tcPr>
                                <w:p w14:paraId="39090400" w14:textId="77777777" w:rsidR="00A0212B" w:rsidRPr="008541E6" w:rsidRDefault="00A0212B" w:rsidP="00BB173C">
                                  <w:pPr>
                                    <w:overflowPunct w:val="0"/>
                                    <w:autoSpaceDE w:val="0"/>
                                    <w:autoSpaceDN w:val="0"/>
                                    <w:spacing w:line="240" w:lineRule="exact"/>
                                    <w:ind w:leftChars="-15" w:left="-36" w:rightChars="-15" w:right="-36"/>
                                    <w:jc w:val="center"/>
                                    <w:rPr>
                                      <w:rFonts w:ascii="標楷體" w:eastAsia="標楷體" w:hAnsi="標楷體"/>
                                      <w:color w:val="0D0D0D"/>
                                      <w:spacing w:val="-10"/>
                                      <w:sz w:val="20"/>
                                    </w:rPr>
                                  </w:pPr>
                                  <w:r w:rsidRPr="008541E6">
                                    <w:rPr>
                                      <w:rFonts w:ascii="標楷體" w:eastAsia="標楷體" w:hAnsi="標楷體" w:hint="eastAsia"/>
                                      <w:color w:val="0D0D0D"/>
                                      <w:spacing w:val="-10"/>
                                      <w:sz w:val="20"/>
                                    </w:rPr>
                                    <w:t>缺</w:t>
                                  </w:r>
                                  <w:r>
                                    <w:rPr>
                                      <w:rFonts w:ascii="標楷體" w:eastAsia="標楷體" w:hAnsi="標楷體" w:hint="eastAsia"/>
                                      <w:color w:val="0D0D0D"/>
                                      <w:spacing w:val="-10"/>
                                      <w:sz w:val="20"/>
                                    </w:rPr>
                                    <w:t xml:space="preserve">　　　</w:t>
                                  </w:r>
                                  <w:r w:rsidRPr="008541E6">
                                    <w:rPr>
                                      <w:rFonts w:ascii="標楷體" w:eastAsia="標楷體" w:hAnsi="標楷體" w:hint="eastAsia"/>
                                      <w:color w:val="0D0D0D"/>
                                      <w:spacing w:val="-10"/>
                                      <w:sz w:val="20"/>
                                    </w:rPr>
                                    <w:t>失</w:t>
                                  </w:r>
                                  <w:r>
                                    <w:rPr>
                                      <w:rFonts w:ascii="標楷體" w:eastAsia="標楷體" w:hAnsi="標楷體" w:hint="eastAsia"/>
                                      <w:color w:val="0D0D0D"/>
                                      <w:spacing w:val="-10"/>
                                      <w:sz w:val="20"/>
                                    </w:rPr>
                                    <w:t xml:space="preserve">　　　</w:t>
                                  </w:r>
                                  <w:r w:rsidRPr="008541E6">
                                    <w:rPr>
                                      <w:rFonts w:ascii="標楷體" w:eastAsia="標楷體" w:hAnsi="標楷體" w:hint="eastAsia"/>
                                      <w:color w:val="0D0D0D"/>
                                      <w:spacing w:val="-10"/>
                                      <w:sz w:val="20"/>
                                    </w:rPr>
                                    <w:t>類</w:t>
                                  </w:r>
                                  <w:r>
                                    <w:rPr>
                                      <w:rFonts w:ascii="標楷體" w:eastAsia="標楷體" w:hAnsi="標楷體" w:hint="eastAsia"/>
                                      <w:color w:val="0D0D0D"/>
                                      <w:spacing w:val="-10"/>
                                      <w:sz w:val="20"/>
                                    </w:rPr>
                                    <w:t xml:space="preserve">　　　</w:t>
                                  </w:r>
                                  <w:r w:rsidRPr="008541E6">
                                    <w:rPr>
                                      <w:rFonts w:ascii="標楷體" w:eastAsia="標楷體" w:hAnsi="標楷體" w:hint="eastAsia"/>
                                      <w:color w:val="0D0D0D"/>
                                      <w:spacing w:val="-10"/>
                                      <w:sz w:val="20"/>
                                    </w:rPr>
                                    <w:t>型</w:t>
                                  </w:r>
                                </w:p>
                              </w:tc>
                              <w:tc>
                                <w:tcPr>
                                  <w:tcW w:w="595" w:type="dxa"/>
                                  <w:shd w:val="clear" w:color="auto" w:fill="auto"/>
                                  <w:vAlign w:val="center"/>
                                </w:tcPr>
                                <w:p w14:paraId="29EB3CC2" w14:textId="77777777" w:rsidR="00A0212B" w:rsidRPr="008541E6" w:rsidRDefault="00A0212B" w:rsidP="00BB173C">
                                  <w:pPr>
                                    <w:overflowPunct w:val="0"/>
                                    <w:autoSpaceDE w:val="0"/>
                                    <w:autoSpaceDN w:val="0"/>
                                    <w:spacing w:line="240" w:lineRule="exact"/>
                                    <w:ind w:leftChars="-15" w:left="-36" w:rightChars="-15" w:right="-36"/>
                                    <w:jc w:val="center"/>
                                    <w:rPr>
                                      <w:rFonts w:ascii="標楷體" w:eastAsia="標楷體" w:hAnsi="標楷體"/>
                                      <w:color w:val="0D0D0D"/>
                                      <w:spacing w:val="-10"/>
                                      <w:sz w:val="20"/>
                                    </w:rPr>
                                  </w:pPr>
                                  <w:r w:rsidRPr="008541E6">
                                    <w:rPr>
                                      <w:rFonts w:ascii="標楷體" w:eastAsia="標楷體" w:hAnsi="標楷體" w:hint="eastAsia"/>
                                      <w:color w:val="0D0D0D"/>
                                      <w:spacing w:val="-10"/>
                                      <w:sz w:val="20"/>
                                    </w:rPr>
                                    <w:t>件</w:t>
                                  </w:r>
                                  <w:r>
                                    <w:rPr>
                                      <w:rFonts w:ascii="標楷體" w:eastAsia="標楷體" w:hAnsi="標楷體" w:hint="eastAsia"/>
                                      <w:color w:val="0D0D0D"/>
                                      <w:spacing w:val="-10"/>
                                      <w:sz w:val="20"/>
                                    </w:rPr>
                                    <w:t xml:space="preserve"> </w:t>
                                  </w:r>
                                  <w:r w:rsidRPr="008541E6">
                                    <w:rPr>
                                      <w:rFonts w:ascii="標楷體" w:eastAsia="標楷體" w:hAnsi="標楷體" w:hint="eastAsia"/>
                                      <w:color w:val="0D0D0D"/>
                                      <w:spacing w:val="-10"/>
                                      <w:sz w:val="20"/>
                                    </w:rPr>
                                    <w:t>數</w:t>
                                  </w:r>
                                </w:p>
                              </w:tc>
                            </w:tr>
                            <w:tr w:rsidR="00A0212B" w:rsidRPr="006C2A4C" w14:paraId="6CE08C17" w14:textId="77777777" w:rsidTr="00BB173C">
                              <w:trPr>
                                <w:trHeight w:val="397"/>
                                <w:jc w:val="center"/>
                              </w:trPr>
                              <w:tc>
                                <w:tcPr>
                                  <w:tcW w:w="3691" w:type="dxa"/>
                                  <w:shd w:val="clear" w:color="auto" w:fill="auto"/>
                                  <w:vAlign w:val="center"/>
                                </w:tcPr>
                                <w:p w14:paraId="07BF169D" w14:textId="77777777" w:rsidR="00A0212B" w:rsidRPr="008541E6" w:rsidRDefault="00A0212B" w:rsidP="00BB173C">
                                  <w:pPr>
                                    <w:overflowPunct w:val="0"/>
                                    <w:autoSpaceDE w:val="0"/>
                                    <w:autoSpaceDN w:val="0"/>
                                    <w:spacing w:line="240" w:lineRule="exact"/>
                                    <w:ind w:leftChars="-15" w:left="-36" w:rightChars="-15" w:right="-36"/>
                                    <w:jc w:val="center"/>
                                    <w:rPr>
                                      <w:rFonts w:ascii="標楷體" w:eastAsia="標楷體" w:hAnsi="標楷體"/>
                                      <w:b/>
                                      <w:bCs/>
                                      <w:color w:val="0D0D0D"/>
                                      <w:spacing w:val="-10"/>
                                      <w:sz w:val="20"/>
                                    </w:rPr>
                                  </w:pPr>
                                  <w:r w:rsidRPr="008541E6">
                                    <w:rPr>
                                      <w:rFonts w:ascii="標楷體" w:eastAsia="標楷體" w:hAnsi="標楷體" w:hint="eastAsia"/>
                                      <w:b/>
                                      <w:bCs/>
                                      <w:color w:val="0D0D0D"/>
                                      <w:spacing w:val="-10"/>
                                      <w:sz w:val="20"/>
                                    </w:rPr>
                                    <w:t>合　　　　　　計</w:t>
                                  </w:r>
                                </w:p>
                              </w:tc>
                              <w:tc>
                                <w:tcPr>
                                  <w:tcW w:w="595" w:type="dxa"/>
                                  <w:shd w:val="clear" w:color="auto" w:fill="auto"/>
                                  <w:vAlign w:val="center"/>
                                </w:tcPr>
                                <w:p w14:paraId="48D34A92" w14:textId="77777777" w:rsidR="00A0212B" w:rsidRPr="00E02E5E" w:rsidRDefault="00A0212B" w:rsidP="00BB173C">
                                  <w:pPr>
                                    <w:overflowPunct w:val="0"/>
                                    <w:autoSpaceDE w:val="0"/>
                                    <w:autoSpaceDN w:val="0"/>
                                    <w:spacing w:beforeLines="10" w:before="36" w:afterLines="10" w:after="36" w:line="240" w:lineRule="exact"/>
                                    <w:jc w:val="right"/>
                                    <w:rPr>
                                      <w:rFonts w:ascii="標楷體" w:eastAsia="標楷體" w:hAnsi="標楷體"/>
                                      <w:b/>
                                      <w:bCs/>
                                      <w:color w:val="0D0D0D"/>
                                      <w:spacing w:val="-10"/>
                                      <w:sz w:val="20"/>
                                    </w:rPr>
                                  </w:pPr>
                                  <w:r w:rsidRPr="00E02E5E">
                                    <w:rPr>
                                      <w:rFonts w:ascii="標楷體" w:eastAsia="標楷體" w:hAnsi="標楷體" w:hint="eastAsia"/>
                                      <w:b/>
                                      <w:bCs/>
                                      <w:color w:val="0D0D0D"/>
                                      <w:spacing w:val="-10"/>
                                      <w:sz w:val="20"/>
                                    </w:rPr>
                                    <w:t>163</w:t>
                                  </w:r>
                                </w:p>
                              </w:tc>
                            </w:tr>
                            <w:tr w:rsidR="00A0212B" w:rsidRPr="006C2A4C" w14:paraId="67D2A664" w14:textId="77777777" w:rsidTr="00BB173C">
                              <w:trPr>
                                <w:trHeight w:val="397"/>
                                <w:jc w:val="center"/>
                              </w:trPr>
                              <w:tc>
                                <w:tcPr>
                                  <w:tcW w:w="3691" w:type="dxa"/>
                                  <w:shd w:val="clear" w:color="auto" w:fill="auto"/>
                                  <w:vAlign w:val="center"/>
                                </w:tcPr>
                                <w:p w14:paraId="7D6B5260"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color w:val="0D0D0D"/>
                                      <w:spacing w:val="-6"/>
                                      <w:kern w:val="0"/>
                                      <w:sz w:val="20"/>
                                    </w:rPr>
                                  </w:pPr>
                                  <w:r w:rsidRPr="008541E6">
                                    <w:rPr>
                                      <w:rFonts w:ascii="標楷體" w:eastAsia="標楷體" w:hAnsi="標楷體" w:hint="eastAsia"/>
                                      <w:snapToGrid w:val="0"/>
                                      <w:color w:val="0D0D0D"/>
                                      <w:spacing w:val="-4"/>
                                      <w:kern w:val="0"/>
                                      <w:sz w:val="20"/>
                                    </w:rPr>
                                    <w:t>未請申辦門號顧客脫下口罩確認容</w:t>
                                  </w:r>
                                  <w:r w:rsidRPr="008541E6">
                                    <w:rPr>
                                      <w:rFonts w:ascii="標楷體" w:eastAsia="標楷體" w:hAnsi="標楷體" w:hint="eastAsia"/>
                                      <w:snapToGrid w:val="0"/>
                                      <w:color w:val="0D0D0D"/>
                                      <w:spacing w:val="-6"/>
                                      <w:kern w:val="0"/>
                                      <w:sz w:val="20"/>
                                    </w:rPr>
                                    <w:t>貌或未詢問顧客是否為申辦本人</w:t>
                                  </w:r>
                                </w:p>
                              </w:tc>
                              <w:tc>
                                <w:tcPr>
                                  <w:tcW w:w="595" w:type="dxa"/>
                                  <w:shd w:val="clear" w:color="auto" w:fill="auto"/>
                                  <w:vAlign w:val="center"/>
                                </w:tcPr>
                                <w:p w14:paraId="19442F2E"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145</w:t>
                                  </w:r>
                                </w:p>
                              </w:tc>
                            </w:tr>
                            <w:tr w:rsidR="00A0212B" w:rsidRPr="006C2A4C" w14:paraId="7884068F" w14:textId="77777777" w:rsidTr="00BB173C">
                              <w:trPr>
                                <w:trHeight w:val="397"/>
                                <w:jc w:val="center"/>
                              </w:trPr>
                              <w:tc>
                                <w:tcPr>
                                  <w:tcW w:w="3691" w:type="dxa"/>
                                  <w:shd w:val="clear" w:color="auto" w:fill="auto"/>
                                  <w:vAlign w:val="center"/>
                                </w:tcPr>
                                <w:p w14:paraId="17462A64"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門市未放置堵詐宣導品或未置於顯眼處</w:t>
                                  </w:r>
                                </w:p>
                              </w:tc>
                              <w:tc>
                                <w:tcPr>
                                  <w:tcW w:w="595" w:type="dxa"/>
                                  <w:shd w:val="clear" w:color="auto" w:fill="auto"/>
                                  <w:vAlign w:val="center"/>
                                </w:tcPr>
                                <w:p w14:paraId="79D4EC8E"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9</w:t>
                                  </w:r>
                                </w:p>
                              </w:tc>
                            </w:tr>
                            <w:tr w:rsidR="00A0212B" w:rsidRPr="006C2A4C" w14:paraId="653F95FE" w14:textId="77777777" w:rsidTr="00BB173C">
                              <w:trPr>
                                <w:trHeight w:val="397"/>
                                <w:jc w:val="center"/>
                              </w:trPr>
                              <w:tc>
                                <w:tcPr>
                                  <w:tcW w:w="3691" w:type="dxa"/>
                                  <w:shd w:val="clear" w:color="auto" w:fill="auto"/>
                                  <w:vAlign w:val="center"/>
                                </w:tcPr>
                                <w:p w14:paraId="7BFC8944"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未填寫門號使用目的</w:t>
                                  </w:r>
                                </w:p>
                              </w:tc>
                              <w:tc>
                                <w:tcPr>
                                  <w:tcW w:w="595" w:type="dxa"/>
                                  <w:shd w:val="clear" w:color="auto" w:fill="auto"/>
                                  <w:vAlign w:val="center"/>
                                </w:tcPr>
                                <w:p w14:paraId="222AF682"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5</w:t>
                                  </w:r>
                                </w:p>
                              </w:tc>
                            </w:tr>
                            <w:tr w:rsidR="00A0212B" w:rsidRPr="006C2A4C" w14:paraId="77AA7441" w14:textId="77777777" w:rsidTr="00BB173C">
                              <w:trPr>
                                <w:trHeight w:val="397"/>
                                <w:jc w:val="center"/>
                              </w:trPr>
                              <w:tc>
                                <w:tcPr>
                                  <w:tcW w:w="3691" w:type="dxa"/>
                                  <w:shd w:val="clear" w:color="auto" w:fill="auto"/>
                                  <w:vAlign w:val="center"/>
                                </w:tcPr>
                                <w:p w14:paraId="536A1706"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未檢附員工人數憑證</w:t>
                                  </w:r>
                                </w:p>
                              </w:tc>
                              <w:tc>
                                <w:tcPr>
                                  <w:tcW w:w="595" w:type="dxa"/>
                                  <w:shd w:val="clear" w:color="auto" w:fill="auto"/>
                                  <w:vAlign w:val="center"/>
                                </w:tcPr>
                                <w:p w14:paraId="280234A5"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2</w:t>
                                  </w:r>
                                </w:p>
                              </w:tc>
                            </w:tr>
                            <w:tr w:rsidR="00A0212B" w:rsidRPr="006C2A4C" w14:paraId="58EDF8D9" w14:textId="77777777" w:rsidTr="00BB173C">
                              <w:trPr>
                                <w:trHeight w:val="397"/>
                                <w:jc w:val="center"/>
                              </w:trPr>
                              <w:tc>
                                <w:tcPr>
                                  <w:tcW w:w="3691" w:type="dxa"/>
                                  <w:shd w:val="clear" w:color="auto" w:fill="auto"/>
                                  <w:vAlign w:val="center"/>
                                </w:tcPr>
                                <w:p w14:paraId="613AEB68"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委託書未勾選委託項目</w:t>
                                  </w:r>
                                </w:p>
                              </w:tc>
                              <w:tc>
                                <w:tcPr>
                                  <w:tcW w:w="595" w:type="dxa"/>
                                  <w:shd w:val="clear" w:color="auto" w:fill="auto"/>
                                  <w:vAlign w:val="center"/>
                                </w:tcPr>
                                <w:p w14:paraId="2C65D01F"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1</w:t>
                                  </w:r>
                                </w:p>
                              </w:tc>
                            </w:tr>
                            <w:tr w:rsidR="00A0212B" w:rsidRPr="006C2A4C" w14:paraId="6584CAE2" w14:textId="77777777" w:rsidTr="00BB173C">
                              <w:trPr>
                                <w:trHeight w:val="397"/>
                                <w:jc w:val="center"/>
                              </w:trPr>
                              <w:tc>
                                <w:tcPr>
                                  <w:tcW w:w="3691" w:type="dxa"/>
                                  <w:shd w:val="clear" w:color="auto" w:fill="auto"/>
                                  <w:vAlign w:val="center"/>
                                </w:tcPr>
                                <w:p w14:paraId="3C707087"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門市人員不熟悉風險管理指引</w:t>
                                  </w:r>
                                </w:p>
                              </w:tc>
                              <w:tc>
                                <w:tcPr>
                                  <w:tcW w:w="595" w:type="dxa"/>
                                  <w:shd w:val="clear" w:color="auto" w:fill="auto"/>
                                  <w:vAlign w:val="center"/>
                                </w:tcPr>
                                <w:p w14:paraId="4099C0C3"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1</w:t>
                                  </w:r>
                                </w:p>
                              </w:tc>
                            </w:tr>
                            <w:tr w:rsidR="00A0212B" w:rsidRPr="006C2A4C" w14:paraId="63DF68DC" w14:textId="77777777" w:rsidTr="00BB173C">
                              <w:trPr>
                                <w:trHeight w:val="340"/>
                                <w:jc w:val="center"/>
                              </w:trPr>
                              <w:tc>
                                <w:tcPr>
                                  <w:tcW w:w="4286" w:type="dxa"/>
                                  <w:gridSpan w:val="2"/>
                                  <w:tcBorders>
                                    <w:left w:val="nil"/>
                                    <w:bottom w:val="nil"/>
                                    <w:right w:val="nil"/>
                                  </w:tcBorders>
                                  <w:shd w:val="clear" w:color="auto" w:fill="auto"/>
                                </w:tcPr>
                                <w:p w14:paraId="32683C55" w14:textId="77777777" w:rsidR="00A0212B" w:rsidRPr="008541E6" w:rsidRDefault="00A0212B" w:rsidP="00F31B49">
                                  <w:pPr>
                                    <w:overflowPunct w:val="0"/>
                                    <w:autoSpaceDE w:val="0"/>
                                    <w:autoSpaceDN w:val="0"/>
                                    <w:spacing w:line="240" w:lineRule="exact"/>
                                    <w:ind w:leftChars="-50" w:left="-120"/>
                                    <w:jc w:val="both"/>
                                    <w:rPr>
                                      <w:rFonts w:ascii="標楷體" w:eastAsia="標楷體" w:hAnsi="標楷體"/>
                                      <w:color w:val="0D0D0D"/>
                                      <w:spacing w:val="-10"/>
                                      <w:sz w:val="18"/>
                                      <w:szCs w:val="18"/>
                                    </w:rPr>
                                  </w:pPr>
                                  <w:r w:rsidRPr="008541E6">
                                    <w:rPr>
                                      <w:rFonts w:ascii="標楷體" w:eastAsia="標楷體" w:hAnsi="標楷體"/>
                                      <w:sz w:val="18"/>
                                      <w:szCs w:val="18"/>
                                    </w:rPr>
                                    <w:t>資料來源：整理自</w:t>
                                  </w:r>
                                  <w:r w:rsidRPr="00E02E5E">
                                    <w:rPr>
                                      <w:rFonts w:ascii="標楷體" w:eastAsia="標楷體" w:hAnsi="標楷體" w:hint="eastAsia"/>
                                      <w:sz w:val="18"/>
                                      <w:szCs w:val="18"/>
                                    </w:rPr>
                                    <w:t>國家通訊傳播委員會</w:t>
                                  </w:r>
                                  <w:r w:rsidRPr="008541E6">
                                    <w:rPr>
                                      <w:rFonts w:ascii="標楷體" w:eastAsia="標楷體" w:hAnsi="標楷體"/>
                                      <w:sz w:val="18"/>
                                      <w:szCs w:val="18"/>
                                    </w:rPr>
                                    <w:t>提供資料。</w:t>
                                  </w:r>
                                </w:p>
                              </w:tc>
                            </w:tr>
                            <w:bookmarkEnd w:id="2"/>
                          </w:tbl>
                          <w:p w14:paraId="0CC6B3EA" w14:textId="77777777" w:rsidR="00A0212B" w:rsidRPr="00B6668B" w:rsidRDefault="00A0212B" w:rsidP="00BB173C"/>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1A17142" id="文字方塊 97" o:spid="_x0000_s1048" type="#_x0000_t202" style="position:absolute;left:0;text-align:left;margin-left:277.8pt;margin-top:267.85pt;width:217.75pt;height:242.55pt;z-index:-251651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" stroked="f" strokecolor="red">
                <v:textbox>
                  <w:txbxContent>
                    <w:tbl>
                      <w:tblPr>
                        <w:tblW w:w="4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1"/>
                        <w:gridCol w:w="595"/>
                      </w:tblGrid>
                      <w:tr w:rsidR="00A0212B" w:rsidRPr="006C2A4C" w14:paraId="4C1E6E4E" w14:textId="77777777" w:rsidTr="00BB173C">
                        <w:trPr>
                          <w:trHeight w:val="340"/>
                          <w:jc w:val="center"/>
                        </w:trPr>
                        <w:tc>
                          <w:tcPr>
                            <w:tcW w:w="4286" w:type="dxa"/>
                            <w:gridSpan w:val="2"/>
                            <w:tcBorders>
                              <w:top w:val="nil"/>
                              <w:left w:val="nil"/>
                              <w:bottom w:val="nil"/>
                              <w:right w:val="nil"/>
                            </w:tcBorders>
                            <w:shd w:val="clear" w:color="auto" w:fill="auto"/>
                            <w:vAlign w:val="center"/>
                          </w:tcPr>
                          <w:p w14:paraId="1B45496C" w14:textId="2E7B4821" w:rsidR="00A0212B" w:rsidRPr="00A20488" w:rsidRDefault="00A0212B" w:rsidP="00E31547">
                            <w:pPr>
                              <w:overflowPunct w:val="0"/>
                              <w:autoSpaceDE w:val="0"/>
                              <w:autoSpaceDN w:val="0"/>
                              <w:spacing w:line="240" w:lineRule="exact"/>
                              <w:ind w:left="721" w:hangingChars="300" w:hanging="721"/>
                              <w:jc w:val="both"/>
                              <w:rPr>
                                <w:rFonts w:ascii="標楷體" w:eastAsia="標楷體" w:hAnsi="標楷體"/>
                                <w:b/>
                                <w:bCs/>
                                <w:snapToGrid w:val="0"/>
                                <w:color w:val="0D0D0D"/>
                                <w:kern w:val="0"/>
                                <w:szCs w:val="22"/>
                              </w:rPr>
                            </w:pPr>
                            <w:bookmarkStart w:id="3" w:name="_Hlk169010344"/>
                            <w:r w:rsidRPr="00A20488">
                              <w:rPr>
                                <w:rFonts w:ascii="標楷體" w:eastAsia="標楷體" w:hAnsi="標楷體" w:hint="eastAsia"/>
                                <w:b/>
                                <w:bCs/>
                                <w:snapToGrid w:val="0"/>
                                <w:color w:val="0D0D0D"/>
                                <w:kern w:val="0"/>
                                <w:szCs w:val="22"/>
                              </w:rPr>
                              <w:t>表</w:t>
                            </w:r>
                            <w:r>
                              <w:rPr>
                                <w:rFonts w:ascii="標楷體" w:eastAsia="標楷體" w:hAnsi="標楷體"/>
                                <w:b/>
                                <w:bCs/>
                                <w:snapToGrid w:val="0"/>
                                <w:color w:val="0D0D0D"/>
                                <w:kern w:val="0"/>
                                <w:szCs w:val="22"/>
                              </w:rPr>
                              <w:t>11</w:t>
                            </w:r>
                            <w:r w:rsidRPr="00A20488">
                              <w:rPr>
                                <w:rFonts w:ascii="標楷體" w:eastAsia="標楷體" w:hAnsi="標楷體" w:hint="eastAsia"/>
                                <w:b/>
                                <w:bCs/>
                                <w:snapToGrid w:val="0"/>
                                <w:color w:val="0D0D0D"/>
                                <w:kern w:val="0"/>
                                <w:szCs w:val="22"/>
                              </w:rPr>
                              <w:t xml:space="preserve">　</w:t>
                            </w:r>
                            <w:r w:rsidRPr="008B60FA">
                              <w:rPr>
                                <w:rFonts w:ascii="標楷體" w:eastAsia="標楷體" w:hAnsi="標楷體" w:hint="eastAsia"/>
                                <w:b/>
                                <w:bCs/>
                                <w:snapToGrid w:val="0"/>
                                <w:color w:val="0D0D0D"/>
                                <w:kern w:val="0"/>
                                <w:szCs w:val="22"/>
                              </w:rPr>
                              <w:t>112年7至10月份</w:t>
                            </w:r>
                            <w:r w:rsidRPr="00872F68">
                              <w:rPr>
                                <w:rFonts w:ascii="標楷體" w:eastAsia="標楷體" w:hAnsi="標楷體" w:hint="eastAsia"/>
                                <w:b/>
                                <w:bCs/>
                                <w:snapToGrid w:val="0"/>
                                <w:color w:val="0D0D0D"/>
                                <w:kern w:val="0"/>
                                <w:szCs w:val="22"/>
                              </w:rPr>
                              <w:t>電信業者稽核報告揭露各類通路未落實風險管理</w:t>
                            </w:r>
                            <w:r>
                              <w:rPr>
                                <w:rFonts w:ascii="標楷體" w:eastAsia="標楷體" w:hAnsi="標楷體" w:hint="eastAsia"/>
                                <w:b/>
                                <w:bCs/>
                                <w:snapToGrid w:val="0"/>
                                <w:color w:val="0D0D0D"/>
                                <w:kern w:val="0"/>
                                <w:szCs w:val="22"/>
                              </w:rPr>
                              <w:t>機制</w:t>
                            </w:r>
                            <w:r w:rsidRPr="00A20488">
                              <w:rPr>
                                <w:rFonts w:ascii="標楷體" w:eastAsia="標楷體" w:hAnsi="標楷體" w:hint="eastAsia"/>
                                <w:b/>
                                <w:bCs/>
                                <w:snapToGrid w:val="0"/>
                                <w:color w:val="0D0D0D"/>
                                <w:kern w:val="0"/>
                                <w:szCs w:val="22"/>
                              </w:rPr>
                              <w:t>情形</w:t>
                            </w:r>
                          </w:p>
                        </w:tc>
                      </w:tr>
                      <w:tr w:rsidR="00A0212B" w:rsidRPr="006C2A4C" w14:paraId="6343BF26" w14:textId="77777777" w:rsidTr="00BB173C">
                        <w:trPr>
                          <w:trHeight w:val="151"/>
                          <w:jc w:val="center"/>
                        </w:trPr>
                        <w:tc>
                          <w:tcPr>
                            <w:tcW w:w="4286" w:type="dxa"/>
                            <w:gridSpan w:val="2"/>
                            <w:tcBorders>
                              <w:top w:val="nil"/>
                              <w:left w:val="nil"/>
                              <w:right w:val="nil"/>
                            </w:tcBorders>
                            <w:shd w:val="clear" w:color="auto" w:fill="auto"/>
                            <w:vAlign w:val="center"/>
                          </w:tcPr>
                          <w:p w14:paraId="467A7769" w14:textId="77777777" w:rsidR="00A0212B" w:rsidRPr="006C2A4C" w:rsidRDefault="00A0212B" w:rsidP="00BB173C">
                            <w:pPr>
                              <w:overflowPunct w:val="0"/>
                              <w:autoSpaceDE w:val="0"/>
                              <w:autoSpaceDN w:val="0"/>
                              <w:spacing w:line="240" w:lineRule="exact"/>
                              <w:jc w:val="right"/>
                              <w:rPr>
                                <w:rFonts w:ascii="標楷體" w:eastAsia="標楷體" w:hAnsi="標楷體"/>
                                <w:color w:val="0D0D0D"/>
                                <w:spacing w:val="-10"/>
                                <w:sz w:val="20"/>
                                <w:szCs w:val="18"/>
                              </w:rPr>
                            </w:pPr>
                            <w:r w:rsidRPr="006C2A4C">
                              <w:rPr>
                                <w:rFonts w:ascii="標楷體" w:eastAsia="標楷體" w:hAnsi="標楷體" w:hint="eastAsia"/>
                                <w:color w:val="0D0D0D"/>
                                <w:spacing w:val="-10"/>
                                <w:sz w:val="20"/>
                                <w:szCs w:val="18"/>
                              </w:rPr>
                              <w:t>單位：</w:t>
                            </w:r>
                            <w:r>
                              <w:rPr>
                                <w:rFonts w:ascii="標楷體" w:eastAsia="標楷體" w:hAnsi="標楷體" w:hint="eastAsia"/>
                                <w:color w:val="0D0D0D"/>
                                <w:spacing w:val="-10"/>
                                <w:sz w:val="20"/>
                                <w:szCs w:val="18"/>
                              </w:rPr>
                              <w:t>件</w:t>
                            </w:r>
                          </w:p>
                        </w:tc>
                      </w:tr>
                      <w:tr w:rsidR="00A0212B" w:rsidRPr="006C2A4C" w14:paraId="4086A044" w14:textId="77777777" w:rsidTr="00BB173C">
                        <w:trPr>
                          <w:trHeight w:val="397"/>
                          <w:jc w:val="center"/>
                        </w:trPr>
                        <w:tc>
                          <w:tcPr>
                            <w:tcW w:w="3691" w:type="dxa"/>
                            <w:shd w:val="clear" w:color="auto" w:fill="auto"/>
                            <w:vAlign w:val="center"/>
                          </w:tcPr>
                          <w:p w14:paraId="39090400" w14:textId="77777777" w:rsidR="00A0212B" w:rsidRPr="008541E6" w:rsidRDefault="00A0212B" w:rsidP="00BB173C">
                            <w:pPr>
                              <w:overflowPunct w:val="0"/>
                              <w:autoSpaceDE w:val="0"/>
                              <w:autoSpaceDN w:val="0"/>
                              <w:spacing w:line="240" w:lineRule="exact"/>
                              <w:ind w:leftChars="-15" w:left="-36" w:rightChars="-15" w:right="-36"/>
                              <w:jc w:val="center"/>
                              <w:rPr>
                                <w:rFonts w:ascii="標楷體" w:eastAsia="標楷體" w:hAnsi="標楷體"/>
                                <w:color w:val="0D0D0D"/>
                                <w:spacing w:val="-10"/>
                                <w:sz w:val="20"/>
                              </w:rPr>
                            </w:pPr>
                            <w:r w:rsidRPr="008541E6">
                              <w:rPr>
                                <w:rFonts w:ascii="標楷體" w:eastAsia="標楷體" w:hAnsi="標楷體" w:hint="eastAsia"/>
                                <w:color w:val="0D0D0D"/>
                                <w:spacing w:val="-10"/>
                                <w:sz w:val="20"/>
                              </w:rPr>
                              <w:t>缺</w:t>
                            </w:r>
                            <w:r>
                              <w:rPr>
                                <w:rFonts w:ascii="標楷體" w:eastAsia="標楷體" w:hAnsi="標楷體" w:hint="eastAsia"/>
                                <w:color w:val="0D0D0D"/>
                                <w:spacing w:val="-10"/>
                                <w:sz w:val="20"/>
                              </w:rPr>
                              <w:t xml:space="preserve">　　　</w:t>
                            </w:r>
                            <w:r w:rsidRPr="008541E6">
                              <w:rPr>
                                <w:rFonts w:ascii="標楷體" w:eastAsia="標楷體" w:hAnsi="標楷體" w:hint="eastAsia"/>
                                <w:color w:val="0D0D0D"/>
                                <w:spacing w:val="-10"/>
                                <w:sz w:val="20"/>
                              </w:rPr>
                              <w:t>失</w:t>
                            </w:r>
                            <w:r>
                              <w:rPr>
                                <w:rFonts w:ascii="標楷體" w:eastAsia="標楷體" w:hAnsi="標楷體" w:hint="eastAsia"/>
                                <w:color w:val="0D0D0D"/>
                                <w:spacing w:val="-10"/>
                                <w:sz w:val="20"/>
                              </w:rPr>
                              <w:t xml:space="preserve">　　　</w:t>
                            </w:r>
                            <w:r w:rsidRPr="008541E6">
                              <w:rPr>
                                <w:rFonts w:ascii="標楷體" w:eastAsia="標楷體" w:hAnsi="標楷體" w:hint="eastAsia"/>
                                <w:color w:val="0D0D0D"/>
                                <w:spacing w:val="-10"/>
                                <w:sz w:val="20"/>
                              </w:rPr>
                              <w:t>類</w:t>
                            </w:r>
                            <w:r>
                              <w:rPr>
                                <w:rFonts w:ascii="標楷體" w:eastAsia="標楷體" w:hAnsi="標楷體" w:hint="eastAsia"/>
                                <w:color w:val="0D0D0D"/>
                                <w:spacing w:val="-10"/>
                                <w:sz w:val="20"/>
                              </w:rPr>
                              <w:t xml:space="preserve">　　　</w:t>
                            </w:r>
                            <w:r w:rsidRPr="008541E6">
                              <w:rPr>
                                <w:rFonts w:ascii="標楷體" w:eastAsia="標楷體" w:hAnsi="標楷體" w:hint="eastAsia"/>
                                <w:color w:val="0D0D0D"/>
                                <w:spacing w:val="-10"/>
                                <w:sz w:val="20"/>
                              </w:rPr>
                              <w:t>型</w:t>
                            </w:r>
                          </w:p>
                        </w:tc>
                        <w:tc>
                          <w:tcPr>
                            <w:tcW w:w="595" w:type="dxa"/>
                            <w:shd w:val="clear" w:color="auto" w:fill="auto"/>
                            <w:vAlign w:val="center"/>
                          </w:tcPr>
                          <w:p w14:paraId="29EB3CC2" w14:textId="77777777" w:rsidR="00A0212B" w:rsidRPr="008541E6" w:rsidRDefault="00A0212B" w:rsidP="00BB173C">
                            <w:pPr>
                              <w:overflowPunct w:val="0"/>
                              <w:autoSpaceDE w:val="0"/>
                              <w:autoSpaceDN w:val="0"/>
                              <w:spacing w:line="240" w:lineRule="exact"/>
                              <w:ind w:leftChars="-15" w:left="-36" w:rightChars="-15" w:right="-36"/>
                              <w:jc w:val="center"/>
                              <w:rPr>
                                <w:rFonts w:ascii="標楷體" w:eastAsia="標楷體" w:hAnsi="標楷體"/>
                                <w:color w:val="0D0D0D"/>
                                <w:spacing w:val="-10"/>
                                <w:sz w:val="20"/>
                              </w:rPr>
                            </w:pPr>
                            <w:r w:rsidRPr="008541E6">
                              <w:rPr>
                                <w:rFonts w:ascii="標楷體" w:eastAsia="標楷體" w:hAnsi="標楷體" w:hint="eastAsia"/>
                                <w:color w:val="0D0D0D"/>
                                <w:spacing w:val="-10"/>
                                <w:sz w:val="20"/>
                              </w:rPr>
                              <w:t>件</w:t>
                            </w:r>
                            <w:r>
                              <w:rPr>
                                <w:rFonts w:ascii="標楷體" w:eastAsia="標楷體" w:hAnsi="標楷體" w:hint="eastAsia"/>
                                <w:color w:val="0D0D0D"/>
                                <w:spacing w:val="-10"/>
                                <w:sz w:val="20"/>
                              </w:rPr>
                              <w:t xml:space="preserve"> </w:t>
                            </w:r>
                            <w:r w:rsidRPr="008541E6">
                              <w:rPr>
                                <w:rFonts w:ascii="標楷體" w:eastAsia="標楷體" w:hAnsi="標楷體" w:hint="eastAsia"/>
                                <w:color w:val="0D0D0D"/>
                                <w:spacing w:val="-10"/>
                                <w:sz w:val="20"/>
                              </w:rPr>
                              <w:t>數</w:t>
                            </w:r>
                          </w:p>
                        </w:tc>
                      </w:tr>
                      <w:tr w:rsidR="00A0212B" w:rsidRPr="006C2A4C" w14:paraId="6CE08C17" w14:textId="77777777" w:rsidTr="00BB173C">
                        <w:trPr>
                          <w:trHeight w:val="397"/>
                          <w:jc w:val="center"/>
                        </w:trPr>
                        <w:tc>
                          <w:tcPr>
                            <w:tcW w:w="3691" w:type="dxa"/>
                            <w:shd w:val="clear" w:color="auto" w:fill="auto"/>
                            <w:vAlign w:val="center"/>
                          </w:tcPr>
                          <w:p w14:paraId="07BF169D" w14:textId="77777777" w:rsidR="00A0212B" w:rsidRPr="008541E6" w:rsidRDefault="00A0212B" w:rsidP="00BB173C">
                            <w:pPr>
                              <w:overflowPunct w:val="0"/>
                              <w:autoSpaceDE w:val="0"/>
                              <w:autoSpaceDN w:val="0"/>
                              <w:spacing w:line="240" w:lineRule="exact"/>
                              <w:ind w:leftChars="-15" w:left="-36" w:rightChars="-15" w:right="-36"/>
                              <w:jc w:val="center"/>
                              <w:rPr>
                                <w:rFonts w:ascii="標楷體" w:eastAsia="標楷體" w:hAnsi="標楷體"/>
                                <w:b/>
                                <w:bCs/>
                                <w:color w:val="0D0D0D"/>
                                <w:spacing w:val="-10"/>
                                <w:sz w:val="20"/>
                              </w:rPr>
                            </w:pPr>
                            <w:r w:rsidRPr="008541E6">
                              <w:rPr>
                                <w:rFonts w:ascii="標楷體" w:eastAsia="標楷體" w:hAnsi="標楷體" w:hint="eastAsia"/>
                                <w:b/>
                                <w:bCs/>
                                <w:color w:val="0D0D0D"/>
                                <w:spacing w:val="-10"/>
                                <w:sz w:val="20"/>
                              </w:rPr>
                              <w:t>合　　　　　　計</w:t>
                            </w:r>
                          </w:p>
                        </w:tc>
                        <w:tc>
                          <w:tcPr>
                            <w:tcW w:w="595" w:type="dxa"/>
                            <w:shd w:val="clear" w:color="auto" w:fill="auto"/>
                            <w:vAlign w:val="center"/>
                          </w:tcPr>
                          <w:p w14:paraId="48D34A92" w14:textId="77777777" w:rsidR="00A0212B" w:rsidRPr="00E02E5E" w:rsidRDefault="00A0212B" w:rsidP="00BB173C">
                            <w:pPr>
                              <w:overflowPunct w:val="0"/>
                              <w:autoSpaceDE w:val="0"/>
                              <w:autoSpaceDN w:val="0"/>
                              <w:spacing w:beforeLines="10" w:before="36" w:afterLines="10" w:after="36" w:line="240" w:lineRule="exact"/>
                              <w:jc w:val="right"/>
                              <w:rPr>
                                <w:rFonts w:ascii="標楷體" w:eastAsia="標楷體" w:hAnsi="標楷體"/>
                                <w:b/>
                                <w:bCs/>
                                <w:color w:val="0D0D0D"/>
                                <w:spacing w:val="-10"/>
                                <w:sz w:val="20"/>
                              </w:rPr>
                            </w:pPr>
                            <w:r w:rsidRPr="00E02E5E">
                              <w:rPr>
                                <w:rFonts w:ascii="標楷體" w:eastAsia="標楷體" w:hAnsi="標楷體" w:hint="eastAsia"/>
                                <w:b/>
                                <w:bCs/>
                                <w:color w:val="0D0D0D"/>
                                <w:spacing w:val="-10"/>
                                <w:sz w:val="20"/>
                              </w:rPr>
                              <w:t>163</w:t>
                            </w:r>
                          </w:p>
                        </w:tc>
                      </w:tr>
                      <w:tr w:rsidR="00A0212B" w:rsidRPr="006C2A4C" w14:paraId="67D2A664" w14:textId="77777777" w:rsidTr="00BB173C">
                        <w:trPr>
                          <w:trHeight w:val="397"/>
                          <w:jc w:val="center"/>
                        </w:trPr>
                        <w:tc>
                          <w:tcPr>
                            <w:tcW w:w="3691" w:type="dxa"/>
                            <w:shd w:val="clear" w:color="auto" w:fill="auto"/>
                            <w:vAlign w:val="center"/>
                          </w:tcPr>
                          <w:p w14:paraId="7D6B5260"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color w:val="0D0D0D"/>
                                <w:spacing w:val="-6"/>
                                <w:kern w:val="0"/>
                                <w:sz w:val="20"/>
                              </w:rPr>
                            </w:pPr>
                            <w:r w:rsidRPr="008541E6">
                              <w:rPr>
                                <w:rFonts w:ascii="標楷體" w:eastAsia="標楷體" w:hAnsi="標楷體" w:hint="eastAsia"/>
                                <w:snapToGrid w:val="0"/>
                                <w:color w:val="0D0D0D"/>
                                <w:spacing w:val="-4"/>
                                <w:kern w:val="0"/>
                                <w:sz w:val="20"/>
                              </w:rPr>
                              <w:t>未請申辦門號顧客脫下口罩確認容</w:t>
                            </w:r>
                            <w:r w:rsidRPr="008541E6">
                              <w:rPr>
                                <w:rFonts w:ascii="標楷體" w:eastAsia="標楷體" w:hAnsi="標楷體" w:hint="eastAsia"/>
                                <w:snapToGrid w:val="0"/>
                                <w:color w:val="0D0D0D"/>
                                <w:spacing w:val="-6"/>
                                <w:kern w:val="0"/>
                                <w:sz w:val="20"/>
                              </w:rPr>
                              <w:t>貌或未詢問顧客是否為申辦本人</w:t>
                            </w:r>
                          </w:p>
                        </w:tc>
                        <w:tc>
                          <w:tcPr>
                            <w:tcW w:w="595" w:type="dxa"/>
                            <w:shd w:val="clear" w:color="auto" w:fill="auto"/>
                            <w:vAlign w:val="center"/>
                          </w:tcPr>
                          <w:p w14:paraId="19442F2E"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145</w:t>
                            </w:r>
                          </w:p>
                        </w:tc>
                      </w:tr>
                      <w:tr w:rsidR="00A0212B" w:rsidRPr="006C2A4C" w14:paraId="7884068F" w14:textId="77777777" w:rsidTr="00BB173C">
                        <w:trPr>
                          <w:trHeight w:val="397"/>
                          <w:jc w:val="center"/>
                        </w:trPr>
                        <w:tc>
                          <w:tcPr>
                            <w:tcW w:w="3691" w:type="dxa"/>
                            <w:shd w:val="clear" w:color="auto" w:fill="auto"/>
                            <w:vAlign w:val="center"/>
                          </w:tcPr>
                          <w:p w14:paraId="17462A64"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門市未放置堵詐宣導品或未置於顯眼處</w:t>
                            </w:r>
                          </w:p>
                        </w:tc>
                        <w:tc>
                          <w:tcPr>
                            <w:tcW w:w="595" w:type="dxa"/>
                            <w:shd w:val="clear" w:color="auto" w:fill="auto"/>
                            <w:vAlign w:val="center"/>
                          </w:tcPr>
                          <w:p w14:paraId="79D4EC8E"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9</w:t>
                            </w:r>
                          </w:p>
                        </w:tc>
                      </w:tr>
                      <w:tr w:rsidR="00A0212B" w:rsidRPr="006C2A4C" w14:paraId="653F95FE" w14:textId="77777777" w:rsidTr="00BB173C">
                        <w:trPr>
                          <w:trHeight w:val="397"/>
                          <w:jc w:val="center"/>
                        </w:trPr>
                        <w:tc>
                          <w:tcPr>
                            <w:tcW w:w="3691" w:type="dxa"/>
                            <w:shd w:val="clear" w:color="auto" w:fill="auto"/>
                            <w:vAlign w:val="center"/>
                          </w:tcPr>
                          <w:p w14:paraId="7BFC8944"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未填寫門號使用目的</w:t>
                            </w:r>
                          </w:p>
                        </w:tc>
                        <w:tc>
                          <w:tcPr>
                            <w:tcW w:w="595" w:type="dxa"/>
                            <w:shd w:val="clear" w:color="auto" w:fill="auto"/>
                            <w:vAlign w:val="center"/>
                          </w:tcPr>
                          <w:p w14:paraId="222AF682"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5</w:t>
                            </w:r>
                          </w:p>
                        </w:tc>
                      </w:tr>
                      <w:tr w:rsidR="00A0212B" w:rsidRPr="006C2A4C" w14:paraId="77AA7441" w14:textId="77777777" w:rsidTr="00BB173C">
                        <w:trPr>
                          <w:trHeight w:val="397"/>
                          <w:jc w:val="center"/>
                        </w:trPr>
                        <w:tc>
                          <w:tcPr>
                            <w:tcW w:w="3691" w:type="dxa"/>
                            <w:shd w:val="clear" w:color="auto" w:fill="auto"/>
                            <w:vAlign w:val="center"/>
                          </w:tcPr>
                          <w:p w14:paraId="536A1706"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未檢附員工人數憑證</w:t>
                            </w:r>
                          </w:p>
                        </w:tc>
                        <w:tc>
                          <w:tcPr>
                            <w:tcW w:w="595" w:type="dxa"/>
                            <w:shd w:val="clear" w:color="auto" w:fill="auto"/>
                            <w:vAlign w:val="center"/>
                          </w:tcPr>
                          <w:p w14:paraId="280234A5"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2</w:t>
                            </w:r>
                          </w:p>
                        </w:tc>
                      </w:tr>
                      <w:tr w:rsidR="00A0212B" w:rsidRPr="006C2A4C" w14:paraId="58EDF8D9" w14:textId="77777777" w:rsidTr="00BB173C">
                        <w:trPr>
                          <w:trHeight w:val="397"/>
                          <w:jc w:val="center"/>
                        </w:trPr>
                        <w:tc>
                          <w:tcPr>
                            <w:tcW w:w="3691" w:type="dxa"/>
                            <w:shd w:val="clear" w:color="auto" w:fill="auto"/>
                            <w:vAlign w:val="center"/>
                          </w:tcPr>
                          <w:p w14:paraId="613AEB68"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委託書未勾選委託項目</w:t>
                            </w:r>
                          </w:p>
                        </w:tc>
                        <w:tc>
                          <w:tcPr>
                            <w:tcW w:w="595" w:type="dxa"/>
                            <w:shd w:val="clear" w:color="auto" w:fill="auto"/>
                            <w:vAlign w:val="center"/>
                          </w:tcPr>
                          <w:p w14:paraId="2C65D01F"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1</w:t>
                            </w:r>
                          </w:p>
                        </w:tc>
                      </w:tr>
                      <w:tr w:rsidR="00A0212B" w:rsidRPr="006C2A4C" w14:paraId="6584CAE2" w14:textId="77777777" w:rsidTr="00BB173C">
                        <w:trPr>
                          <w:trHeight w:val="397"/>
                          <w:jc w:val="center"/>
                        </w:trPr>
                        <w:tc>
                          <w:tcPr>
                            <w:tcW w:w="3691" w:type="dxa"/>
                            <w:shd w:val="clear" w:color="auto" w:fill="auto"/>
                            <w:vAlign w:val="center"/>
                          </w:tcPr>
                          <w:p w14:paraId="3C707087" w14:textId="77777777" w:rsidR="00A0212B" w:rsidRPr="008541E6" w:rsidRDefault="00A0212B" w:rsidP="00BB173C">
                            <w:pPr>
                              <w:overflowPunct w:val="0"/>
                              <w:autoSpaceDE w:val="0"/>
                              <w:autoSpaceDN w:val="0"/>
                              <w:spacing w:beforeLines="10" w:before="36" w:afterLines="10" w:after="36" w:line="240" w:lineRule="exact"/>
                              <w:jc w:val="both"/>
                              <w:rPr>
                                <w:rFonts w:ascii="標楷體" w:eastAsia="標楷體" w:hAnsi="標楷體"/>
                                <w:snapToGrid w:val="0"/>
                                <w:kern w:val="0"/>
                                <w:sz w:val="20"/>
                              </w:rPr>
                            </w:pPr>
                            <w:r w:rsidRPr="008541E6">
                              <w:rPr>
                                <w:rFonts w:ascii="標楷體" w:eastAsia="標楷體" w:hAnsi="標楷體" w:hint="eastAsia"/>
                                <w:snapToGrid w:val="0"/>
                                <w:kern w:val="0"/>
                                <w:sz w:val="20"/>
                              </w:rPr>
                              <w:t>門市人員不熟悉風險管理指引</w:t>
                            </w:r>
                          </w:p>
                        </w:tc>
                        <w:tc>
                          <w:tcPr>
                            <w:tcW w:w="595" w:type="dxa"/>
                            <w:shd w:val="clear" w:color="auto" w:fill="auto"/>
                            <w:vAlign w:val="center"/>
                          </w:tcPr>
                          <w:p w14:paraId="4099C0C3" w14:textId="77777777" w:rsidR="00A0212B" w:rsidRPr="008541E6" w:rsidRDefault="00A0212B" w:rsidP="00BB173C">
                            <w:pPr>
                              <w:overflowPunct w:val="0"/>
                              <w:autoSpaceDE w:val="0"/>
                              <w:autoSpaceDN w:val="0"/>
                              <w:spacing w:beforeLines="10" w:before="36" w:afterLines="10" w:after="36" w:line="240" w:lineRule="exact"/>
                              <w:jc w:val="right"/>
                              <w:rPr>
                                <w:rFonts w:ascii="標楷體" w:eastAsia="標楷體" w:hAnsi="標楷體"/>
                                <w:color w:val="0D0D0D"/>
                                <w:spacing w:val="-10"/>
                                <w:sz w:val="20"/>
                              </w:rPr>
                            </w:pPr>
                            <w:r w:rsidRPr="008541E6">
                              <w:rPr>
                                <w:rFonts w:ascii="標楷體" w:eastAsia="標楷體" w:hAnsi="標楷體" w:hint="eastAsia"/>
                                <w:color w:val="0D0D0D"/>
                                <w:spacing w:val="-10"/>
                                <w:sz w:val="20"/>
                              </w:rPr>
                              <w:t>1</w:t>
                            </w:r>
                          </w:p>
                        </w:tc>
                      </w:tr>
                      <w:tr w:rsidR="00A0212B" w:rsidRPr="006C2A4C" w14:paraId="63DF68DC" w14:textId="77777777" w:rsidTr="00BB173C">
                        <w:trPr>
                          <w:trHeight w:val="340"/>
                          <w:jc w:val="center"/>
                        </w:trPr>
                        <w:tc>
                          <w:tcPr>
                            <w:tcW w:w="4286" w:type="dxa"/>
                            <w:gridSpan w:val="2"/>
                            <w:tcBorders>
                              <w:left w:val="nil"/>
                              <w:bottom w:val="nil"/>
                              <w:right w:val="nil"/>
                            </w:tcBorders>
                            <w:shd w:val="clear" w:color="auto" w:fill="auto"/>
                          </w:tcPr>
                          <w:p w14:paraId="32683C55" w14:textId="77777777" w:rsidR="00A0212B" w:rsidRPr="008541E6" w:rsidRDefault="00A0212B" w:rsidP="00F31B49">
                            <w:pPr>
                              <w:overflowPunct w:val="0"/>
                              <w:autoSpaceDE w:val="0"/>
                              <w:autoSpaceDN w:val="0"/>
                              <w:spacing w:line="240" w:lineRule="exact"/>
                              <w:ind w:leftChars="-50" w:left="-120"/>
                              <w:jc w:val="both"/>
                              <w:rPr>
                                <w:rFonts w:ascii="標楷體" w:eastAsia="標楷體" w:hAnsi="標楷體"/>
                                <w:color w:val="0D0D0D"/>
                                <w:spacing w:val="-10"/>
                                <w:sz w:val="18"/>
                                <w:szCs w:val="18"/>
                              </w:rPr>
                            </w:pPr>
                            <w:r w:rsidRPr="008541E6">
                              <w:rPr>
                                <w:rFonts w:ascii="標楷體" w:eastAsia="標楷體" w:hAnsi="標楷體"/>
                                <w:sz w:val="18"/>
                                <w:szCs w:val="18"/>
                              </w:rPr>
                              <w:t>資料來源：整理自</w:t>
                            </w:r>
                            <w:r w:rsidRPr="00E02E5E">
                              <w:rPr>
                                <w:rFonts w:ascii="標楷體" w:eastAsia="標楷體" w:hAnsi="標楷體" w:hint="eastAsia"/>
                                <w:sz w:val="18"/>
                                <w:szCs w:val="18"/>
                              </w:rPr>
                              <w:t>國家通訊傳播委員會</w:t>
                            </w:r>
                            <w:r w:rsidRPr="008541E6">
                              <w:rPr>
                                <w:rFonts w:ascii="標楷體" w:eastAsia="標楷體" w:hAnsi="標楷體"/>
                                <w:sz w:val="18"/>
                                <w:szCs w:val="18"/>
                              </w:rPr>
                              <w:t>提供資料。</w:t>
                            </w:r>
                          </w:p>
                        </w:tc>
                      </w:tr>
                      <w:bookmarkEnd w:id="3"/>
                    </w:tbl>
                    <w:p w14:paraId="0CC6B3EA" w14:textId="77777777" w:rsidR="00A0212B" w:rsidRPr="00B6668B" w:rsidRDefault="00A0212B" w:rsidP="00BB173C"/>
                  </w:txbxContent>
                </v:textbox>
                <w10:wrap type="tight"/>
              </v:shape>
            </w:pict>
          </mc:Fallback>
        </mc:AlternateContent>
      </w:r>
      <w:r w:rsidRPr="00C30430">
        <w:rPr>
          <w:rFonts w:ascii="標楷體" w:eastAsia="標楷體" w:hAnsi="標楷體" w:hint="eastAsia"/>
          <w:b/>
          <w:bCs/>
          <w:szCs w:val="24"/>
        </w:rPr>
        <w:t>3.</w:t>
      </w:r>
      <w:r>
        <w:rPr>
          <w:rFonts w:ascii="標楷體" w:eastAsia="標楷體" w:hAnsi="標楷體" w:hint="eastAsia"/>
          <w:szCs w:val="24"/>
        </w:rPr>
        <w:t xml:space="preserve">　</w:t>
      </w:r>
      <w:r w:rsidRPr="006C0A56">
        <w:rPr>
          <w:rFonts w:ascii="標楷體" w:eastAsia="標楷體" w:hAnsi="標楷體" w:hint="eastAsia"/>
          <w:b/>
          <w:noProof/>
          <w:snapToGrid w:val="0"/>
          <w:color w:val="000000"/>
          <w:kern w:val="0"/>
        </w:rPr>
        <w:t>為督導電信業者強</w:t>
      </w:r>
      <w:r>
        <w:rPr>
          <w:rFonts w:ascii="標楷體" w:eastAsia="標楷體" w:hAnsi="標楷體" w:hint="eastAsia"/>
          <w:b/>
          <w:noProof/>
          <w:snapToGrid w:val="0"/>
          <w:color w:val="000000"/>
          <w:kern w:val="0"/>
        </w:rPr>
        <w:t>化</w:t>
      </w:r>
      <w:r w:rsidRPr="006C0A56">
        <w:rPr>
          <w:rFonts w:ascii="標楷體" w:eastAsia="標楷體" w:hAnsi="標楷體" w:hint="eastAsia"/>
          <w:b/>
          <w:noProof/>
          <w:snapToGrid w:val="0"/>
          <w:color w:val="000000"/>
          <w:kern w:val="0"/>
        </w:rPr>
        <w:t>門號管理，已訂定風險管理指引，</w:t>
      </w:r>
      <w:r>
        <w:rPr>
          <w:rFonts w:ascii="標楷體" w:eastAsia="標楷體" w:hAnsi="標楷體" w:hint="eastAsia"/>
          <w:b/>
          <w:noProof/>
          <w:snapToGrid w:val="0"/>
          <w:color w:val="000000"/>
          <w:kern w:val="0"/>
        </w:rPr>
        <w:t>並要求業者加強稽核作業，允宜</w:t>
      </w:r>
      <w:r w:rsidRPr="006C0A56">
        <w:rPr>
          <w:rFonts w:ascii="標楷體" w:eastAsia="標楷體" w:hAnsi="標楷體" w:hint="eastAsia"/>
          <w:b/>
          <w:noProof/>
          <w:snapToGrid w:val="0"/>
          <w:color w:val="000000"/>
          <w:kern w:val="0"/>
        </w:rPr>
        <w:t>持續追蹤稽核缺失改善情形</w:t>
      </w:r>
      <w:r>
        <w:rPr>
          <w:rFonts w:ascii="標楷體" w:eastAsia="標楷體" w:hAnsi="標楷體" w:hint="eastAsia"/>
          <w:b/>
          <w:noProof/>
          <w:snapToGrid w:val="0"/>
          <w:color w:val="000000"/>
          <w:kern w:val="0"/>
        </w:rPr>
        <w:t>及督促</w:t>
      </w:r>
      <w:r w:rsidRPr="006C0A56">
        <w:rPr>
          <w:rFonts w:ascii="標楷體" w:eastAsia="標楷體" w:hAnsi="標楷體" w:hint="eastAsia"/>
          <w:b/>
          <w:noProof/>
          <w:snapToGrid w:val="0"/>
          <w:color w:val="000000"/>
          <w:kern w:val="0"/>
        </w:rPr>
        <w:t>優化資訊揭露，俾落實風險管理機制，降低電信服務淪為詐騙工具之風險：</w:t>
      </w:r>
      <w:r>
        <w:rPr>
          <w:rFonts w:ascii="標楷體" w:eastAsia="標楷體" w:hAnsi="標楷體" w:hint="eastAsia"/>
          <w:bCs/>
          <w:noProof/>
          <w:snapToGrid w:val="0"/>
          <w:color w:val="000000"/>
          <w:kern w:val="0"/>
        </w:rPr>
        <w:t>國家通訊傳播委員會</w:t>
      </w:r>
      <w:r w:rsidRPr="00AC4C3B">
        <w:rPr>
          <w:rFonts w:ascii="標楷體" w:eastAsia="標楷體" w:hAnsi="標楷體" w:hint="eastAsia"/>
          <w:bCs/>
          <w:noProof/>
          <w:snapToGrid w:val="0"/>
          <w:color w:val="000000"/>
          <w:kern w:val="0"/>
        </w:rPr>
        <w:t>為落實</w:t>
      </w:r>
      <w:r w:rsidR="000E4655" w:rsidRPr="000E4655">
        <w:rPr>
          <w:rFonts w:ascii="標楷體" w:eastAsia="標楷體" w:hAnsi="標楷體" w:hint="eastAsia"/>
          <w:bCs/>
          <w:noProof/>
          <w:snapToGrid w:val="0"/>
          <w:color w:val="000000"/>
          <w:kern w:val="0"/>
        </w:rPr>
        <w:t>新世代打擊詐欺策略行動綱領</w:t>
      </w:r>
      <w:r w:rsidRPr="00AC4C3B">
        <w:rPr>
          <w:rFonts w:ascii="標楷體" w:eastAsia="標楷體" w:hAnsi="標楷體" w:hint="eastAsia"/>
          <w:bCs/>
          <w:noProof/>
          <w:snapToGrid w:val="0"/>
          <w:color w:val="000000"/>
          <w:kern w:val="0"/>
        </w:rPr>
        <w:t>「堵詐－電信網路」面向所揭遏止用戶號碼或電信服務淪為詐騙工具等政策目的，於112年6月訂頒電信事業受理申辦電信服務風險管理機制指引（下稱風險管理指引），指導各電信事業於</w:t>
      </w:r>
      <w:r>
        <w:rPr>
          <w:rFonts w:ascii="標楷體" w:eastAsia="標楷體" w:hAnsi="標楷體" w:hint="eastAsia"/>
          <w:bCs/>
          <w:noProof/>
          <w:snapToGrid w:val="0"/>
          <w:color w:val="000000"/>
          <w:kern w:val="0"/>
        </w:rPr>
        <w:t>受理</w:t>
      </w:r>
      <w:r w:rsidRPr="00AC4C3B">
        <w:rPr>
          <w:rFonts w:ascii="標楷體" w:eastAsia="標楷體" w:hAnsi="標楷體" w:hint="eastAsia"/>
          <w:bCs/>
          <w:noProof/>
          <w:snapToGrid w:val="0"/>
          <w:color w:val="000000"/>
          <w:kern w:val="0"/>
        </w:rPr>
        <w:t>申辦電信服務時應持續強化落實認識客戶風險管理機制，其中規範電信事業分配用戶使用電信號碼前，應核對及登錄用戶資料，並應落實於電信服務契約規範，如自然人申請電信服務，應出示雙證件正本供業者核對及留存影本或影像檔，另電信事業應設置獨立稽核部門，自行訂定稽核抽測計畫，至少每月辦理抽測，尤其針對高風險用戶應加強稽核，定期將稽核結果及改正情形，向主管機關提出報告。</w:t>
      </w:r>
      <w:r>
        <w:rPr>
          <w:rFonts w:ascii="標楷體" w:eastAsia="標楷體" w:hAnsi="標楷體" w:hint="eastAsia"/>
          <w:bCs/>
          <w:noProof/>
          <w:snapToGrid w:val="0"/>
          <w:color w:val="000000"/>
          <w:kern w:val="0"/>
        </w:rPr>
        <w:t>經</w:t>
      </w:r>
      <w:r w:rsidRPr="00AC4C3B">
        <w:rPr>
          <w:rFonts w:ascii="標楷體" w:eastAsia="標楷體" w:hAnsi="標楷體" w:hint="eastAsia"/>
          <w:bCs/>
          <w:noProof/>
          <w:snapToGrid w:val="0"/>
          <w:color w:val="000000"/>
          <w:kern w:val="0"/>
        </w:rPr>
        <w:t>查</w:t>
      </w:r>
      <w:r>
        <w:rPr>
          <w:rFonts w:ascii="標楷體" w:eastAsia="標楷體" w:hAnsi="標楷體" w:hint="eastAsia"/>
          <w:bCs/>
          <w:noProof/>
          <w:snapToGrid w:val="0"/>
          <w:color w:val="000000"/>
          <w:kern w:val="0"/>
        </w:rPr>
        <w:t>國內主要</w:t>
      </w:r>
      <w:r w:rsidRPr="00AC4C3B">
        <w:rPr>
          <w:rFonts w:ascii="標楷體" w:eastAsia="標楷體" w:hAnsi="標楷體" w:hint="eastAsia"/>
          <w:bCs/>
          <w:noProof/>
          <w:snapToGrid w:val="0"/>
          <w:color w:val="000000"/>
          <w:kern w:val="0"/>
        </w:rPr>
        <w:t>電信業者已依前揭風險管理指引，</w:t>
      </w:r>
      <w:r>
        <w:rPr>
          <w:rFonts w:ascii="標楷體" w:eastAsia="標楷體" w:hAnsi="標楷體" w:hint="eastAsia"/>
          <w:bCs/>
          <w:noProof/>
          <w:snapToGrid w:val="0"/>
          <w:color w:val="000000"/>
          <w:kern w:val="0"/>
        </w:rPr>
        <w:t>將</w:t>
      </w:r>
      <w:r w:rsidRPr="00AC4C3B">
        <w:rPr>
          <w:rFonts w:ascii="標楷體" w:eastAsia="標楷體" w:hAnsi="標楷體" w:hint="eastAsia"/>
          <w:bCs/>
          <w:noProof/>
          <w:snapToGrid w:val="0"/>
          <w:color w:val="000000"/>
          <w:kern w:val="0"/>
        </w:rPr>
        <w:t>112年7</w:t>
      </w:r>
      <w:r>
        <w:rPr>
          <w:rFonts w:ascii="標楷體" w:eastAsia="標楷體" w:hAnsi="標楷體" w:hint="eastAsia"/>
          <w:bCs/>
          <w:noProof/>
          <w:snapToGrid w:val="0"/>
          <w:color w:val="000000"/>
          <w:kern w:val="0"/>
        </w:rPr>
        <w:t>至</w:t>
      </w:r>
      <w:r w:rsidRPr="00AC4C3B">
        <w:rPr>
          <w:rFonts w:ascii="標楷體" w:eastAsia="標楷體" w:hAnsi="標楷體" w:hint="eastAsia"/>
          <w:bCs/>
          <w:noProof/>
          <w:snapToGrid w:val="0"/>
          <w:color w:val="000000"/>
          <w:kern w:val="0"/>
        </w:rPr>
        <w:t>10月</w:t>
      </w:r>
      <w:r>
        <w:rPr>
          <w:rFonts w:ascii="標楷體" w:eastAsia="標楷體" w:hAnsi="標楷體" w:hint="eastAsia"/>
          <w:bCs/>
          <w:noProof/>
          <w:snapToGrid w:val="0"/>
          <w:color w:val="000000"/>
          <w:kern w:val="0"/>
        </w:rPr>
        <w:t>份</w:t>
      </w:r>
      <w:r w:rsidRPr="00AC4C3B">
        <w:rPr>
          <w:rFonts w:ascii="標楷體" w:eastAsia="標楷體" w:hAnsi="標楷體" w:hint="eastAsia"/>
          <w:bCs/>
          <w:noProof/>
          <w:snapToGrid w:val="0"/>
          <w:color w:val="000000"/>
          <w:kern w:val="0"/>
        </w:rPr>
        <w:t>稽核報告</w:t>
      </w:r>
      <w:r>
        <w:rPr>
          <w:rFonts w:ascii="標楷體" w:eastAsia="標楷體" w:hAnsi="標楷體" w:hint="eastAsia"/>
          <w:bCs/>
          <w:noProof/>
          <w:snapToGrid w:val="0"/>
          <w:color w:val="000000"/>
          <w:kern w:val="0"/>
        </w:rPr>
        <w:t>提</w:t>
      </w:r>
      <w:r w:rsidRPr="00AC4C3B">
        <w:rPr>
          <w:rFonts w:ascii="標楷體" w:eastAsia="標楷體" w:hAnsi="標楷體" w:hint="eastAsia"/>
          <w:bCs/>
          <w:noProof/>
          <w:snapToGrid w:val="0"/>
          <w:color w:val="000000"/>
          <w:kern w:val="0"/>
        </w:rPr>
        <w:t>送</w:t>
      </w:r>
      <w:r>
        <w:rPr>
          <w:rFonts w:ascii="標楷體" w:eastAsia="標楷體" w:hAnsi="標楷體" w:hint="eastAsia"/>
          <w:bCs/>
          <w:noProof/>
          <w:snapToGrid w:val="0"/>
          <w:color w:val="000000"/>
          <w:kern w:val="0"/>
        </w:rPr>
        <w:t>國家通訊傳播委員會</w:t>
      </w:r>
      <w:r w:rsidRPr="00AC4C3B">
        <w:rPr>
          <w:rFonts w:ascii="標楷體" w:eastAsia="標楷體" w:hAnsi="標楷體" w:hint="eastAsia"/>
          <w:bCs/>
          <w:noProof/>
          <w:snapToGrid w:val="0"/>
          <w:color w:val="000000"/>
          <w:kern w:val="0"/>
        </w:rPr>
        <w:t>，據各該稽核報告載列，發現部分通路</w:t>
      </w:r>
      <w:r>
        <w:rPr>
          <w:rFonts w:ascii="標楷體" w:eastAsia="標楷體" w:hAnsi="標楷體" w:hint="eastAsia"/>
          <w:bCs/>
          <w:noProof/>
          <w:snapToGrid w:val="0"/>
          <w:color w:val="000000"/>
          <w:kern w:val="0"/>
        </w:rPr>
        <w:t>受理申辦電信服務，</w:t>
      </w:r>
      <w:r w:rsidRPr="00AC4C3B">
        <w:rPr>
          <w:rFonts w:ascii="標楷體" w:eastAsia="標楷體" w:hAnsi="標楷體" w:hint="eastAsia"/>
          <w:bCs/>
          <w:noProof/>
          <w:snapToGrid w:val="0"/>
          <w:color w:val="000000"/>
          <w:kern w:val="0"/>
        </w:rPr>
        <w:t>存有未請申辦門號顧客脫下口罩確認容貌或未詢問顧客是否為申辦本人、門市未放置堵詐宣導品或未置於顯眼處、未填寫門號使用目的、未檢附員工人數憑證、委託書未勾選委託項目、門市人員不熟悉風險管理指引等情形計163件（</w:t>
      </w:r>
      <w:r w:rsidRPr="006678C5">
        <w:rPr>
          <w:rFonts w:ascii="標楷體" w:eastAsia="標楷體" w:hAnsi="標楷體" w:hint="eastAsia"/>
          <w:bCs/>
          <w:noProof/>
          <w:snapToGrid w:val="0"/>
          <w:color w:val="000000"/>
          <w:kern w:val="0"/>
        </w:rPr>
        <w:t>表</w:t>
      </w:r>
      <w:r w:rsidR="00AD2E6F" w:rsidRPr="006678C5">
        <w:rPr>
          <w:rFonts w:ascii="標楷體" w:eastAsia="標楷體" w:hAnsi="標楷體" w:hint="eastAsia"/>
          <w:bCs/>
          <w:noProof/>
          <w:snapToGrid w:val="0"/>
          <w:color w:val="000000"/>
          <w:kern w:val="0"/>
        </w:rPr>
        <w:t>11</w:t>
      </w:r>
      <w:r w:rsidRPr="00AC4C3B">
        <w:rPr>
          <w:rFonts w:ascii="標楷體" w:eastAsia="標楷體" w:hAnsi="標楷體" w:hint="eastAsia"/>
          <w:bCs/>
          <w:noProof/>
          <w:snapToGrid w:val="0"/>
          <w:color w:val="000000"/>
          <w:kern w:val="0"/>
        </w:rPr>
        <w:t>），</w:t>
      </w:r>
      <w:r>
        <w:rPr>
          <w:rFonts w:ascii="標楷體" w:eastAsia="標楷體" w:hAnsi="標楷體" w:hint="eastAsia"/>
          <w:bCs/>
          <w:noProof/>
          <w:snapToGrid w:val="0"/>
          <w:color w:val="000000"/>
          <w:kern w:val="0"/>
        </w:rPr>
        <w:t>顯</w:t>
      </w:r>
      <w:r w:rsidRPr="00AC4C3B">
        <w:rPr>
          <w:rFonts w:ascii="標楷體" w:eastAsia="標楷體" w:hAnsi="標楷體" w:hint="eastAsia"/>
          <w:bCs/>
          <w:noProof/>
          <w:snapToGrid w:val="0"/>
          <w:color w:val="000000"/>
          <w:kern w:val="0"/>
        </w:rPr>
        <w:t>未</w:t>
      </w:r>
      <w:r>
        <w:rPr>
          <w:rFonts w:ascii="標楷體" w:eastAsia="標楷體" w:hAnsi="標楷體" w:hint="eastAsia"/>
          <w:bCs/>
          <w:noProof/>
          <w:snapToGrid w:val="0"/>
          <w:color w:val="000000"/>
          <w:kern w:val="0"/>
        </w:rPr>
        <w:t>臻</w:t>
      </w:r>
      <w:r w:rsidRPr="00AC4C3B">
        <w:rPr>
          <w:rFonts w:ascii="標楷體" w:eastAsia="標楷體" w:hAnsi="標楷體" w:hint="eastAsia"/>
          <w:bCs/>
          <w:noProof/>
          <w:snapToGrid w:val="0"/>
          <w:color w:val="000000"/>
          <w:kern w:val="0"/>
        </w:rPr>
        <w:t>落實風險管理</w:t>
      </w:r>
      <w:r>
        <w:rPr>
          <w:rFonts w:ascii="標楷體" w:eastAsia="標楷體" w:hAnsi="標楷體" w:hint="eastAsia"/>
          <w:bCs/>
          <w:noProof/>
          <w:snapToGrid w:val="0"/>
          <w:color w:val="000000"/>
          <w:kern w:val="0"/>
        </w:rPr>
        <w:t>機制</w:t>
      </w:r>
      <w:r w:rsidRPr="00AC4C3B">
        <w:rPr>
          <w:rFonts w:ascii="標楷體" w:eastAsia="標楷體" w:hAnsi="標楷體" w:hint="eastAsia"/>
          <w:bCs/>
          <w:noProof/>
          <w:snapToGrid w:val="0"/>
          <w:color w:val="000000"/>
          <w:kern w:val="0"/>
        </w:rPr>
        <w:t>；另前揭風險管理指引已規範電信事業應設置獨立稽核部門，自行訂定稽核抽測計畫，執行結果，</w:t>
      </w:r>
      <w:r>
        <w:rPr>
          <w:rFonts w:ascii="標楷體" w:eastAsia="標楷體" w:hAnsi="標楷體" w:hint="eastAsia"/>
          <w:bCs/>
          <w:noProof/>
          <w:snapToGrid w:val="0"/>
          <w:color w:val="000000"/>
          <w:kern w:val="0"/>
        </w:rPr>
        <w:t>部分</w:t>
      </w:r>
      <w:r w:rsidRPr="00AC4C3B">
        <w:rPr>
          <w:rFonts w:ascii="標楷體" w:eastAsia="標楷體" w:hAnsi="標楷體" w:hint="eastAsia"/>
          <w:bCs/>
          <w:noProof/>
          <w:snapToGrid w:val="0"/>
          <w:color w:val="000000"/>
          <w:kern w:val="0"/>
        </w:rPr>
        <w:t>電信公司已將內部稽查抽測單位組織架構、自評稽核機制與頻率、稽核步驟與內容、查核對象與表單、分層抽樣比率、查核發現與改善情形等項目，納入稽核報告揭露，惟</w:t>
      </w:r>
      <w:r>
        <w:rPr>
          <w:rFonts w:ascii="標楷體" w:eastAsia="標楷體" w:hAnsi="標楷體" w:hint="eastAsia"/>
          <w:bCs/>
          <w:noProof/>
          <w:snapToGrid w:val="0"/>
          <w:color w:val="000000"/>
          <w:kern w:val="0"/>
        </w:rPr>
        <w:t>仍有</w:t>
      </w:r>
      <w:r w:rsidRPr="00AC4C3B">
        <w:rPr>
          <w:rFonts w:ascii="標楷體" w:eastAsia="標楷體" w:hAnsi="標楷體" w:hint="eastAsia"/>
          <w:bCs/>
          <w:noProof/>
          <w:snapToGrid w:val="0"/>
          <w:color w:val="000000"/>
          <w:kern w:val="0"/>
        </w:rPr>
        <w:t>電信事業僅揭露抽測結果清單，不利橫向比較分析各電信事業稽核制度優劣，暨稽查作業深度及廣度等內涵</w:t>
      </w:r>
      <w:r w:rsidR="00C30E69">
        <w:rPr>
          <w:rFonts w:ascii="標楷體" w:eastAsia="標楷體" w:hAnsi="標楷體" w:hint="eastAsia"/>
          <w:bCs/>
          <w:noProof/>
          <w:snapToGrid w:val="0"/>
          <w:color w:val="000000"/>
          <w:kern w:val="0"/>
        </w:rPr>
        <w:t>。</w:t>
      </w:r>
      <w:r w:rsidR="00FA1924" w:rsidRPr="008541E6">
        <w:rPr>
          <w:rFonts w:ascii="標楷體" w:eastAsia="標楷體" w:hAnsi="標楷體" w:hint="eastAsia"/>
          <w:bCs/>
          <w:noProof/>
          <w:snapToGrid w:val="0"/>
          <w:color w:val="000000"/>
          <w:kern w:val="0"/>
        </w:rPr>
        <w:t>經函請</w:t>
      </w:r>
      <w:r w:rsidR="00FA1924">
        <w:rPr>
          <w:rFonts w:ascii="標楷體" w:eastAsia="標楷體" w:hAnsi="標楷體" w:hint="eastAsia"/>
          <w:bCs/>
          <w:noProof/>
          <w:snapToGrid w:val="0"/>
          <w:color w:val="000000"/>
          <w:kern w:val="0"/>
        </w:rPr>
        <w:t>國家通訊傳播委員會</w:t>
      </w:r>
      <w:r w:rsidRPr="00AC4C3B">
        <w:rPr>
          <w:rFonts w:ascii="標楷體" w:eastAsia="標楷體" w:hAnsi="標楷體" w:hint="eastAsia"/>
          <w:bCs/>
          <w:noProof/>
          <w:snapToGrid w:val="0"/>
          <w:color w:val="000000"/>
          <w:kern w:val="0"/>
        </w:rPr>
        <w:t>持續追蹤相關稽核缺失後續改善情形，並引導電信業者優化稽核資訊揭露與表達，適時督促電信業者落實風險管理機制</w:t>
      </w:r>
      <w:r w:rsidRPr="008541E6">
        <w:rPr>
          <w:rFonts w:ascii="標楷體" w:eastAsia="標楷體" w:hAnsi="標楷體" w:hint="eastAsia"/>
          <w:bCs/>
          <w:noProof/>
          <w:snapToGrid w:val="0"/>
          <w:color w:val="000000"/>
          <w:kern w:val="0"/>
        </w:rPr>
        <w:t>。據復：將請電信業者滾動檢討抽測計畫，並持續追蹤電信業者查核抽測情形，以落</w:t>
      </w:r>
      <w:r w:rsidRPr="008541E6">
        <w:rPr>
          <w:rFonts w:ascii="標楷體" w:eastAsia="標楷體" w:hAnsi="標楷體" w:hint="eastAsia"/>
          <w:bCs/>
          <w:noProof/>
          <w:snapToGrid w:val="0"/>
          <w:color w:val="000000"/>
          <w:kern w:val="0"/>
        </w:rPr>
        <w:lastRenderedPageBreak/>
        <w:t>實用戶身分查核，降低電信服務淪為詐騙工具之風險。</w:t>
      </w:r>
    </w:p>
    <w:p w14:paraId="2BC4F56C" w14:textId="04813934" w:rsidR="00122919" w:rsidRPr="00122919" w:rsidRDefault="00122919" w:rsidP="00122919">
      <w:pPr>
        <w:overflowPunct w:val="0"/>
        <w:spacing w:beforeLines="20" w:before="72" w:afterLines="20" w:after="72" w:line="430" w:lineRule="exact"/>
        <w:ind w:firstLineChars="200" w:firstLine="561"/>
        <w:jc w:val="both"/>
        <w:outlineLvl w:val="1"/>
        <w:rPr>
          <w:rFonts w:ascii="標楷體" w:eastAsia="標楷體"/>
          <w:b/>
          <w:sz w:val="28"/>
          <w:szCs w:val="28"/>
          <w:lang w:val="x-none"/>
        </w:rPr>
      </w:pPr>
      <w:r w:rsidRPr="00122919">
        <w:rPr>
          <w:rFonts w:ascii="標楷體" w:eastAsia="標楷體" w:hint="eastAsia"/>
          <w:b/>
          <w:sz w:val="28"/>
          <w:szCs w:val="28"/>
          <w:lang w:eastAsia="x-none"/>
        </w:rPr>
        <w:t>（</w:t>
      </w:r>
      <w:r>
        <w:rPr>
          <w:rFonts w:ascii="標楷體" w:eastAsia="標楷體" w:hint="eastAsia"/>
          <w:b/>
          <w:sz w:val="28"/>
          <w:szCs w:val="28"/>
          <w:lang w:val="x-none"/>
        </w:rPr>
        <w:t>七</w:t>
      </w:r>
      <w:r w:rsidRPr="00122919">
        <w:rPr>
          <w:rFonts w:ascii="標楷體" w:eastAsia="標楷體" w:hint="eastAsia"/>
          <w:b/>
          <w:sz w:val="28"/>
          <w:szCs w:val="28"/>
          <w:lang w:eastAsia="x-none"/>
        </w:rPr>
        <w:t xml:space="preserve">）　</w:t>
      </w:r>
      <w:r w:rsidRPr="00122919">
        <w:rPr>
          <w:rFonts w:ascii="標楷體" w:eastAsia="標楷體" w:hint="eastAsia"/>
          <w:b/>
          <w:sz w:val="28"/>
          <w:szCs w:val="28"/>
          <w:lang w:val="x-none"/>
        </w:rPr>
        <w:t>中央各機關透過計畫型補助款挹注地方財源，以導引地方政府達成其政策目標，執行結果已具成效，惟近年來計畫型補助款之規模逐年擴增，部分計畫偏離原定範疇，且補助資訊及管考結果之公開未盡完整透明，又部分計畫執行結果未能達到預期效益，有待中央補助機關完備管考機制，允宜督促檢討改善，以強化補助款配置及運用效益。</w:t>
      </w:r>
    </w:p>
    <w:p w14:paraId="3E080A39" w14:textId="36D8233D" w:rsidR="00122919" w:rsidRPr="00122919" w:rsidRDefault="00122919" w:rsidP="004D7C92">
      <w:pPr>
        <w:overflowPunct w:val="0"/>
        <w:spacing w:line="410" w:lineRule="exact"/>
        <w:ind w:firstLineChars="200" w:firstLine="480"/>
        <w:jc w:val="both"/>
        <w:rPr>
          <w:rFonts w:ascii="標楷體" w:eastAsia="標楷體" w:hAnsi="標楷體"/>
          <w:szCs w:val="24"/>
        </w:rPr>
      </w:pPr>
      <w:r w:rsidRPr="00122919">
        <w:rPr>
          <w:rFonts w:ascii="標楷體" w:eastAsia="標楷體" w:hAnsi="標楷體"/>
          <w:noProof/>
          <w:szCs w:val="24"/>
        </w:rPr>
        <mc:AlternateContent>
          <mc:Choice Requires="wps">
            <w:drawing>
              <wp:anchor distT="45720" distB="45720" distL="114300" distR="114300" simplePos="0" relativeHeight="251629568" behindDoc="0" locked="0" layoutInCell="1" allowOverlap="1" wp14:anchorId="165437E3" wp14:editId="3E807879">
                <wp:simplePos x="0" y="0"/>
                <wp:positionH relativeFrom="column">
                  <wp:posOffset>-142240</wp:posOffset>
                </wp:positionH>
                <wp:positionV relativeFrom="paragraph">
                  <wp:posOffset>2657475</wp:posOffset>
                </wp:positionV>
                <wp:extent cx="5222875" cy="4366895"/>
                <wp:effectExtent l="0" t="0" r="0" b="0"/>
                <wp:wrapSquare wrapText="bothSides"/>
                <wp:docPr id="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2875" cy="4366895"/>
                        </a:xfrm>
                        <a:prstGeom prst="rect">
                          <a:avLst/>
                        </a:prstGeom>
                        <a:solidFill>
                          <a:srgbClr val="FFFFFF"/>
                        </a:solidFill>
                        <a:ln w="9525">
                          <a:noFill/>
                          <a:miter lim="800000"/>
                          <a:headEnd/>
                          <a:tailEnd/>
                        </a:ln>
                      </wps:spPr>
                      <wps:txbx>
                        <w:txbxContent>
                          <w:p w14:paraId="3DC10D47" w14:textId="7E9C3642" w:rsidR="00A0212B" w:rsidRPr="00DB6740" w:rsidRDefault="00A0212B" w:rsidP="00122919">
                            <w:pPr>
                              <w:jc w:val="center"/>
                              <w:rPr>
                                <w:rFonts w:ascii="標楷體" w:eastAsia="標楷體" w:hAnsi="標楷體"/>
                                <w:b/>
                              </w:rPr>
                            </w:pPr>
                            <w:r w:rsidRPr="00DB6740">
                              <w:rPr>
                                <w:rFonts w:ascii="標楷體" w:eastAsia="標楷體" w:hAnsi="標楷體" w:hint="eastAsia"/>
                                <w:b/>
                              </w:rPr>
                              <w:t>圖</w:t>
                            </w:r>
                            <w:r>
                              <w:rPr>
                                <w:rFonts w:ascii="標楷體" w:eastAsia="標楷體" w:hAnsi="標楷體" w:hint="eastAsia"/>
                                <w:b/>
                              </w:rPr>
                              <w:t>1</w:t>
                            </w:r>
                            <w:r>
                              <w:rPr>
                                <w:rFonts w:ascii="標楷體" w:eastAsia="標楷體" w:hAnsi="標楷體"/>
                                <w:b/>
                              </w:rPr>
                              <w:t>0</w:t>
                            </w:r>
                            <w:r w:rsidRPr="00DB6740">
                              <w:rPr>
                                <w:rFonts w:ascii="標楷體" w:eastAsia="標楷體" w:hAnsi="標楷體" w:hint="eastAsia"/>
                                <w:b/>
                              </w:rPr>
                              <w:t xml:space="preserve">　1</w:t>
                            </w:r>
                            <w:r w:rsidRPr="00DB6740">
                              <w:rPr>
                                <w:rFonts w:ascii="標楷體" w:eastAsia="標楷體" w:hAnsi="標楷體"/>
                                <w:b/>
                              </w:rPr>
                              <w:t>12年度中央各部會對地方政府計畫型補助款預決算概況</w:t>
                            </w:r>
                          </w:p>
                          <w:p w14:paraId="32271F7B" w14:textId="77777777" w:rsidR="00A0212B" w:rsidRDefault="00A0212B" w:rsidP="00122919">
                            <w:r>
                              <w:rPr>
                                <w:noProof/>
                              </w:rPr>
                              <w:drawing>
                                <wp:inline distT="0" distB="0" distL="0" distR="0" wp14:anchorId="466F783B" wp14:editId="3D643DBC">
                                  <wp:extent cx="4931998" cy="3245109"/>
                                  <wp:effectExtent l="0" t="0" r="2540" b="0"/>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計畫型補助款_機關預算決算數 (4).png"/>
                                          <pic:cNvPicPr/>
                                        </pic:nvPicPr>
                                        <pic:blipFill>
                                          <a:blip r:embed="rId19">
                                            <a:extLst>
                                              <a:ext uri="{28A0092B-C50C-407E-A947-70E740481C1C}">
                                                <a14:useLocalDpi xmlns:a14="http://schemas.microsoft.com/office/drawing/2010/main" val="0"/>
                                              </a:ext>
                                            </a:extLst>
                                          </a:blip>
                                          <a:stretch>
                                            <a:fillRect/>
                                          </a:stretch>
                                        </pic:blipFill>
                                        <pic:spPr>
                                          <a:xfrm>
                                            <a:off x="0" y="0"/>
                                            <a:ext cx="4986902" cy="3281234"/>
                                          </a:xfrm>
                                          <a:prstGeom prst="rect">
                                            <a:avLst/>
                                          </a:prstGeom>
                                        </pic:spPr>
                                      </pic:pic>
                                    </a:graphicData>
                                  </a:graphic>
                                </wp:inline>
                              </w:drawing>
                            </w:r>
                          </w:p>
                          <w:p w14:paraId="21EF7E7D" w14:textId="77777777" w:rsidR="00A0212B" w:rsidRPr="00DB6740" w:rsidRDefault="00A0212B" w:rsidP="00122919">
                            <w:pPr>
                              <w:pStyle w:val="Web"/>
                              <w:spacing w:before="0" w:beforeAutospacing="0" w:after="0" w:afterAutospacing="0" w:line="200" w:lineRule="exact"/>
                              <w:ind w:firstLineChars="157" w:firstLine="283"/>
                              <w:rPr>
                                <w:rFonts w:ascii="標楷體" w:eastAsia="標楷體" w:hAnsi="標楷體"/>
                                <w:sz w:val="18"/>
                                <w:szCs w:val="18"/>
                              </w:rPr>
                            </w:pPr>
                            <w:r w:rsidRPr="00DB6740">
                              <w:rPr>
                                <w:rFonts w:ascii="標楷體" w:eastAsia="標楷體" w:hAnsi="標楷體" w:hint="eastAsia"/>
                                <w:sz w:val="18"/>
                                <w:szCs w:val="18"/>
                              </w:rPr>
                              <w:t>註：1.含總預算及特別預算。</w:t>
                            </w:r>
                          </w:p>
                          <w:p w14:paraId="7BD43BDA" w14:textId="77777777" w:rsidR="00A0212B" w:rsidRDefault="00A0212B" w:rsidP="00122919">
                            <w:pPr>
                              <w:widowControl/>
                              <w:spacing w:line="200" w:lineRule="exact"/>
                              <w:ind w:leftChars="157" w:left="377"/>
                              <w:rPr>
                                <w:rFonts w:ascii="標楷體" w:eastAsia="標楷體" w:hAnsi="標楷體" w:cs="新細明體"/>
                                <w:sz w:val="18"/>
                                <w:szCs w:val="18"/>
                              </w:rPr>
                            </w:pPr>
                            <w:r w:rsidRPr="00DB6740">
                              <w:rPr>
                                <w:rFonts w:ascii="標楷體" w:eastAsia="標楷體" w:hAnsi="標楷體" w:cs="新細明體" w:hint="eastAsia"/>
                                <w:sz w:val="18"/>
                                <w:szCs w:val="18"/>
                              </w:rPr>
                              <w:t xml:space="preserve">   2.財政部對地方政府補助預算數含地方政府統籌分配稅款短少補助118億餘元、土地增值稅</w:t>
                            </w:r>
                          </w:p>
                          <w:p w14:paraId="18090E1D" w14:textId="77777777" w:rsidR="00A0212B" w:rsidRPr="00DB6740" w:rsidRDefault="00A0212B" w:rsidP="00122919">
                            <w:pPr>
                              <w:widowControl/>
                              <w:spacing w:line="200" w:lineRule="exact"/>
                              <w:ind w:leftChars="157" w:left="377" w:firstLineChars="250" w:firstLine="450"/>
                              <w:rPr>
                                <w:rFonts w:ascii="標楷體" w:eastAsia="標楷體" w:hAnsi="標楷體" w:cs="新細明體"/>
                                <w:kern w:val="0"/>
                                <w:sz w:val="18"/>
                                <w:szCs w:val="18"/>
                              </w:rPr>
                            </w:pPr>
                            <w:r w:rsidRPr="00DB6740">
                              <w:rPr>
                                <w:rFonts w:ascii="標楷體" w:eastAsia="標楷體" w:hAnsi="標楷體" w:cs="新細明體" w:hint="eastAsia"/>
                                <w:sz w:val="18"/>
                                <w:szCs w:val="18"/>
                              </w:rPr>
                              <w:t>款與遺產及贈與稅款短少補助17億餘元。</w:t>
                            </w:r>
                          </w:p>
                          <w:p w14:paraId="2E6F2203" w14:textId="752E2126" w:rsidR="00A0212B" w:rsidRPr="00DB6740" w:rsidRDefault="00A0212B" w:rsidP="00122919">
                            <w:pPr>
                              <w:widowControl/>
                              <w:spacing w:line="200" w:lineRule="exact"/>
                              <w:rPr>
                                <w:rFonts w:ascii="標楷體" w:eastAsia="標楷體" w:hAnsi="標楷體" w:cs="新細明體"/>
                                <w:kern w:val="0"/>
                                <w:sz w:val="18"/>
                                <w:szCs w:val="18"/>
                              </w:rPr>
                            </w:pPr>
                            <w:r w:rsidRPr="00DB6740">
                              <w:rPr>
                                <w:rFonts w:ascii="標楷體" w:eastAsia="標楷體" w:hAnsi="標楷體" w:cs="新細明體" w:hint="eastAsia"/>
                                <w:sz w:val="18"/>
                                <w:szCs w:val="18"/>
                              </w:rPr>
                              <w:t xml:space="preserve">  　</w:t>
                            </w:r>
                            <w:r>
                              <w:rPr>
                                <w:rFonts w:ascii="標楷體" w:eastAsia="標楷體" w:hAnsi="標楷體" w:cs="新細明體" w:hint="eastAsia"/>
                                <w:sz w:val="18"/>
                                <w:szCs w:val="18"/>
                              </w:rPr>
                              <w:t xml:space="preserve"> </w:t>
                            </w:r>
                            <w:r>
                              <w:rPr>
                                <w:rFonts w:ascii="標楷體" w:eastAsia="標楷體" w:hAnsi="標楷體" w:cs="新細明體"/>
                                <w:sz w:val="18"/>
                                <w:szCs w:val="18"/>
                              </w:rPr>
                              <w:t xml:space="preserve">  </w:t>
                            </w:r>
                            <w:r w:rsidRPr="00DB6740">
                              <w:rPr>
                                <w:rFonts w:ascii="標楷體" w:eastAsia="標楷體" w:hAnsi="標楷體" w:cs="新細明體" w:hint="eastAsia"/>
                                <w:sz w:val="18"/>
                                <w:szCs w:val="18"/>
                              </w:rPr>
                              <w:t>3.資料來源：整理自中央</w:t>
                            </w:r>
                            <w:r>
                              <w:rPr>
                                <w:rFonts w:ascii="標楷體" w:eastAsia="標楷體" w:hAnsi="標楷體" w:cs="新細明體" w:hint="eastAsia"/>
                                <w:sz w:val="18"/>
                                <w:szCs w:val="18"/>
                              </w:rPr>
                              <w:t>各部會</w:t>
                            </w:r>
                            <w:r w:rsidRPr="00DB6740">
                              <w:rPr>
                                <w:rFonts w:ascii="標楷體" w:eastAsia="標楷體" w:hAnsi="標楷體" w:cs="新細明體" w:hint="eastAsia"/>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5437E3" id="_x0000_s1049" type="#_x0000_t202" style="position:absolute;left:0;text-align:left;margin-left:-11.2pt;margin-top:209.25pt;width:411.25pt;height:343.85pt;z-index:2516295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" stroked="f">
                <v:textbox>
                  <w:txbxContent>
                    <w:p w14:paraId="3DC10D47" w14:textId="7E9C3642" w:rsidR="00A0212B" w:rsidRPr="00DB6740" w:rsidRDefault="00A0212B" w:rsidP="00122919">
                      <w:pPr>
                        <w:jc w:val="center"/>
                        <w:rPr>
                          <w:rFonts w:ascii="標楷體" w:eastAsia="標楷體" w:hAnsi="標楷體"/>
                          <w:b/>
                        </w:rPr>
                      </w:pPr>
                      <w:r w:rsidRPr="00DB6740">
                        <w:rPr>
                          <w:rFonts w:ascii="標楷體" w:eastAsia="標楷體" w:hAnsi="標楷體" w:hint="eastAsia"/>
                          <w:b/>
                        </w:rPr>
                        <w:t>圖</w:t>
                      </w:r>
                      <w:r>
                        <w:rPr>
                          <w:rFonts w:ascii="標楷體" w:eastAsia="標楷體" w:hAnsi="標楷體" w:hint="eastAsia"/>
                          <w:b/>
                        </w:rPr>
                        <w:t>1</w:t>
                      </w:r>
                      <w:r>
                        <w:rPr>
                          <w:rFonts w:ascii="標楷體" w:eastAsia="標楷體" w:hAnsi="標楷體"/>
                          <w:b/>
                        </w:rPr>
                        <w:t>0</w:t>
                      </w:r>
                      <w:r w:rsidRPr="00DB6740">
                        <w:rPr>
                          <w:rFonts w:ascii="標楷體" w:eastAsia="標楷體" w:hAnsi="標楷體" w:hint="eastAsia"/>
                          <w:b/>
                        </w:rPr>
                        <w:t xml:space="preserve">　1</w:t>
                      </w:r>
                      <w:r w:rsidRPr="00DB6740">
                        <w:rPr>
                          <w:rFonts w:ascii="標楷體" w:eastAsia="標楷體" w:hAnsi="標楷體"/>
                          <w:b/>
                        </w:rPr>
                        <w:t>12年度中央各部會對地方政府計畫型補助款預決算概況</w:t>
                      </w:r>
                    </w:p>
                    <w:p w14:paraId="32271F7B" w14:textId="77777777" w:rsidR="00A0212B" w:rsidRDefault="00A0212B" w:rsidP="00122919">
                      <w:r>
                        <w:rPr>
                          <w:noProof/>
                        </w:rPr>
                        <w:drawing>
                          <wp:inline distT="0" distB="0" distL="0" distR="0" wp14:anchorId="466F783B" wp14:editId="3D643DBC">
                            <wp:extent cx="4931998" cy="3245109"/>
                            <wp:effectExtent l="0" t="0" r="2540" b="0"/>
                            <wp:docPr id="102" name="圖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計畫型補助款_機關預算決算數 (4).png"/>
                                    <pic:cNvPicPr/>
                                  </pic:nvPicPr>
                                  <pic:blipFill>
                                    <a:blip r:embed="rId19">
                                      <a:extLst>
                                        <a:ext uri="{28A0092B-C50C-407E-A947-70E740481C1C}">
                                          <a14:useLocalDpi xmlns:a14="http://schemas.microsoft.com/office/drawing/2010/main" val="0"/>
                                        </a:ext>
                                      </a:extLst>
                                    </a:blip>
                                    <a:stretch>
                                      <a:fillRect/>
                                    </a:stretch>
                                  </pic:blipFill>
                                  <pic:spPr>
                                    <a:xfrm>
                                      <a:off x="0" y="0"/>
                                      <a:ext cx="4986902" cy="3281234"/>
                                    </a:xfrm>
                                    <a:prstGeom prst="rect">
                                      <a:avLst/>
                                    </a:prstGeom>
                                  </pic:spPr>
                                </pic:pic>
                              </a:graphicData>
                            </a:graphic>
                          </wp:inline>
                        </w:drawing>
                      </w:r>
                    </w:p>
                    <w:p w14:paraId="21EF7E7D" w14:textId="77777777" w:rsidR="00A0212B" w:rsidRPr="00DB6740" w:rsidRDefault="00A0212B" w:rsidP="00122919">
                      <w:pPr>
                        <w:pStyle w:val="Web"/>
                        <w:spacing w:before="0" w:beforeAutospacing="0" w:after="0" w:afterAutospacing="0" w:line="200" w:lineRule="exact"/>
                        <w:ind w:firstLineChars="157" w:firstLine="283"/>
                        <w:rPr>
                          <w:rFonts w:ascii="標楷體" w:eastAsia="標楷體" w:hAnsi="標楷體"/>
                          <w:sz w:val="18"/>
                          <w:szCs w:val="18"/>
                        </w:rPr>
                      </w:pPr>
                      <w:r w:rsidRPr="00DB6740">
                        <w:rPr>
                          <w:rFonts w:ascii="標楷體" w:eastAsia="標楷體" w:hAnsi="標楷體" w:hint="eastAsia"/>
                          <w:sz w:val="18"/>
                          <w:szCs w:val="18"/>
                        </w:rPr>
                        <w:t>註：1.含總預算及特別預算。</w:t>
                      </w:r>
                    </w:p>
                    <w:p w14:paraId="7BD43BDA" w14:textId="77777777" w:rsidR="00A0212B" w:rsidRDefault="00A0212B" w:rsidP="00122919">
                      <w:pPr>
                        <w:widowControl/>
                        <w:spacing w:line="200" w:lineRule="exact"/>
                        <w:ind w:leftChars="157" w:left="377"/>
                        <w:rPr>
                          <w:rFonts w:ascii="標楷體" w:eastAsia="標楷體" w:hAnsi="標楷體" w:cs="新細明體"/>
                          <w:sz w:val="18"/>
                          <w:szCs w:val="18"/>
                        </w:rPr>
                      </w:pPr>
                      <w:r w:rsidRPr="00DB6740">
                        <w:rPr>
                          <w:rFonts w:ascii="標楷體" w:eastAsia="標楷體" w:hAnsi="標楷體" w:cs="新細明體" w:hint="eastAsia"/>
                          <w:sz w:val="18"/>
                          <w:szCs w:val="18"/>
                        </w:rPr>
                        <w:t xml:space="preserve">   2.財政部對地方政府補助預算數含地方政府統籌分配稅款短少補助118億餘元、土地增值稅</w:t>
                      </w:r>
                    </w:p>
                    <w:p w14:paraId="18090E1D" w14:textId="77777777" w:rsidR="00A0212B" w:rsidRPr="00DB6740" w:rsidRDefault="00A0212B" w:rsidP="00122919">
                      <w:pPr>
                        <w:widowControl/>
                        <w:spacing w:line="200" w:lineRule="exact"/>
                        <w:ind w:leftChars="157" w:left="377" w:firstLineChars="250" w:firstLine="450"/>
                        <w:rPr>
                          <w:rFonts w:ascii="標楷體" w:eastAsia="標楷體" w:hAnsi="標楷體" w:cs="新細明體"/>
                          <w:kern w:val="0"/>
                          <w:sz w:val="18"/>
                          <w:szCs w:val="18"/>
                        </w:rPr>
                      </w:pPr>
                      <w:r w:rsidRPr="00DB6740">
                        <w:rPr>
                          <w:rFonts w:ascii="標楷體" w:eastAsia="標楷體" w:hAnsi="標楷體" w:cs="新細明體" w:hint="eastAsia"/>
                          <w:sz w:val="18"/>
                          <w:szCs w:val="18"/>
                        </w:rPr>
                        <w:t>款與遺產及贈與稅款短少補助17億餘元。</w:t>
                      </w:r>
                    </w:p>
                    <w:p w14:paraId="2E6F2203" w14:textId="752E2126" w:rsidR="00A0212B" w:rsidRPr="00DB6740" w:rsidRDefault="00A0212B" w:rsidP="00122919">
                      <w:pPr>
                        <w:widowControl/>
                        <w:spacing w:line="200" w:lineRule="exact"/>
                        <w:rPr>
                          <w:rFonts w:ascii="標楷體" w:eastAsia="標楷體" w:hAnsi="標楷體" w:cs="新細明體"/>
                          <w:kern w:val="0"/>
                          <w:sz w:val="18"/>
                          <w:szCs w:val="18"/>
                        </w:rPr>
                      </w:pPr>
                      <w:r w:rsidRPr="00DB6740">
                        <w:rPr>
                          <w:rFonts w:ascii="標楷體" w:eastAsia="標楷體" w:hAnsi="標楷體" w:cs="新細明體" w:hint="eastAsia"/>
                          <w:sz w:val="18"/>
                          <w:szCs w:val="18"/>
                        </w:rPr>
                        <w:t xml:space="preserve">  　</w:t>
                      </w:r>
                      <w:r>
                        <w:rPr>
                          <w:rFonts w:ascii="標楷體" w:eastAsia="標楷體" w:hAnsi="標楷體" w:cs="新細明體" w:hint="eastAsia"/>
                          <w:sz w:val="18"/>
                          <w:szCs w:val="18"/>
                        </w:rPr>
                        <w:t xml:space="preserve"> </w:t>
                      </w:r>
                      <w:r>
                        <w:rPr>
                          <w:rFonts w:ascii="標楷體" w:eastAsia="標楷體" w:hAnsi="標楷體" w:cs="新細明體"/>
                          <w:sz w:val="18"/>
                          <w:szCs w:val="18"/>
                        </w:rPr>
                        <w:t xml:space="preserve">  </w:t>
                      </w:r>
                      <w:r w:rsidRPr="00DB6740">
                        <w:rPr>
                          <w:rFonts w:ascii="標楷體" w:eastAsia="標楷體" w:hAnsi="標楷體" w:cs="新細明體" w:hint="eastAsia"/>
                          <w:sz w:val="18"/>
                          <w:szCs w:val="18"/>
                        </w:rPr>
                        <w:t>3.資料來源：整理自中央</w:t>
                      </w:r>
                      <w:r>
                        <w:rPr>
                          <w:rFonts w:ascii="標楷體" w:eastAsia="標楷體" w:hAnsi="標楷體" w:cs="新細明體" w:hint="eastAsia"/>
                          <w:sz w:val="18"/>
                          <w:szCs w:val="18"/>
                        </w:rPr>
                        <w:t>各部會</w:t>
                      </w:r>
                      <w:r w:rsidRPr="00DB6740">
                        <w:rPr>
                          <w:rFonts w:ascii="標楷體" w:eastAsia="標楷體" w:hAnsi="標楷體" w:cs="新細明體" w:hint="eastAsia"/>
                          <w:sz w:val="18"/>
                          <w:szCs w:val="18"/>
                        </w:rPr>
                        <w:t>提供資料。</w:t>
                      </w:r>
                    </w:p>
                  </w:txbxContent>
                </v:textbox>
                <w10:wrap type="square"/>
              </v:shape>
            </w:pict>
          </mc:Fallback>
        </mc:AlternateContent>
      </w:r>
      <w:r w:rsidRPr="00122919">
        <w:rPr>
          <w:rFonts w:ascii="標楷體" w:eastAsia="標楷體" w:hAnsi="標楷體" w:hint="eastAsia"/>
          <w:szCs w:val="24"/>
        </w:rPr>
        <w:t>依中央對直轄市及縣（市）政府補助辦法（下稱補助辦法）規定，中央對地方政府補助事項包含補助直轄市、縣（市）政府基本財政收支差短與定額設算之教育、社會福利及基本設施等一般性補助、計畫型補助及重大事項之專案補助等，其中計畫型補助範圍又以計畫效益涵蓋面廣，且具整體性之計畫項目</w:t>
      </w:r>
      <w:r w:rsidR="00433E01">
        <w:rPr>
          <w:rFonts w:ascii="標楷體" w:eastAsia="標楷體" w:hAnsi="標楷體" w:hint="eastAsia"/>
          <w:szCs w:val="24"/>
        </w:rPr>
        <w:t>，</w:t>
      </w:r>
      <w:r w:rsidRPr="00122919">
        <w:rPr>
          <w:rFonts w:ascii="標楷體" w:eastAsia="標楷體" w:hAnsi="標楷體" w:hint="eastAsia"/>
          <w:szCs w:val="24"/>
        </w:rPr>
        <w:t>跨越直轄市、縣（市）或二</w:t>
      </w:r>
      <w:r w:rsidR="00433E01">
        <w:rPr>
          <w:rFonts w:ascii="標楷體" w:eastAsia="標楷體" w:hAnsi="標楷體" w:hint="eastAsia"/>
          <w:szCs w:val="24"/>
        </w:rPr>
        <w:t>個</w:t>
      </w:r>
      <w:r w:rsidRPr="00122919">
        <w:rPr>
          <w:rFonts w:ascii="標楷體" w:eastAsia="標楷體" w:hAnsi="標楷體" w:hint="eastAsia"/>
          <w:szCs w:val="24"/>
        </w:rPr>
        <w:t>以上縣（市）之建設計畫</w:t>
      </w:r>
      <w:r w:rsidR="00433E01">
        <w:rPr>
          <w:rFonts w:ascii="標楷體" w:eastAsia="標楷體" w:hAnsi="標楷體" w:hint="eastAsia"/>
          <w:szCs w:val="24"/>
        </w:rPr>
        <w:t>，</w:t>
      </w:r>
      <w:r w:rsidRPr="00122919">
        <w:rPr>
          <w:rFonts w:ascii="標楷體" w:eastAsia="標楷體" w:hAnsi="標楷體" w:hint="eastAsia"/>
          <w:szCs w:val="24"/>
        </w:rPr>
        <w:t>具有示範性作用之重大建設計畫，及因應中央重大政策或建設，需由直轄市或縣（市）政府配合辦理等4項為限。112年度行政院主管</w:t>
      </w:r>
      <w:r w:rsidR="00433E01">
        <w:rPr>
          <w:rFonts w:ascii="標楷體" w:eastAsia="標楷體" w:hAnsi="標楷體" w:hint="eastAsia"/>
          <w:szCs w:val="24"/>
        </w:rPr>
        <w:t>【</w:t>
      </w:r>
      <w:r w:rsidRPr="00122919">
        <w:rPr>
          <w:rFonts w:ascii="標楷體" w:eastAsia="標楷體" w:hAnsi="標楷體" w:hint="eastAsia"/>
          <w:szCs w:val="24"/>
        </w:rPr>
        <w:t>包含原住民族委員會（下稱原民會）、客家委員會（下稱客委會）、國家發展委員會（下稱國發會）</w:t>
      </w:r>
      <w:r w:rsidR="00433E01">
        <w:rPr>
          <w:rFonts w:ascii="標楷體" w:eastAsia="標楷體" w:hAnsi="標楷體" w:hint="eastAsia"/>
          <w:szCs w:val="24"/>
        </w:rPr>
        <w:t>】</w:t>
      </w:r>
      <w:r w:rsidRPr="00122919">
        <w:rPr>
          <w:rFonts w:ascii="標楷體" w:eastAsia="標楷體" w:hAnsi="標楷體" w:hint="eastAsia"/>
          <w:szCs w:val="24"/>
        </w:rPr>
        <w:t>、教育部、交通部、內政部、衛生福利部（下稱衛福部）、經濟部、財政部、文化部、環境部、農業部、海洋委員會、數位發展部等14個部會及所屬機關分別編列對直轄市、縣（市）政府計畫型補助款預算2,441億7,084萬餘元，補助預算編列前4高之主管機關分別為教育部、衛福部、內政部、交通部（</w:t>
      </w:r>
      <w:r w:rsidRPr="00855CF4">
        <w:rPr>
          <w:rFonts w:ascii="標楷體" w:eastAsia="標楷體" w:hAnsi="標楷體" w:hint="eastAsia"/>
          <w:szCs w:val="24"/>
        </w:rPr>
        <w:t>圖1</w:t>
      </w:r>
      <w:r w:rsidR="007F3A3D" w:rsidRPr="00855CF4">
        <w:rPr>
          <w:rFonts w:ascii="標楷體" w:eastAsia="標楷體" w:hAnsi="標楷體" w:hint="eastAsia"/>
          <w:szCs w:val="24"/>
        </w:rPr>
        <w:t>0</w:t>
      </w:r>
      <w:r w:rsidRPr="00122919">
        <w:rPr>
          <w:rFonts w:ascii="標楷體" w:eastAsia="標楷體" w:hAnsi="標楷體" w:hint="eastAsia"/>
          <w:szCs w:val="24"/>
        </w:rPr>
        <w:t>）；執行結果，實現數2,186億975萬餘元（89.53％）、應付保留數75億3,227萬餘元（3.08％），賸餘數180億2,881萬餘元（7.38％）。中央各機關透過計畫型補助款挹注地方財源，以導引地方政府達成其政策目標，執行成果已具成效，如內政部補助地方政府推動「污水下水道建設計</w:t>
      </w:r>
      <w:r w:rsidRPr="00122919">
        <w:rPr>
          <w:rFonts w:ascii="標楷體" w:eastAsia="標楷體" w:hAnsi="標楷體" w:hint="eastAsia"/>
          <w:szCs w:val="24"/>
        </w:rPr>
        <w:lastRenderedPageBreak/>
        <w:t>畫」，第六期建設計畫（110至115年度）總經費1,068億元，截至112年底止，全國公共污水下水道用戶接管戶數390萬餘戶，接管普及率為42.14％；衛福部辦理「強化社會安全網第二期計畫（110-114年）」，計畫總經費368億餘元，截至112年底止，已布建各市縣社會福利服務中心156處及補助地方政府進用社工人力3千7百餘人；教育部辦理「推動中小學數位學習精進方案」（111至114年度），計畫總經費200億元，截至112年底止，已補助3,881所學校購置學習載具55萬餘臺，培訓具基本數位教學能力教師1</w:t>
      </w:r>
      <w:r w:rsidRPr="00122919">
        <w:rPr>
          <w:rFonts w:ascii="標楷體" w:eastAsia="標楷體" w:hAnsi="標楷體"/>
          <w:szCs w:val="24"/>
        </w:rPr>
        <w:t>5</w:t>
      </w:r>
      <w:r w:rsidRPr="00122919">
        <w:rPr>
          <w:rFonts w:ascii="標楷體" w:eastAsia="標楷體" w:hAnsi="標楷體" w:hint="eastAsia"/>
          <w:szCs w:val="24"/>
        </w:rPr>
        <w:t>萬餘人，及建置教育大數據資料庫與分析平臺；交通部辦理「改善停車問題計畫」（106至114年度），計畫總經費260億元，截至112年底止，已核定補助地方政府辦理141案停車場工程等。經查計畫型補助款之管考及執行情形，核有下列事項，經函請行政院督促相關機關檢討改善。</w:t>
      </w:r>
      <w:r w:rsidRPr="00122919">
        <w:rPr>
          <w:rFonts w:ascii="標楷體" w:eastAsia="標楷體" w:hAnsi="標楷體" w:hint="eastAsia"/>
          <w:color w:val="000000" w:themeColor="text1"/>
          <w:szCs w:val="24"/>
        </w:rPr>
        <w:t>據復：業交付行政院主計總處處理，該總處於113年6月12日函請中央相關機關與各市縣政府積極檢討改進。</w:t>
      </w:r>
    </w:p>
    <w:p w14:paraId="557D0C51" w14:textId="3C36530A" w:rsidR="00122919" w:rsidRPr="00122919" w:rsidRDefault="005D106E" w:rsidP="00C616F5">
      <w:pPr>
        <w:overflowPunct w:val="0"/>
        <w:spacing w:line="430" w:lineRule="exact"/>
        <w:ind w:firstLineChars="450" w:firstLine="1080"/>
        <w:jc w:val="both"/>
        <w:rPr>
          <w:rFonts w:ascii="標楷體" w:eastAsia="標楷體" w:hAnsi="標楷體" w:cs="新細明體"/>
          <w:bCs/>
          <w:color w:val="000000" w:themeColor="text1"/>
          <w:szCs w:val="24"/>
        </w:rPr>
      </w:pPr>
      <w:r w:rsidRPr="005D106E">
        <w:rPr>
          <w:rFonts w:ascii="Calibri" w:hAnsi="Calibri"/>
          <w:noProof/>
          <w:szCs w:val="22"/>
        </w:rPr>
        <mc:AlternateContent>
          <mc:Choice Requires="wps">
            <w:drawing>
              <wp:anchor distT="45720" distB="45720" distL="114300" distR="114300" simplePos="0" relativeHeight="251635712" behindDoc="0" locked="0" layoutInCell="1" allowOverlap="1" wp14:anchorId="4D1B0CF1" wp14:editId="619A7E4A">
                <wp:simplePos x="0" y="0"/>
                <wp:positionH relativeFrom="column">
                  <wp:posOffset>-635</wp:posOffset>
                </wp:positionH>
                <wp:positionV relativeFrom="paragraph">
                  <wp:posOffset>2277110</wp:posOffset>
                </wp:positionV>
                <wp:extent cx="6296660" cy="3996690"/>
                <wp:effectExtent l="0" t="0" r="8890" b="3810"/>
                <wp:wrapSquare wrapText="bothSides"/>
                <wp:docPr id="1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6660" cy="3996690"/>
                        </a:xfrm>
                        <a:prstGeom prst="rect">
                          <a:avLst/>
                        </a:prstGeom>
                        <a:solidFill>
                          <a:srgbClr val="FFFFFF"/>
                        </a:solidFill>
                        <a:ln w="9525">
                          <a:noFill/>
                          <a:miter lim="800000"/>
                          <a:headEnd/>
                          <a:tailEnd/>
                        </a:ln>
                      </wps:spPr>
                      <wps:txbx>
                        <w:txbxContent>
                          <w:tbl>
                            <w:tblPr>
                              <w:tblStyle w:val="SGSTableBasic11111"/>
                              <w:tblW w:w="9356" w:type="dxa"/>
                              <w:tblCellMar>
                                <w:left w:w="0" w:type="dxa"/>
                                <w:right w:w="0" w:type="dxa"/>
                              </w:tblCellMar>
                              <w:tblLook w:val="04A0" w:firstRow="1" w:lastRow="0" w:firstColumn="1" w:lastColumn="0" w:noHBand="0" w:noVBand="1"/>
                            </w:tblPr>
                            <w:tblGrid>
                              <w:gridCol w:w="1843"/>
                              <w:gridCol w:w="3827"/>
                              <w:gridCol w:w="3686"/>
                            </w:tblGrid>
                            <w:tr w:rsidR="00A0212B" w:rsidRPr="004C166E" w14:paraId="736A3939" w14:textId="77777777" w:rsidTr="005D106E">
                              <w:tc>
                                <w:tcPr>
                                  <w:tcW w:w="9356" w:type="dxa"/>
                                  <w:gridSpan w:val="3"/>
                                  <w:tcBorders>
                                    <w:top w:val="nil"/>
                                    <w:left w:val="nil"/>
                                    <w:right w:val="nil"/>
                                  </w:tcBorders>
                                  <w:vAlign w:val="center"/>
                                </w:tcPr>
                                <w:p w14:paraId="50F573D9" w14:textId="25498FD1" w:rsidR="00A0212B" w:rsidRPr="00EA0FA8" w:rsidRDefault="00A0212B" w:rsidP="005D106E">
                                  <w:pPr>
                                    <w:overflowPunct w:val="0"/>
                                    <w:adjustRightInd w:val="0"/>
                                    <w:snapToGrid w:val="0"/>
                                    <w:spacing w:line="240" w:lineRule="atLeast"/>
                                    <w:jc w:val="center"/>
                                    <w:rPr>
                                      <w:rFonts w:ascii="標楷體" w:eastAsia="標楷體" w:hAnsi="標楷體"/>
                                    </w:rPr>
                                  </w:pPr>
                                  <w:r w:rsidRPr="00EA0FA8">
                                    <w:rPr>
                                      <w:rFonts w:ascii="標楷體" w:eastAsia="標楷體" w:hAnsi="標楷體"/>
                                      <w:b/>
                                    </w:rPr>
                                    <w:t>表</w:t>
                                  </w:r>
                                  <w:r>
                                    <w:rPr>
                                      <w:rFonts w:ascii="標楷體" w:eastAsia="標楷體" w:hAnsi="標楷體" w:hint="eastAsia"/>
                                      <w:b/>
                                    </w:rPr>
                                    <w:t>1</w:t>
                                  </w:r>
                                  <w:r>
                                    <w:rPr>
                                      <w:rFonts w:ascii="標楷體" w:eastAsia="標楷體" w:hAnsi="標楷體"/>
                                      <w:b/>
                                    </w:rPr>
                                    <w:t>2</w:t>
                                  </w:r>
                                  <w:r w:rsidRPr="00EA0FA8">
                                    <w:rPr>
                                      <w:rFonts w:ascii="標楷體" w:eastAsia="標楷體" w:hAnsi="標楷體"/>
                                      <w:b/>
                                    </w:rPr>
                                    <w:t xml:space="preserve">　</w:t>
                                  </w:r>
                                  <w:r w:rsidRPr="00AF5FD6">
                                    <w:rPr>
                                      <w:rFonts w:ascii="標楷體" w:eastAsia="標楷體" w:hAnsi="標楷體" w:hint="eastAsia"/>
                                      <w:b/>
                                    </w:rPr>
                                    <w:t>中央對直轄市及縣（市）政府補助辦法</w:t>
                                  </w:r>
                                  <w:r w:rsidRPr="00EA0FA8">
                                    <w:rPr>
                                      <w:rFonts w:ascii="標楷體" w:eastAsia="標楷體" w:hAnsi="標楷體"/>
                                      <w:b/>
                                    </w:rPr>
                                    <w:t>附表一、</w:t>
                                  </w:r>
                                  <w:r w:rsidRPr="00EA0FA8">
                                    <w:rPr>
                                      <w:rFonts w:ascii="標楷體" w:eastAsia="標楷體" w:hAnsi="標楷體" w:hint="eastAsia"/>
                                      <w:b/>
                                    </w:rPr>
                                    <w:t>二</w:t>
                                  </w:r>
                                  <w:r w:rsidRPr="00EA0FA8">
                                    <w:rPr>
                                      <w:rFonts w:ascii="標楷體" w:eastAsia="標楷體" w:hAnsi="標楷體"/>
                                      <w:b/>
                                    </w:rPr>
                                    <w:t>所列補助事項</w:t>
                                  </w:r>
                                </w:p>
                              </w:tc>
                            </w:tr>
                            <w:tr w:rsidR="00A0212B" w:rsidRPr="004C166E" w14:paraId="6AE74151" w14:textId="77777777" w:rsidTr="004D7C92">
                              <w:tc>
                                <w:tcPr>
                                  <w:tcW w:w="1843" w:type="dxa"/>
                                  <w:tcBorders>
                                    <w:top w:val="single" w:sz="4" w:space="0" w:color="auto"/>
                                  </w:tcBorders>
                                  <w:vAlign w:val="center"/>
                                </w:tcPr>
                                <w:p w14:paraId="4D224767" w14:textId="77777777" w:rsidR="00A0212B" w:rsidRPr="005D106E" w:rsidRDefault="00A0212B" w:rsidP="00622CAD">
                                  <w:pPr>
                                    <w:overflowPunct w:val="0"/>
                                    <w:adjustRightInd w:val="0"/>
                                    <w:snapToGrid w:val="0"/>
                                    <w:spacing w:line="240" w:lineRule="atLeast"/>
                                    <w:jc w:val="center"/>
                                    <w:rPr>
                                      <w:rFonts w:ascii="標楷體" w:eastAsia="標楷體" w:hAnsi="標楷體"/>
                                      <w:sz w:val="20"/>
                                    </w:rPr>
                                  </w:pPr>
                                  <w:r w:rsidRPr="005D106E">
                                    <w:rPr>
                                      <w:rFonts w:ascii="標楷體" w:eastAsia="標楷體" w:hAnsi="標楷體" w:hint="eastAsia"/>
                                      <w:sz w:val="20"/>
                                    </w:rPr>
                                    <w:t>機關名稱</w:t>
                                  </w:r>
                                </w:p>
                              </w:tc>
                              <w:tc>
                                <w:tcPr>
                                  <w:tcW w:w="3827" w:type="dxa"/>
                                  <w:tcBorders>
                                    <w:top w:val="single" w:sz="4" w:space="0" w:color="auto"/>
                                  </w:tcBorders>
                                  <w:vAlign w:val="center"/>
                                </w:tcPr>
                                <w:p w14:paraId="371A1276" w14:textId="77777777" w:rsidR="00A0212B" w:rsidRPr="005D106E" w:rsidRDefault="00A0212B" w:rsidP="00622CAD">
                                  <w:pPr>
                                    <w:overflowPunct w:val="0"/>
                                    <w:adjustRightInd w:val="0"/>
                                    <w:snapToGrid w:val="0"/>
                                    <w:spacing w:line="240" w:lineRule="atLeast"/>
                                    <w:jc w:val="center"/>
                                    <w:rPr>
                                      <w:rFonts w:ascii="標楷體" w:eastAsia="標楷體" w:hAnsi="標楷體"/>
                                      <w:sz w:val="20"/>
                                    </w:rPr>
                                  </w:pPr>
                                  <w:r w:rsidRPr="005D106E">
                                    <w:rPr>
                                      <w:rFonts w:ascii="標楷體" w:eastAsia="標楷體" w:hAnsi="標楷體" w:hint="eastAsia"/>
                                      <w:sz w:val="20"/>
                                    </w:rPr>
                                    <w:t>附表一補助事項</w:t>
                                  </w:r>
                                </w:p>
                              </w:tc>
                              <w:tc>
                                <w:tcPr>
                                  <w:tcW w:w="3686" w:type="dxa"/>
                                  <w:tcBorders>
                                    <w:top w:val="single" w:sz="4" w:space="0" w:color="auto"/>
                                    <w:bottom w:val="single" w:sz="4" w:space="0" w:color="auto"/>
                                  </w:tcBorders>
                                  <w:vAlign w:val="center"/>
                                </w:tcPr>
                                <w:p w14:paraId="7E42FCC0" w14:textId="77777777" w:rsidR="00A0212B" w:rsidRPr="005D106E" w:rsidRDefault="00A0212B" w:rsidP="00622CAD">
                                  <w:pPr>
                                    <w:overflowPunct w:val="0"/>
                                    <w:adjustRightInd w:val="0"/>
                                    <w:snapToGrid w:val="0"/>
                                    <w:spacing w:line="240" w:lineRule="atLeast"/>
                                    <w:jc w:val="center"/>
                                    <w:rPr>
                                      <w:rFonts w:ascii="標楷體" w:eastAsia="標楷體" w:hAnsi="標楷體"/>
                                      <w:sz w:val="20"/>
                                    </w:rPr>
                                  </w:pPr>
                                  <w:r w:rsidRPr="005D106E">
                                    <w:rPr>
                                      <w:rFonts w:ascii="標楷體" w:eastAsia="標楷體" w:hAnsi="標楷體" w:hint="eastAsia"/>
                                      <w:sz w:val="20"/>
                                    </w:rPr>
                                    <w:t>附表二酌予補助事項</w:t>
                                  </w:r>
                                </w:p>
                              </w:tc>
                            </w:tr>
                            <w:tr w:rsidR="00A0212B" w:rsidRPr="004C166E" w14:paraId="43BF5914" w14:textId="77777777" w:rsidTr="004D7C92">
                              <w:tc>
                                <w:tcPr>
                                  <w:tcW w:w="1843" w:type="dxa"/>
                                  <w:vAlign w:val="center"/>
                                </w:tcPr>
                                <w:p w14:paraId="44C1AC19" w14:textId="7626EF29" w:rsidR="00A0212B" w:rsidRPr="00E8263B" w:rsidRDefault="00A0212B" w:rsidP="00622CAD">
                                  <w:pPr>
                                    <w:overflowPunct w:val="0"/>
                                    <w:adjustRightInd w:val="0"/>
                                    <w:snapToGrid w:val="0"/>
                                    <w:spacing w:line="240" w:lineRule="atLeast"/>
                                    <w:jc w:val="both"/>
                                    <w:rPr>
                                      <w:rFonts w:ascii="標楷體" w:eastAsia="標楷體" w:hAnsi="標楷體"/>
                                      <w:spacing w:val="-8"/>
                                      <w:sz w:val="20"/>
                                    </w:rPr>
                                  </w:pPr>
                                  <w:r w:rsidRPr="00E8263B">
                                    <w:rPr>
                                      <w:rFonts w:ascii="標楷體" w:eastAsia="標楷體" w:hAnsi="標楷體" w:hint="eastAsia"/>
                                      <w:spacing w:val="-8"/>
                                      <w:sz w:val="20"/>
                                    </w:rPr>
                                    <w:t>客家委員會</w:t>
                                  </w:r>
                                </w:p>
                              </w:tc>
                              <w:tc>
                                <w:tcPr>
                                  <w:tcW w:w="3827" w:type="dxa"/>
                                  <w:vAlign w:val="center"/>
                                </w:tcPr>
                                <w:p w14:paraId="54F415AB"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推動客家文化保存及客庄建設計畫</w:t>
                                  </w:r>
                                </w:p>
                              </w:tc>
                              <w:tc>
                                <w:tcPr>
                                  <w:tcW w:w="3686" w:type="dxa"/>
                                  <w:tcBorders>
                                    <w:top w:val="single" w:sz="4" w:space="0" w:color="auto"/>
                                    <w:bottom w:val="single" w:sz="4" w:space="0" w:color="auto"/>
                                    <w:tl2br w:val="single" w:sz="4" w:space="0" w:color="auto"/>
                                  </w:tcBorders>
                                  <w:vAlign w:val="center"/>
                                </w:tcPr>
                                <w:p w14:paraId="32F0321D"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r>
                            <w:tr w:rsidR="00A0212B" w:rsidRPr="004C166E" w14:paraId="061454D7" w14:textId="77777777" w:rsidTr="004D7C92">
                              <w:tc>
                                <w:tcPr>
                                  <w:tcW w:w="1843" w:type="dxa"/>
                                  <w:vAlign w:val="center"/>
                                </w:tcPr>
                                <w:p w14:paraId="1EC9263D" w14:textId="77777777" w:rsidR="00A0212B" w:rsidRPr="005D106E" w:rsidRDefault="00A0212B" w:rsidP="00622CAD">
                                  <w:pPr>
                                    <w:overflowPunct w:val="0"/>
                                    <w:adjustRightInd w:val="0"/>
                                    <w:snapToGrid w:val="0"/>
                                    <w:spacing w:line="240" w:lineRule="atLeast"/>
                                    <w:rPr>
                                      <w:rFonts w:ascii="標楷體" w:eastAsia="標楷體" w:hAnsi="標楷體"/>
                                      <w:sz w:val="20"/>
                                    </w:rPr>
                                  </w:pPr>
                                  <w:r w:rsidRPr="005D106E">
                                    <w:rPr>
                                      <w:rFonts w:ascii="標楷體" w:eastAsia="標楷體" w:hAnsi="標楷體" w:hint="eastAsia"/>
                                      <w:sz w:val="20"/>
                                    </w:rPr>
                                    <w:t>內政部</w:t>
                                  </w:r>
                                </w:p>
                              </w:tc>
                              <w:tc>
                                <w:tcPr>
                                  <w:tcW w:w="3827" w:type="dxa"/>
                                  <w:vAlign w:val="center"/>
                                </w:tcPr>
                                <w:p w14:paraId="25CCC110"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污水下水道工程計畫、地籍圖重測計畫、聯合辦公大樓興建計畫、國土資訊系統計畫、農村社區土地重劃工程費</w:t>
                                  </w:r>
                                </w:p>
                              </w:tc>
                              <w:tc>
                                <w:tcPr>
                                  <w:tcW w:w="3686" w:type="dxa"/>
                                  <w:tcBorders>
                                    <w:top w:val="single" w:sz="4" w:space="0" w:color="auto"/>
                                    <w:bottom w:val="single" w:sz="4" w:space="0" w:color="auto"/>
                                  </w:tcBorders>
                                  <w:vAlign w:val="center"/>
                                </w:tcPr>
                                <w:p w14:paraId="3B17408E" w14:textId="77777777" w:rsidR="00A0212B" w:rsidRPr="004D7C92" w:rsidRDefault="00A0212B" w:rsidP="00622CAD">
                                  <w:pPr>
                                    <w:overflowPunct w:val="0"/>
                                    <w:adjustRightInd w:val="0"/>
                                    <w:snapToGrid w:val="0"/>
                                    <w:spacing w:line="240" w:lineRule="atLeast"/>
                                    <w:jc w:val="both"/>
                                    <w:rPr>
                                      <w:rFonts w:ascii="標楷體" w:eastAsia="標楷體" w:hAnsi="標楷體"/>
                                      <w:spacing w:val="6"/>
                                      <w:sz w:val="20"/>
                                    </w:rPr>
                                  </w:pPr>
                                  <w:r w:rsidRPr="004D7C92">
                                    <w:rPr>
                                      <w:rFonts w:ascii="標楷體" w:eastAsia="標楷體" w:hAnsi="標楷體" w:hint="eastAsia"/>
                                      <w:spacing w:val="6"/>
                                      <w:sz w:val="20"/>
                                    </w:rPr>
                                    <w:t>加強地方警政之設施、裝備及專案性計畫，加強地方消防設施、裝備及專案性計畫</w:t>
                                  </w:r>
                                </w:p>
                              </w:tc>
                            </w:tr>
                            <w:tr w:rsidR="00A0212B" w:rsidRPr="004C166E" w14:paraId="0CBD5DB3" w14:textId="77777777" w:rsidTr="00E8263B">
                              <w:tc>
                                <w:tcPr>
                                  <w:tcW w:w="1843" w:type="dxa"/>
                                  <w:vAlign w:val="center"/>
                                </w:tcPr>
                                <w:p w14:paraId="550779FF" w14:textId="77777777" w:rsidR="00A0212B" w:rsidRPr="005D106E" w:rsidRDefault="00A0212B" w:rsidP="00622CAD">
                                  <w:pPr>
                                    <w:overflowPunct w:val="0"/>
                                    <w:adjustRightInd w:val="0"/>
                                    <w:snapToGrid w:val="0"/>
                                    <w:spacing w:line="240" w:lineRule="atLeast"/>
                                    <w:rPr>
                                      <w:rFonts w:ascii="標楷體" w:eastAsia="標楷體" w:hAnsi="標楷體"/>
                                      <w:sz w:val="20"/>
                                    </w:rPr>
                                  </w:pPr>
                                  <w:r w:rsidRPr="005D106E">
                                    <w:rPr>
                                      <w:rFonts w:ascii="標楷體" w:eastAsia="標楷體" w:hAnsi="標楷體" w:hint="eastAsia"/>
                                      <w:sz w:val="20"/>
                                    </w:rPr>
                                    <w:t>內政部、交通部</w:t>
                                  </w:r>
                                </w:p>
                              </w:tc>
                              <w:tc>
                                <w:tcPr>
                                  <w:tcW w:w="3827" w:type="dxa"/>
                                  <w:vAlign w:val="center"/>
                                </w:tcPr>
                                <w:p w14:paraId="1AE006D4"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生活圈道路交通系統建設計畫</w:t>
                                  </w:r>
                                </w:p>
                              </w:tc>
                              <w:tc>
                                <w:tcPr>
                                  <w:tcW w:w="3686" w:type="dxa"/>
                                  <w:vMerge w:val="restart"/>
                                  <w:tcBorders>
                                    <w:tl2br w:val="single" w:sz="4" w:space="0" w:color="auto"/>
                                  </w:tcBorders>
                                  <w:vAlign w:val="center"/>
                                </w:tcPr>
                                <w:p w14:paraId="1F72A8AB"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r>
                            <w:tr w:rsidR="00A0212B" w:rsidRPr="004C166E" w14:paraId="07FE33F2" w14:textId="77777777" w:rsidTr="00E8263B">
                              <w:tc>
                                <w:tcPr>
                                  <w:tcW w:w="1843" w:type="dxa"/>
                                  <w:vAlign w:val="center"/>
                                </w:tcPr>
                                <w:p w14:paraId="57C04AA2" w14:textId="77777777" w:rsidR="00A0212B" w:rsidRPr="005D106E" w:rsidRDefault="00A0212B" w:rsidP="00622CAD">
                                  <w:pPr>
                                    <w:overflowPunct w:val="0"/>
                                    <w:adjustRightInd w:val="0"/>
                                    <w:snapToGrid w:val="0"/>
                                    <w:spacing w:line="240" w:lineRule="atLeast"/>
                                    <w:rPr>
                                      <w:rFonts w:ascii="標楷體" w:eastAsia="標楷體" w:hAnsi="標楷體"/>
                                      <w:sz w:val="20"/>
                                    </w:rPr>
                                  </w:pPr>
                                  <w:r w:rsidRPr="005D106E">
                                    <w:rPr>
                                      <w:rFonts w:ascii="標楷體" w:eastAsia="標楷體" w:hAnsi="標楷體" w:hint="eastAsia"/>
                                      <w:sz w:val="20"/>
                                    </w:rPr>
                                    <w:t>經濟部</w:t>
                                  </w:r>
                                </w:p>
                              </w:tc>
                              <w:tc>
                                <w:tcPr>
                                  <w:tcW w:w="3827" w:type="dxa"/>
                                  <w:vAlign w:val="center"/>
                                </w:tcPr>
                                <w:p w14:paraId="06FC01F2"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縣（市）管河川防洪設施及區域排水重要建設計畫、無自來水地區供水改善計畫</w:t>
                                  </w:r>
                                </w:p>
                              </w:tc>
                              <w:tc>
                                <w:tcPr>
                                  <w:tcW w:w="3686" w:type="dxa"/>
                                  <w:vMerge/>
                                  <w:tcBorders>
                                    <w:tl2br w:val="single" w:sz="4" w:space="0" w:color="auto"/>
                                  </w:tcBorders>
                                  <w:vAlign w:val="center"/>
                                </w:tcPr>
                                <w:p w14:paraId="0CE35345"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r>
                            <w:tr w:rsidR="00A0212B" w:rsidRPr="004C166E" w14:paraId="3FC499FD" w14:textId="77777777" w:rsidTr="00E8263B">
                              <w:tc>
                                <w:tcPr>
                                  <w:tcW w:w="1843" w:type="dxa"/>
                                  <w:vAlign w:val="center"/>
                                </w:tcPr>
                                <w:p w14:paraId="3E1B6F08" w14:textId="77777777" w:rsidR="00A0212B" w:rsidRPr="005D106E" w:rsidRDefault="00A0212B" w:rsidP="00622CAD">
                                  <w:pPr>
                                    <w:overflowPunct w:val="0"/>
                                    <w:adjustRightInd w:val="0"/>
                                    <w:snapToGrid w:val="0"/>
                                    <w:spacing w:line="240" w:lineRule="atLeast"/>
                                    <w:rPr>
                                      <w:rFonts w:ascii="標楷體" w:eastAsia="標楷體" w:hAnsi="標楷體"/>
                                      <w:sz w:val="20"/>
                                    </w:rPr>
                                  </w:pPr>
                                  <w:r w:rsidRPr="005D106E">
                                    <w:rPr>
                                      <w:rFonts w:ascii="標楷體" w:eastAsia="標楷體" w:hAnsi="標楷體" w:hint="eastAsia"/>
                                      <w:sz w:val="20"/>
                                    </w:rPr>
                                    <w:t>交通部</w:t>
                                  </w:r>
                                </w:p>
                              </w:tc>
                              <w:tc>
                                <w:tcPr>
                                  <w:tcW w:w="3827" w:type="dxa"/>
                                  <w:vAlign w:val="center"/>
                                </w:tcPr>
                                <w:p w14:paraId="3D7F4E83"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大眾捷運系統規劃及建設計畫（不含自償性經費）、都會區鐵路立體化計畫（不含自償性經費）、都會區快速道路系統建設計畫、高、快速公路交流道連絡道路改善工程計畫</w:t>
                                  </w:r>
                                </w:p>
                              </w:tc>
                              <w:tc>
                                <w:tcPr>
                                  <w:tcW w:w="3686" w:type="dxa"/>
                                  <w:vAlign w:val="center"/>
                                </w:tcPr>
                                <w:p w14:paraId="57F3D1CD"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大眾運輸偏遠路線營運虧損補貼</w:t>
                                  </w:r>
                                </w:p>
                              </w:tc>
                            </w:tr>
                            <w:tr w:rsidR="00A0212B" w:rsidRPr="004C166E" w14:paraId="08A7CE3F" w14:textId="77777777" w:rsidTr="00E8263B">
                              <w:tc>
                                <w:tcPr>
                                  <w:tcW w:w="1843" w:type="dxa"/>
                                  <w:vAlign w:val="center"/>
                                </w:tcPr>
                                <w:p w14:paraId="745443B1" w14:textId="1BB9B12B" w:rsidR="00A0212B" w:rsidRPr="00E8263B" w:rsidRDefault="00A0212B" w:rsidP="00622CAD">
                                  <w:pPr>
                                    <w:overflowPunct w:val="0"/>
                                    <w:adjustRightInd w:val="0"/>
                                    <w:snapToGrid w:val="0"/>
                                    <w:spacing w:line="240" w:lineRule="atLeast"/>
                                    <w:rPr>
                                      <w:rFonts w:ascii="標楷體" w:eastAsia="標楷體" w:hAnsi="標楷體"/>
                                      <w:spacing w:val="-8"/>
                                      <w:sz w:val="20"/>
                                    </w:rPr>
                                  </w:pPr>
                                  <w:r w:rsidRPr="00E8263B">
                                    <w:rPr>
                                      <w:rFonts w:ascii="標楷體" w:eastAsia="標楷體" w:hAnsi="標楷體" w:hint="eastAsia"/>
                                      <w:spacing w:val="-8"/>
                                      <w:sz w:val="20"/>
                                    </w:rPr>
                                    <w:t>農業委員會（農業部）</w:t>
                                  </w:r>
                                </w:p>
                              </w:tc>
                              <w:tc>
                                <w:tcPr>
                                  <w:tcW w:w="3827" w:type="dxa"/>
                                  <w:tcBorders>
                                    <w:bottom w:val="single" w:sz="4" w:space="0" w:color="auto"/>
                                  </w:tcBorders>
                                  <w:vAlign w:val="center"/>
                                </w:tcPr>
                                <w:p w14:paraId="5FB5D3C3"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動物保護推動及畜禽產銷計畫、發展地方農業產業文化及發展休閒農業計畫</w:t>
                                  </w:r>
                                </w:p>
                              </w:tc>
                              <w:tc>
                                <w:tcPr>
                                  <w:tcW w:w="3686" w:type="dxa"/>
                                  <w:vAlign w:val="center"/>
                                </w:tcPr>
                                <w:p w14:paraId="5D89C06C"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農、漁業重要建設計畫</w:t>
                                  </w:r>
                                </w:p>
                              </w:tc>
                            </w:tr>
                            <w:tr w:rsidR="00A0212B" w:rsidRPr="004C166E" w14:paraId="707028AB" w14:textId="77777777" w:rsidTr="00E8263B">
                              <w:tc>
                                <w:tcPr>
                                  <w:tcW w:w="1843" w:type="dxa"/>
                                  <w:vAlign w:val="center"/>
                                </w:tcPr>
                                <w:p w14:paraId="28A006A7" w14:textId="5FE08CBC" w:rsidR="00A0212B" w:rsidRPr="00E8263B" w:rsidRDefault="00A0212B" w:rsidP="00622CAD">
                                  <w:pPr>
                                    <w:overflowPunct w:val="0"/>
                                    <w:adjustRightInd w:val="0"/>
                                    <w:snapToGrid w:val="0"/>
                                    <w:spacing w:line="240" w:lineRule="atLeast"/>
                                    <w:jc w:val="both"/>
                                    <w:rPr>
                                      <w:rFonts w:ascii="標楷體" w:eastAsia="標楷體" w:hAnsi="標楷體"/>
                                      <w:spacing w:val="-8"/>
                                      <w:sz w:val="20"/>
                                    </w:rPr>
                                  </w:pPr>
                                  <w:r w:rsidRPr="00E8263B">
                                    <w:rPr>
                                      <w:rFonts w:ascii="標楷體" w:eastAsia="標楷體" w:hAnsi="標楷體" w:hint="eastAsia"/>
                                      <w:spacing w:val="-8"/>
                                      <w:sz w:val="20"/>
                                    </w:rPr>
                                    <w:t>原住民族</w:t>
                                  </w:r>
                                  <w:r w:rsidRPr="00E8263B">
                                    <w:rPr>
                                      <w:rFonts w:ascii="標楷體" w:eastAsia="標楷體" w:hAnsi="標楷體"/>
                                      <w:spacing w:val="-8"/>
                                      <w:sz w:val="20"/>
                                    </w:rPr>
                                    <w:t>委員</w:t>
                                  </w:r>
                                  <w:r w:rsidRPr="00E8263B">
                                    <w:rPr>
                                      <w:rFonts w:ascii="標楷體" w:eastAsia="標楷體" w:hAnsi="標楷體" w:hint="eastAsia"/>
                                      <w:spacing w:val="-8"/>
                                      <w:sz w:val="20"/>
                                    </w:rPr>
                                    <w:t>會</w:t>
                                  </w:r>
                                </w:p>
                              </w:tc>
                              <w:tc>
                                <w:tcPr>
                                  <w:tcW w:w="3827" w:type="dxa"/>
                                  <w:vMerge w:val="restart"/>
                                  <w:tcBorders>
                                    <w:tl2br w:val="single" w:sz="4" w:space="0" w:color="auto"/>
                                  </w:tcBorders>
                                  <w:vAlign w:val="center"/>
                                </w:tcPr>
                                <w:p w14:paraId="1E2BFE40"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c>
                                <w:tcPr>
                                  <w:tcW w:w="3686" w:type="dxa"/>
                                  <w:vAlign w:val="center"/>
                                </w:tcPr>
                                <w:p w14:paraId="18C59EF7"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原住民族重要建設及專案性計畫</w:t>
                                  </w:r>
                                </w:p>
                              </w:tc>
                            </w:tr>
                            <w:tr w:rsidR="00A0212B" w:rsidRPr="004C166E" w14:paraId="25239B51" w14:textId="77777777" w:rsidTr="00E8263B">
                              <w:tc>
                                <w:tcPr>
                                  <w:tcW w:w="1843" w:type="dxa"/>
                                  <w:vAlign w:val="center"/>
                                </w:tcPr>
                                <w:p w14:paraId="19D51824" w14:textId="1F36B4C4" w:rsidR="00A0212B" w:rsidRPr="005D106E" w:rsidRDefault="00A0212B" w:rsidP="00622CAD">
                                  <w:pPr>
                                    <w:overflowPunct w:val="0"/>
                                    <w:adjustRightInd w:val="0"/>
                                    <w:snapToGrid w:val="0"/>
                                    <w:spacing w:line="240" w:lineRule="atLeast"/>
                                    <w:rPr>
                                      <w:rFonts w:ascii="標楷體" w:eastAsia="標楷體" w:hAnsi="標楷體"/>
                                      <w:sz w:val="20"/>
                                    </w:rPr>
                                  </w:pPr>
                                  <w:r>
                                    <w:rPr>
                                      <w:rFonts w:ascii="標楷體" w:eastAsia="標楷體" w:hAnsi="標楷體" w:hint="eastAsia"/>
                                      <w:spacing w:val="-8"/>
                                      <w:sz w:val="20"/>
                                    </w:rPr>
                                    <w:t>環境</w:t>
                                  </w:r>
                                  <w:r>
                                    <w:rPr>
                                      <w:rFonts w:ascii="標楷體" w:eastAsia="標楷體" w:hAnsi="標楷體"/>
                                      <w:spacing w:val="-8"/>
                                      <w:sz w:val="20"/>
                                    </w:rPr>
                                    <w:t>保護署</w:t>
                                  </w:r>
                                  <w:r w:rsidRPr="00E8263B">
                                    <w:rPr>
                                      <w:rFonts w:ascii="標楷體" w:eastAsia="標楷體" w:hAnsi="標楷體" w:hint="eastAsia"/>
                                      <w:spacing w:val="-8"/>
                                      <w:sz w:val="20"/>
                                    </w:rPr>
                                    <w:t>（</w:t>
                                  </w:r>
                                  <w:r w:rsidRPr="005D106E">
                                    <w:rPr>
                                      <w:rFonts w:ascii="標楷體" w:eastAsia="標楷體" w:hAnsi="標楷體" w:hint="eastAsia"/>
                                      <w:sz w:val="20"/>
                                    </w:rPr>
                                    <w:t>環境部</w:t>
                                  </w:r>
                                  <w:r w:rsidRPr="00E8263B">
                                    <w:rPr>
                                      <w:rFonts w:ascii="標楷體" w:eastAsia="標楷體" w:hAnsi="標楷體" w:hint="eastAsia"/>
                                      <w:spacing w:val="-8"/>
                                      <w:sz w:val="20"/>
                                    </w:rPr>
                                    <w:t>）</w:t>
                                  </w:r>
                                </w:p>
                              </w:tc>
                              <w:tc>
                                <w:tcPr>
                                  <w:tcW w:w="3827" w:type="dxa"/>
                                  <w:vMerge/>
                                  <w:tcBorders>
                                    <w:tl2br w:val="single" w:sz="4" w:space="0" w:color="auto"/>
                                  </w:tcBorders>
                                  <w:vAlign w:val="center"/>
                                </w:tcPr>
                                <w:p w14:paraId="1F0BE5D6"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c>
                                <w:tcPr>
                                  <w:tcW w:w="3686" w:type="dxa"/>
                                  <w:vAlign w:val="center"/>
                                </w:tcPr>
                                <w:p w14:paraId="267D0488"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加強地方環保設施及專案性計畫</w:t>
                                  </w:r>
                                </w:p>
                              </w:tc>
                            </w:tr>
                            <w:tr w:rsidR="00A0212B" w:rsidRPr="004C166E" w14:paraId="5A38F1FA" w14:textId="77777777" w:rsidTr="00E8263B">
                              <w:tc>
                                <w:tcPr>
                                  <w:tcW w:w="1843" w:type="dxa"/>
                                  <w:vAlign w:val="center"/>
                                </w:tcPr>
                                <w:p w14:paraId="620A37F5" w14:textId="2D8933C4"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衛</w:t>
                                  </w:r>
                                  <w:r>
                                    <w:rPr>
                                      <w:rFonts w:ascii="標楷體" w:eastAsia="標楷體" w:hAnsi="標楷體" w:hint="eastAsia"/>
                                      <w:sz w:val="20"/>
                                    </w:rPr>
                                    <w:t>生</w:t>
                                  </w:r>
                                  <w:r w:rsidRPr="005D106E">
                                    <w:rPr>
                                      <w:rFonts w:ascii="標楷體" w:eastAsia="標楷體" w:hAnsi="標楷體" w:hint="eastAsia"/>
                                      <w:sz w:val="20"/>
                                    </w:rPr>
                                    <w:t>福</w:t>
                                  </w:r>
                                  <w:r>
                                    <w:rPr>
                                      <w:rFonts w:ascii="標楷體" w:eastAsia="標楷體" w:hAnsi="標楷體" w:hint="eastAsia"/>
                                      <w:sz w:val="20"/>
                                    </w:rPr>
                                    <w:t>利</w:t>
                                  </w:r>
                                  <w:r w:rsidRPr="005D106E">
                                    <w:rPr>
                                      <w:rFonts w:ascii="標楷體" w:eastAsia="標楷體" w:hAnsi="標楷體" w:hint="eastAsia"/>
                                      <w:sz w:val="20"/>
                                    </w:rPr>
                                    <w:t>部</w:t>
                                  </w:r>
                                </w:p>
                              </w:tc>
                              <w:tc>
                                <w:tcPr>
                                  <w:tcW w:w="3827" w:type="dxa"/>
                                  <w:vMerge/>
                                  <w:tcBorders>
                                    <w:tl2br w:val="single" w:sz="4" w:space="0" w:color="auto"/>
                                  </w:tcBorders>
                                  <w:vAlign w:val="center"/>
                                </w:tcPr>
                                <w:p w14:paraId="3D11A16C"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c>
                                <w:tcPr>
                                  <w:tcW w:w="3686" w:type="dxa"/>
                                  <w:vAlign w:val="center"/>
                                </w:tcPr>
                                <w:p w14:paraId="686A89E5"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長期照顧計畫、興建社會福利設施工程及充實設施設備計畫、醫療保健重要計畫</w:t>
                                  </w:r>
                                </w:p>
                              </w:tc>
                            </w:tr>
                            <w:tr w:rsidR="00A0212B" w:rsidRPr="004C166E" w14:paraId="22B95CD3" w14:textId="77777777" w:rsidTr="00E8263B">
                              <w:tc>
                                <w:tcPr>
                                  <w:tcW w:w="1843" w:type="dxa"/>
                                  <w:tcBorders>
                                    <w:bottom w:val="single" w:sz="4" w:space="0" w:color="auto"/>
                                  </w:tcBorders>
                                  <w:vAlign w:val="center"/>
                                </w:tcPr>
                                <w:p w14:paraId="55A7F137"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教育部、文化部</w:t>
                                  </w:r>
                                </w:p>
                              </w:tc>
                              <w:tc>
                                <w:tcPr>
                                  <w:tcW w:w="3827" w:type="dxa"/>
                                  <w:vMerge/>
                                  <w:tcBorders>
                                    <w:bottom w:val="single" w:sz="4" w:space="0" w:color="auto"/>
                                    <w:tl2br w:val="single" w:sz="4" w:space="0" w:color="auto"/>
                                  </w:tcBorders>
                                  <w:vAlign w:val="center"/>
                                </w:tcPr>
                                <w:p w14:paraId="26DDAC50" w14:textId="77777777" w:rsidR="00A0212B" w:rsidRPr="005D106E" w:rsidRDefault="00A0212B" w:rsidP="00622CAD">
                                  <w:pPr>
                                    <w:overflowPunct w:val="0"/>
                                    <w:adjustRightInd w:val="0"/>
                                    <w:snapToGrid w:val="0"/>
                                    <w:spacing w:line="240" w:lineRule="atLeast"/>
                                    <w:rPr>
                                      <w:rFonts w:ascii="標楷體" w:eastAsia="標楷體" w:hAnsi="標楷體"/>
                                      <w:sz w:val="20"/>
                                    </w:rPr>
                                  </w:pPr>
                                </w:p>
                              </w:tc>
                              <w:tc>
                                <w:tcPr>
                                  <w:tcW w:w="3686" w:type="dxa"/>
                                  <w:tcBorders>
                                    <w:bottom w:val="single" w:sz="4" w:space="0" w:color="auto"/>
                                  </w:tcBorders>
                                  <w:vAlign w:val="center"/>
                                </w:tcPr>
                                <w:p w14:paraId="21285108"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均衡或提升地方教育與體育水準及文化專案性計畫</w:t>
                                  </w:r>
                                </w:p>
                              </w:tc>
                            </w:tr>
                            <w:tr w:rsidR="00A0212B" w:rsidRPr="004C166E" w14:paraId="52AC7D0B" w14:textId="77777777" w:rsidTr="005D106E">
                              <w:tc>
                                <w:tcPr>
                                  <w:tcW w:w="9356" w:type="dxa"/>
                                  <w:gridSpan w:val="3"/>
                                  <w:tcBorders>
                                    <w:left w:val="nil"/>
                                    <w:bottom w:val="nil"/>
                                    <w:right w:val="nil"/>
                                  </w:tcBorders>
                                  <w:vAlign w:val="center"/>
                                </w:tcPr>
                                <w:p w14:paraId="3C2AD7FB" w14:textId="7754CDAF" w:rsidR="00A0212B" w:rsidRPr="004C166E" w:rsidRDefault="00A0212B" w:rsidP="00622CAD">
                                  <w:pPr>
                                    <w:overflowPunct w:val="0"/>
                                    <w:adjustRightInd w:val="0"/>
                                    <w:snapToGrid w:val="0"/>
                                    <w:spacing w:line="240" w:lineRule="atLeast"/>
                                    <w:jc w:val="both"/>
                                    <w:rPr>
                                      <w:rFonts w:ascii="標楷體" w:eastAsia="標楷體" w:hAnsi="標楷體"/>
                                      <w:sz w:val="18"/>
                                      <w:szCs w:val="18"/>
                                    </w:rPr>
                                  </w:pPr>
                                  <w:r>
                                    <w:rPr>
                                      <w:rFonts w:ascii="標楷體" w:eastAsia="標楷體" w:hAnsi="標楷體" w:hint="eastAsia"/>
                                      <w:sz w:val="18"/>
                                      <w:szCs w:val="18"/>
                                    </w:rPr>
                                    <w:t>資料來源</w:t>
                                  </w:r>
                                  <w:r w:rsidRPr="004C166E">
                                    <w:rPr>
                                      <w:rFonts w:ascii="標楷體" w:eastAsia="標楷體" w:hAnsi="標楷體" w:hint="eastAsia"/>
                                      <w:sz w:val="18"/>
                                      <w:szCs w:val="18"/>
                                    </w:rPr>
                                    <w:t>：整理自</w:t>
                                  </w:r>
                                  <w:r w:rsidRPr="00AF5FD6">
                                    <w:rPr>
                                      <w:rFonts w:ascii="標楷體" w:eastAsia="標楷體" w:hAnsi="標楷體" w:hint="eastAsia"/>
                                      <w:sz w:val="18"/>
                                      <w:szCs w:val="18"/>
                                    </w:rPr>
                                    <w:t>中央對直轄市及縣（市）政府補助辦法</w:t>
                                  </w:r>
                                  <w:r w:rsidRPr="004C166E">
                                    <w:rPr>
                                      <w:rFonts w:ascii="標楷體" w:eastAsia="標楷體" w:hAnsi="標楷體" w:hint="eastAsia"/>
                                      <w:sz w:val="18"/>
                                      <w:szCs w:val="18"/>
                                    </w:rPr>
                                    <w:t>第7條附表一及第9條附表二規定。</w:t>
                                  </w:r>
                                </w:p>
                              </w:tc>
                            </w:tr>
                          </w:tbl>
                          <w:p w14:paraId="3E45E610" w14:textId="77777777" w:rsidR="00A0212B" w:rsidRPr="005D106E" w:rsidRDefault="00A0212B" w:rsidP="005D106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1B0CF1" id="_x0000_s1050" type="#_x0000_t202" style="position:absolute;left:0;text-align:left;margin-left:-.05pt;margin-top:179.3pt;width:495.8pt;height:314.7pt;z-index:251635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" stroked="f">
                <v:textbox>
                  <w:txbxContent>
                    <w:tbl>
                      <w:tblPr>
                        <w:tblStyle w:val="SGSTableBasic11111"/>
                        <w:tblW w:w="9356" w:type="dxa"/>
                        <w:tblCellMar>
                          <w:left w:w="0" w:type="dxa"/>
                          <w:right w:w="0" w:type="dxa"/>
                        </w:tblCellMar>
                        <w:tblLook w:val="04A0" w:firstRow="1" w:lastRow="0" w:firstColumn="1" w:lastColumn="0" w:noHBand="0" w:noVBand="1"/>
                      </w:tblPr>
                      <w:tblGrid>
                        <w:gridCol w:w="1843"/>
                        <w:gridCol w:w="3827"/>
                        <w:gridCol w:w="3686"/>
                      </w:tblGrid>
                      <w:tr w:rsidR="00A0212B" w:rsidRPr="004C166E" w14:paraId="736A3939" w14:textId="77777777" w:rsidTr="005D106E">
                        <w:tc>
                          <w:tcPr>
                            <w:tcW w:w="9356" w:type="dxa"/>
                            <w:gridSpan w:val="3"/>
                            <w:tcBorders>
                              <w:top w:val="nil"/>
                              <w:left w:val="nil"/>
                              <w:right w:val="nil"/>
                            </w:tcBorders>
                            <w:vAlign w:val="center"/>
                          </w:tcPr>
                          <w:p w14:paraId="50F573D9" w14:textId="25498FD1" w:rsidR="00A0212B" w:rsidRPr="00EA0FA8" w:rsidRDefault="00A0212B" w:rsidP="005D106E">
                            <w:pPr>
                              <w:overflowPunct w:val="0"/>
                              <w:adjustRightInd w:val="0"/>
                              <w:snapToGrid w:val="0"/>
                              <w:spacing w:line="240" w:lineRule="atLeast"/>
                              <w:jc w:val="center"/>
                              <w:rPr>
                                <w:rFonts w:ascii="標楷體" w:eastAsia="標楷體" w:hAnsi="標楷體"/>
                              </w:rPr>
                            </w:pPr>
                            <w:r w:rsidRPr="00EA0FA8">
                              <w:rPr>
                                <w:rFonts w:ascii="標楷體" w:eastAsia="標楷體" w:hAnsi="標楷體"/>
                                <w:b/>
                              </w:rPr>
                              <w:t>表</w:t>
                            </w:r>
                            <w:r>
                              <w:rPr>
                                <w:rFonts w:ascii="標楷體" w:eastAsia="標楷體" w:hAnsi="標楷體" w:hint="eastAsia"/>
                                <w:b/>
                              </w:rPr>
                              <w:t>1</w:t>
                            </w:r>
                            <w:r>
                              <w:rPr>
                                <w:rFonts w:ascii="標楷體" w:eastAsia="標楷體" w:hAnsi="標楷體"/>
                                <w:b/>
                              </w:rPr>
                              <w:t>2</w:t>
                            </w:r>
                            <w:r w:rsidRPr="00EA0FA8">
                              <w:rPr>
                                <w:rFonts w:ascii="標楷體" w:eastAsia="標楷體" w:hAnsi="標楷體"/>
                                <w:b/>
                              </w:rPr>
                              <w:t xml:space="preserve">　</w:t>
                            </w:r>
                            <w:r w:rsidRPr="00AF5FD6">
                              <w:rPr>
                                <w:rFonts w:ascii="標楷體" w:eastAsia="標楷體" w:hAnsi="標楷體" w:hint="eastAsia"/>
                                <w:b/>
                              </w:rPr>
                              <w:t>中央對直轄市及縣（市）政府補助辦法</w:t>
                            </w:r>
                            <w:r w:rsidRPr="00EA0FA8">
                              <w:rPr>
                                <w:rFonts w:ascii="標楷體" w:eastAsia="標楷體" w:hAnsi="標楷體"/>
                                <w:b/>
                              </w:rPr>
                              <w:t>附表一、</w:t>
                            </w:r>
                            <w:r w:rsidRPr="00EA0FA8">
                              <w:rPr>
                                <w:rFonts w:ascii="標楷體" w:eastAsia="標楷體" w:hAnsi="標楷體" w:hint="eastAsia"/>
                                <w:b/>
                              </w:rPr>
                              <w:t>二</w:t>
                            </w:r>
                            <w:r w:rsidRPr="00EA0FA8">
                              <w:rPr>
                                <w:rFonts w:ascii="標楷體" w:eastAsia="標楷體" w:hAnsi="標楷體"/>
                                <w:b/>
                              </w:rPr>
                              <w:t>所列補助事項</w:t>
                            </w:r>
                          </w:p>
                        </w:tc>
                      </w:tr>
                      <w:tr w:rsidR="00A0212B" w:rsidRPr="004C166E" w14:paraId="6AE74151" w14:textId="77777777" w:rsidTr="004D7C92">
                        <w:tc>
                          <w:tcPr>
                            <w:tcW w:w="1843" w:type="dxa"/>
                            <w:tcBorders>
                              <w:top w:val="single" w:sz="4" w:space="0" w:color="auto"/>
                            </w:tcBorders>
                            <w:vAlign w:val="center"/>
                          </w:tcPr>
                          <w:p w14:paraId="4D224767" w14:textId="77777777" w:rsidR="00A0212B" w:rsidRPr="005D106E" w:rsidRDefault="00A0212B" w:rsidP="00622CAD">
                            <w:pPr>
                              <w:overflowPunct w:val="0"/>
                              <w:adjustRightInd w:val="0"/>
                              <w:snapToGrid w:val="0"/>
                              <w:spacing w:line="240" w:lineRule="atLeast"/>
                              <w:jc w:val="center"/>
                              <w:rPr>
                                <w:rFonts w:ascii="標楷體" w:eastAsia="標楷體" w:hAnsi="標楷體"/>
                                <w:sz w:val="20"/>
                              </w:rPr>
                            </w:pPr>
                            <w:r w:rsidRPr="005D106E">
                              <w:rPr>
                                <w:rFonts w:ascii="標楷體" w:eastAsia="標楷體" w:hAnsi="標楷體" w:hint="eastAsia"/>
                                <w:sz w:val="20"/>
                              </w:rPr>
                              <w:t>機關名稱</w:t>
                            </w:r>
                          </w:p>
                        </w:tc>
                        <w:tc>
                          <w:tcPr>
                            <w:tcW w:w="3827" w:type="dxa"/>
                            <w:tcBorders>
                              <w:top w:val="single" w:sz="4" w:space="0" w:color="auto"/>
                            </w:tcBorders>
                            <w:vAlign w:val="center"/>
                          </w:tcPr>
                          <w:p w14:paraId="371A1276" w14:textId="77777777" w:rsidR="00A0212B" w:rsidRPr="005D106E" w:rsidRDefault="00A0212B" w:rsidP="00622CAD">
                            <w:pPr>
                              <w:overflowPunct w:val="0"/>
                              <w:adjustRightInd w:val="0"/>
                              <w:snapToGrid w:val="0"/>
                              <w:spacing w:line="240" w:lineRule="atLeast"/>
                              <w:jc w:val="center"/>
                              <w:rPr>
                                <w:rFonts w:ascii="標楷體" w:eastAsia="標楷體" w:hAnsi="標楷體"/>
                                <w:sz w:val="20"/>
                              </w:rPr>
                            </w:pPr>
                            <w:r w:rsidRPr="005D106E">
                              <w:rPr>
                                <w:rFonts w:ascii="標楷體" w:eastAsia="標楷體" w:hAnsi="標楷體" w:hint="eastAsia"/>
                                <w:sz w:val="20"/>
                              </w:rPr>
                              <w:t>附表一補助事項</w:t>
                            </w:r>
                          </w:p>
                        </w:tc>
                        <w:tc>
                          <w:tcPr>
                            <w:tcW w:w="3686" w:type="dxa"/>
                            <w:tcBorders>
                              <w:top w:val="single" w:sz="4" w:space="0" w:color="auto"/>
                              <w:bottom w:val="single" w:sz="4" w:space="0" w:color="auto"/>
                            </w:tcBorders>
                            <w:vAlign w:val="center"/>
                          </w:tcPr>
                          <w:p w14:paraId="7E42FCC0" w14:textId="77777777" w:rsidR="00A0212B" w:rsidRPr="005D106E" w:rsidRDefault="00A0212B" w:rsidP="00622CAD">
                            <w:pPr>
                              <w:overflowPunct w:val="0"/>
                              <w:adjustRightInd w:val="0"/>
                              <w:snapToGrid w:val="0"/>
                              <w:spacing w:line="240" w:lineRule="atLeast"/>
                              <w:jc w:val="center"/>
                              <w:rPr>
                                <w:rFonts w:ascii="標楷體" w:eastAsia="標楷體" w:hAnsi="標楷體"/>
                                <w:sz w:val="20"/>
                              </w:rPr>
                            </w:pPr>
                            <w:r w:rsidRPr="005D106E">
                              <w:rPr>
                                <w:rFonts w:ascii="標楷體" w:eastAsia="標楷體" w:hAnsi="標楷體" w:hint="eastAsia"/>
                                <w:sz w:val="20"/>
                              </w:rPr>
                              <w:t>附表二酌予補助事項</w:t>
                            </w:r>
                          </w:p>
                        </w:tc>
                      </w:tr>
                      <w:tr w:rsidR="00A0212B" w:rsidRPr="004C166E" w14:paraId="43BF5914" w14:textId="77777777" w:rsidTr="004D7C92">
                        <w:tc>
                          <w:tcPr>
                            <w:tcW w:w="1843" w:type="dxa"/>
                            <w:vAlign w:val="center"/>
                          </w:tcPr>
                          <w:p w14:paraId="44C1AC19" w14:textId="7626EF29" w:rsidR="00A0212B" w:rsidRPr="00E8263B" w:rsidRDefault="00A0212B" w:rsidP="00622CAD">
                            <w:pPr>
                              <w:overflowPunct w:val="0"/>
                              <w:adjustRightInd w:val="0"/>
                              <w:snapToGrid w:val="0"/>
                              <w:spacing w:line="240" w:lineRule="atLeast"/>
                              <w:jc w:val="both"/>
                              <w:rPr>
                                <w:rFonts w:ascii="標楷體" w:eastAsia="標楷體" w:hAnsi="標楷體"/>
                                <w:spacing w:val="-8"/>
                                <w:sz w:val="20"/>
                              </w:rPr>
                            </w:pPr>
                            <w:r w:rsidRPr="00E8263B">
                              <w:rPr>
                                <w:rFonts w:ascii="標楷體" w:eastAsia="標楷體" w:hAnsi="標楷體" w:hint="eastAsia"/>
                                <w:spacing w:val="-8"/>
                                <w:sz w:val="20"/>
                              </w:rPr>
                              <w:t>客家委員會</w:t>
                            </w:r>
                          </w:p>
                        </w:tc>
                        <w:tc>
                          <w:tcPr>
                            <w:tcW w:w="3827" w:type="dxa"/>
                            <w:vAlign w:val="center"/>
                          </w:tcPr>
                          <w:p w14:paraId="54F415AB"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推動客家文化保存及客庄建設計畫</w:t>
                            </w:r>
                          </w:p>
                        </w:tc>
                        <w:tc>
                          <w:tcPr>
                            <w:tcW w:w="3686" w:type="dxa"/>
                            <w:tcBorders>
                              <w:top w:val="single" w:sz="4" w:space="0" w:color="auto"/>
                              <w:bottom w:val="single" w:sz="4" w:space="0" w:color="auto"/>
                              <w:tl2br w:val="single" w:sz="4" w:space="0" w:color="auto"/>
                            </w:tcBorders>
                            <w:vAlign w:val="center"/>
                          </w:tcPr>
                          <w:p w14:paraId="32F0321D"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r>
                      <w:tr w:rsidR="00A0212B" w:rsidRPr="004C166E" w14:paraId="061454D7" w14:textId="77777777" w:rsidTr="004D7C92">
                        <w:tc>
                          <w:tcPr>
                            <w:tcW w:w="1843" w:type="dxa"/>
                            <w:vAlign w:val="center"/>
                          </w:tcPr>
                          <w:p w14:paraId="1EC9263D" w14:textId="77777777" w:rsidR="00A0212B" w:rsidRPr="005D106E" w:rsidRDefault="00A0212B" w:rsidP="00622CAD">
                            <w:pPr>
                              <w:overflowPunct w:val="0"/>
                              <w:adjustRightInd w:val="0"/>
                              <w:snapToGrid w:val="0"/>
                              <w:spacing w:line="240" w:lineRule="atLeast"/>
                              <w:rPr>
                                <w:rFonts w:ascii="標楷體" w:eastAsia="標楷體" w:hAnsi="標楷體"/>
                                <w:sz w:val="20"/>
                              </w:rPr>
                            </w:pPr>
                            <w:r w:rsidRPr="005D106E">
                              <w:rPr>
                                <w:rFonts w:ascii="標楷體" w:eastAsia="標楷體" w:hAnsi="標楷體" w:hint="eastAsia"/>
                                <w:sz w:val="20"/>
                              </w:rPr>
                              <w:t>內政部</w:t>
                            </w:r>
                          </w:p>
                        </w:tc>
                        <w:tc>
                          <w:tcPr>
                            <w:tcW w:w="3827" w:type="dxa"/>
                            <w:vAlign w:val="center"/>
                          </w:tcPr>
                          <w:p w14:paraId="25CCC110"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污水下水道工程計畫、地籍圖重測計畫、聯合辦公大樓興建計畫、國土資訊系統計畫、農村社區土地重劃工程費</w:t>
                            </w:r>
                          </w:p>
                        </w:tc>
                        <w:tc>
                          <w:tcPr>
                            <w:tcW w:w="3686" w:type="dxa"/>
                            <w:tcBorders>
                              <w:top w:val="single" w:sz="4" w:space="0" w:color="auto"/>
                              <w:bottom w:val="single" w:sz="4" w:space="0" w:color="auto"/>
                            </w:tcBorders>
                            <w:vAlign w:val="center"/>
                          </w:tcPr>
                          <w:p w14:paraId="3B17408E" w14:textId="77777777" w:rsidR="00A0212B" w:rsidRPr="004D7C92" w:rsidRDefault="00A0212B" w:rsidP="00622CAD">
                            <w:pPr>
                              <w:overflowPunct w:val="0"/>
                              <w:adjustRightInd w:val="0"/>
                              <w:snapToGrid w:val="0"/>
                              <w:spacing w:line="240" w:lineRule="atLeast"/>
                              <w:jc w:val="both"/>
                              <w:rPr>
                                <w:rFonts w:ascii="標楷體" w:eastAsia="標楷體" w:hAnsi="標楷體"/>
                                <w:spacing w:val="6"/>
                                <w:sz w:val="20"/>
                              </w:rPr>
                            </w:pPr>
                            <w:r w:rsidRPr="004D7C92">
                              <w:rPr>
                                <w:rFonts w:ascii="標楷體" w:eastAsia="標楷體" w:hAnsi="標楷體" w:hint="eastAsia"/>
                                <w:spacing w:val="6"/>
                                <w:sz w:val="20"/>
                              </w:rPr>
                              <w:t>加強地方警政之設施、裝備及專案性計畫，加強地方消防設施、裝備及專案性計畫</w:t>
                            </w:r>
                          </w:p>
                        </w:tc>
                      </w:tr>
                      <w:tr w:rsidR="00A0212B" w:rsidRPr="004C166E" w14:paraId="0CBD5DB3" w14:textId="77777777" w:rsidTr="00E8263B">
                        <w:tc>
                          <w:tcPr>
                            <w:tcW w:w="1843" w:type="dxa"/>
                            <w:vAlign w:val="center"/>
                          </w:tcPr>
                          <w:p w14:paraId="550779FF" w14:textId="77777777" w:rsidR="00A0212B" w:rsidRPr="005D106E" w:rsidRDefault="00A0212B" w:rsidP="00622CAD">
                            <w:pPr>
                              <w:overflowPunct w:val="0"/>
                              <w:adjustRightInd w:val="0"/>
                              <w:snapToGrid w:val="0"/>
                              <w:spacing w:line="240" w:lineRule="atLeast"/>
                              <w:rPr>
                                <w:rFonts w:ascii="標楷體" w:eastAsia="標楷體" w:hAnsi="標楷體"/>
                                <w:sz w:val="20"/>
                              </w:rPr>
                            </w:pPr>
                            <w:r w:rsidRPr="005D106E">
                              <w:rPr>
                                <w:rFonts w:ascii="標楷體" w:eastAsia="標楷體" w:hAnsi="標楷體" w:hint="eastAsia"/>
                                <w:sz w:val="20"/>
                              </w:rPr>
                              <w:t>內政部、交通部</w:t>
                            </w:r>
                          </w:p>
                        </w:tc>
                        <w:tc>
                          <w:tcPr>
                            <w:tcW w:w="3827" w:type="dxa"/>
                            <w:vAlign w:val="center"/>
                          </w:tcPr>
                          <w:p w14:paraId="1AE006D4"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生活圈道路交通系統建設計畫</w:t>
                            </w:r>
                          </w:p>
                        </w:tc>
                        <w:tc>
                          <w:tcPr>
                            <w:tcW w:w="3686" w:type="dxa"/>
                            <w:vMerge w:val="restart"/>
                            <w:tcBorders>
                              <w:tl2br w:val="single" w:sz="4" w:space="0" w:color="auto"/>
                            </w:tcBorders>
                            <w:vAlign w:val="center"/>
                          </w:tcPr>
                          <w:p w14:paraId="1F72A8AB"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r>
                      <w:tr w:rsidR="00A0212B" w:rsidRPr="004C166E" w14:paraId="07FE33F2" w14:textId="77777777" w:rsidTr="00E8263B">
                        <w:tc>
                          <w:tcPr>
                            <w:tcW w:w="1843" w:type="dxa"/>
                            <w:vAlign w:val="center"/>
                          </w:tcPr>
                          <w:p w14:paraId="57C04AA2" w14:textId="77777777" w:rsidR="00A0212B" w:rsidRPr="005D106E" w:rsidRDefault="00A0212B" w:rsidP="00622CAD">
                            <w:pPr>
                              <w:overflowPunct w:val="0"/>
                              <w:adjustRightInd w:val="0"/>
                              <w:snapToGrid w:val="0"/>
                              <w:spacing w:line="240" w:lineRule="atLeast"/>
                              <w:rPr>
                                <w:rFonts w:ascii="標楷體" w:eastAsia="標楷體" w:hAnsi="標楷體"/>
                                <w:sz w:val="20"/>
                              </w:rPr>
                            </w:pPr>
                            <w:r w:rsidRPr="005D106E">
                              <w:rPr>
                                <w:rFonts w:ascii="標楷體" w:eastAsia="標楷體" w:hAnsi="標楷體" w:hint="eastAsia"/>
                                <w:sz w:val="20"/>
                              </w:rPr>
                              <w:t>經濟部</w:t>
                            </w:r>
                          </w:p>
                        </w:tc>
                        <w:tc>
                          <w:tcPr>
                            <w:tcW w:w="3827" w:type="dxa"/>
                            <w:vAlign w:val="center"/>
                          </w:tcPr>
                          <w:p w14:paraId="06FC01F2"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縣（市）管河川防洪設施及區域排水重要建設計畫、無自來水地區供水改善計畫</w:t>
                            </w:r>
                          </w:p>
                        </w:tc>
                        <w:tc>
                          <w:tcPr>
                            <w:tcW w:w="3686" w:type="dxa"/>
                            <w:vMerge/>
                            <w:tcBorders>
                              <w:tl2br w:val="single" w:sz="4" w:space="0" w:color="auto"/>
                            </w:tcBorders>
                            <w:vAlign w:val="center"/>
                          </w:tcPr>
                          <w:p w14:paraId="0CE35345"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r>
                      <w:tr w:rsidR="00A0212B" w:rsidRPr="004C166E" w14:paraId="3FC499FD" w14:textId="77777777" w:rsidTr="00E8263B">
                        <w:tc>
                          <w:tcPr>
                            <w:tcW w:w="1843" w:type="dxa"/>
                            <w:vAlign w:val="center"/>
                          </w:tcPr>
                          <w:p w14:paraId="3E1B6F08" w14:textId="77777777" w:rsidR="00A0212B" w:rsidRPr="005D106E" w:rsidRDefault="00A0212B" w:rsidP="00622CAD">
                            <w:pPr>
                              <w:overflowPunct w:val="0"/>
                              <w:adjustRightInd w:val="0"/>
                              <w:snapToGrid w:val="0"/>
                              <w:spacing w:line="240" w:lineRule="atLeast"/>
                              <w:rPr>
                                <w:rFonts w:ascii="標楷體" w:eastAsia="標楷體" w:hAnsi="標楷體"/>
                                <w:sz w:val="20"/>
                              </w:rPr>
                            </w:pPr>
                            <w:r w:rsidRPr="005D106E">
                              <w:rPr>
                                <w:rFonts w:ascii="標楷體" w:eastAsia="標楷體" w:hAnsi="標楷體" w:hint="eastAsia"/>
                                <w:sz w:val="20"/>
                              </w:rPr>
                              <w:t>交通部</w:t>
                            </w:r>
                          </w:p>
                        </w:tc>
                        <w:tc>
                          <w:tcPr>
                            <w:tcW w:w="3827" w:type="dxa"/>
                            <w:vAlign w:val="center"/>
                          </w:tcPr>
                          <w:p w14:paraId="3D7F4E83"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大眾捷運系統規劃及建設計畫（不含自償性經費）、都會區鐵路立體化計畫（不含自償性經費）、都會區快速道路系統建設計畫、高、快速公路交流道連絡道路改善工程計畫</w:t>
                            </w:r>
                          </w:p>
                        </w:tc>
                        <w:tc>
                          <w:tcPr>
                            <w:tcW w:w="3686" w:type="dxa"/>
                            <w:vAlign w:val="center"/>
                          </w:tcPr>
                          <w:p w14:paraId="57F3D1CD"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大眾運輸偏遠路線營運虧損補貼</w:t>
                            </w:r>
                          </w:p>
                        </w:tc>
                      </w:tr>
                      <w:tr w:rsidR="00A0212B" w:rsidRPr="004C166E" w14:paraId="08A7CE3F" w14:textId="77777777" w:rsidTr="00E8263B">
                        <w:tc>
                          <w:tcPr>
                            <w:tcW w:w="1843" w:type="dxa"/>
                            <w:vAlign w:val="center"/>
                          </w:tcPr>
                          <w:p w14:paraId="745443B1" w14:textId="1BB9B12B" w:rsidR="00A0212B" w:rsidRPr="00E8263B" w:rsidRDefault="00A0212B" w:rsidP="00622CAD">
                            <w:pPr>
                              <w:overflowPunct w:val="0"/>
                              <w:adjustRightInd w:val="0"/>
                              <w:snapToGrid w:val="0"/>
                              <w:spacing w:line="240" w:lineRule="atLeast"/>
                              <w:rPr>
                                <w:rFonts w:ascii="標楷體" w:eastAsia="標楷體" w:hAnsi="標楷體"/>
                                <w:spacing w:val="-8"/>
                                <w:sz w:val="20"/>
                              </w:rPr>
                            </w:pPr>
                            <w:r w:rsidRPr="00E8263B">
                              <w:rPr>
                                <w:rFonts w:ascii="標楷體" w:eastAsia="標楷體" w:hAnsi="標楷體" w:hint="eastAsia"/>
                                <w:spacing w:val="-8"/>
                                <w:sz w:val="20"/>
                              </w:rPr>
                              <w:t>農業委員會（農業部）</w:t>
                            </w:r>
                          </w:p>
                        </w:tc>
                        <w:tc>
                          <w:tcPr>
                            <w:tcW w:w="3827" w:type="dxa"/>
                            <w:tcBorders>
                              <w:bottom w:val="single" w:sz="4" w:space="0" w:color="auto"/>
                            </w:tcBorders>
                            <w:vAlign w:val="center"/>
                          </w:tcPr>
                          <w:p w14:paraId="5FB5D3C3"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動物保護推動及畜禽產銷計畫、發展地方農業產業文化及發展休閒農業計畫</w:t>
                            </w:r>
                          </w:p>
                        </w:tc>
                        <w:tc>
                          <w:tcPr>
                            <w:tcW w:w="3686" w:type="dxa"/>
                            <w:vAlign w:val="center"/>
                          </w:tcPr>
                          <w:p w14:paraId="5D89C06C"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農、漁業重要建設計畫</w:t>
                            </w:r>
                          </w:p>
                        </w:tc>
                      </w:tr>
                      <w:tr w:rsidR="00A0212B" w:rsidRPr="004C166E" w14:paraId="707028AB" w14:textId="77777777" w:rsidTr="00E8263B">
                        <w:tc>
                          <w:tcPr>
                            <w:tcW w:w="1843" w:type="dxa"/>
                            <w:vAlign w:val="center"/>
                          </w:tcPr>
                          <w:p w14:paraId="28A006A7" w14:textId="5FE08CBC" w:rsidR="00A0212B" w:rsidRPr="00E8263B" w:rsidRDefault="00A0212B" w:rsidP="00622CAD">
                            <w:pPr>
                              <w:overflowPunct w:val="0"/>
                              <w:adjustRightInd w:val="0"/>
                              <w:snapToGrid w:val="0"/>
                              <w:spacing w:line="240" w:lineRule="atLeast"/>
                              <w:jc w:val="both"/>
                              <w:rPr>
                                <w:rFonts w:ascii="標楷體" w:eastAsia="標楷體" w:hAnsi="標楷體"/>
                                <w:spacing w:val="-8"/>
                                <w:sz w:val="20"/>
                              </w:rPr>
                            </w:pPr>
                            <w:r w:rsidRPr="00E8263B">
                              <w:rPr>
                                <w:rFonts w:ascii="標楷體" w:eastAsia="標楷體" w:hAnsi="標楷體" w:hint="eastAsia"/>
                                <w:spacing w:val="-8"/>
                                <w:sz w:val="20"/>
                              </w:rPr>
                              <w:t>原住民族</w:t>
                            </w:r>
                            <w:r w:rsidRPr="00E8263B">
                              <w:rPr>
                                <w:rFonts w:ascii="標楷體" w:eastAsia="標楷體" w:hAnsi="標楷體"/>
                                <w:spacing w:val="-8"/>
                                <w:sz w:val="20"/>
                              </w:rPr>
                              <w:t>委員</w:t>
                            </w:r>
                            <w:r w:rsidRPr="00E8263B">
                              <w:rPr>
                                <w:rFonts w:ascii="標楷體" w:eastAsia="標楷體" w:hAnsi="標楷體" w:hint="eastAsia"/>
                                <w:spacing w:val="-8"/>
                                <w:sz w:val="20"/>
                              </w:rPr>
                              <w:t>會</w:t>
                            </w:r>
                          </w:p>
                        </w:tc>
                        <w:tc>
                          <w:tcPr>
                            <w:tcW w:w="3827" w:type="dxa"/>
                            <w:vMerge w:val="restart"/>
                            <w:tcBorders>
                              <w:tl2br w:val="single" w:sz="4" w:space="0" w:color="auto"/>
                            </w:tcBorders>
                            <w:vAlign w:val="center"/>
                          </w:tcPr>
                          <w:p w14:paraId="1E2BFE40"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c>
                          <w:tcPr>
                            <w:tcW w:w="3686" w:type="dxa"/>
                            <w:vAlign w:val="center"/>
                          </w:tcPr>
                          <w:p w14:paraId="18C59EF7"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原住民族重要建設及專案性計畫</w:t>
                            </w:r>
                          </w:p>
                        </w:tc>
                      </w:tr>
                      <w:tr w:rsidR="00A0212B" w:rsidRPr="004C166E" w14:paraId="25239B51" w14:textId="77777777" w:rsidTr="00E8263B">
                        <w:tc>
                          <w:tcPr>
                            <w:tcW w:w="1843" w:type="dxa"/>
                            <w:vAlign w:val="center"/>
                          </w:tcPr>
                          <w:p w14:paraId="19D51824" w14:textId="1F36B4C4" w:rsidR="00A0212B" w:rsidRPr="005D106E" w:rsidRDefault="00A0212B" w:rsidP="00622CAD">
                            <w:pPr>
                              <w:overflowPunct w:val="0"/>
                              <w:adjustRightInd w:val="0"/>
                              <w:snapToGrid w:val="0"/>
                              <w:spacing w:line="240" w:lineRule="atLeast"/>
                              <w:rPr>
                                <w:rFonts w:ascii="標楷體" w:eastAsia="標楷體" w:hAnsi="標楷體"/>
                                <w:sz w:val="20"/>
                              </w:rPr>
                            </w:pPr>
                            <w:r>
                              <w:rPr>
                                <w:rFonts w:ascii="標楷體" w:eastAsia="標楷體" w:hAnsi="標楷體" w:hint="eastAsia"/>
                                <w:spacing w:val="-8"/>
                                <w:sz w:val="20"/>
                              </w:rPr>
                              <w:t>環境</w:t>
                            </w:r>
                            <w:r>
                              <w:rPr>
                                <w:rFonts w:ascii="標楷體" w:eastAsia="標楷體" w:hAnsi="標楷體"/>
                                <w:spacing w:val="-8"/>
                                <w:sz w:val="20"/>
                              </w:rPr>
                              <w:t>保護署</w:t>
                            </w:r>
                            <w:r w:rsidRPr="00E8263B">
                              <w:rPr>
                                <w:rFonts w:ascii="標楷體" w:eastAsia="標楷體" w:hAnsi="標楷體" w:hint="eastAsia"/>
                                <w:spacing w:val="-8"/>
                                <w:sz w:val="20"/>
                              </w:rPr>
                              <w:t>（</w:t>
                            </w:r>
                            <w:r w:rsidRPr="005D106E">
                              <w:rPr>
                                <w:rFonts w:ascii="標楷體" w:eastAsia="標楷體" w:hAnsi="標楷體" w:hint="eastAsia"/>
                                <w:sz w:val="20"/>
                              </w:rPr>
                              <w:t>環境部</w:t>
                            </w:r>
                            <w:r w:rsidRPr="00E8263B">
                              <w:rPr>
                                <w:rFonts w:ascii="標楷體" w:eastAsia="標楷體" w:hAnsi="標楷體" w:hint="eastAsia"/>
                                <w:spacing w:val="-8"/>
                                <w:sz w:val="20"/>
                              </w:rPr>
                              <w:t>）</w:t>
                            </w:r>
                          </w:p>
                        </w:tc>
                        <w:tc>
                          <w:tcPr>
                            <w:tcW w:w="3827" w:type="dxa"/>
                            <w:vMerge/>
                            <w:tcBorders>
                              <w:tl2br w:val="single" w:sz="4" w:space="0" w:color="auto"/>
                            </w:tcBorders>
                            <w:vAlign w:val="center"/>
                          </w:tcPr>
                          <w:p w14:paraId="1F0BE5D6"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c>
                          <w:tcPr>
                            <w:tcW w:w="3686" w:type="dxa"/>
                            <w:vAlign w:val="center"/>
                          </w:tcPr>
                          <w:p w14:paraId="267D0488"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加強地方環保設施及專案性計畫</w:t>
                            </w:r>
                          </w:p>
                        </w:tc>
                      </w:tr>
                      <w:tr w:rsidR="00A0212B" w:rsidRPr="004C166E" w14:paraId="5A38F1FA" w14:textId="77777777" w:rsidTr="00E8263B">
                        <w:tc>
                          <w:tcPr>
                            <w:tcW w:w="1843" w:type="dxa"/>
                            <w:vAlign w:val="center"/>
                          </w:tcPr>
                          <w:p w14:paraId="620A37F5" w14:textId="2D8933C4"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衛</w:t>
                            </w:r>
                            <w:r>
                              <w:rPr>
                                <w:rFonts w:ascii="標楷體" w:eastAsia="標楷體" w:hAnsi="標楷體" w:hint="eastAsia"/>
                                <w:sz w:val="20"/>
                              </w:rPr>
                              <w:t>生</w:t>
                            </w:r>
                            <w:r w:rsidRPr="005D106E">
                              <w:rPr>
                                <w:rFonts w:ascii="標楷體" w:eastAsia="標楷體" w:hAnsi="標楷體" w:hint="eastAsia"/>
                                <w:sz w:val="20"/>
                              </w:rPr>
                              <w:t>福</w:t>
                            </w:r>
                            <w:r>
                              <w:rPr>
                                <w:rFonts w:ascii="標楷體" w:eastAsia="標楷體" w:hAnsi="標楷體" w:hint="eastAsia"/>
                                <w:sz w:val="20"/>
                              </w:rPr>
                              <w:t>利</w:t>
                            </w:r>
                            <w:r w:rsidRPr="005D106E">
                              <w:rPr>
                                <w:rFonts w:ascii="標楷體" w:eastAsia="標楷體" w:hAnsi="標楷體" w:hint="eastAsia"/>
                                <w:sz w:val="20"/>
                              </w:rPr>
                              <w:t>部</w:t>
                            </w:r>
                          </w:p>
                        </w:tc>
                        <w:tc>
                          <w:tcPr>
                            <w:tcW w:w="3827" w:type="dxa"/>
                            <w:vMerge/>
                            <w:tcBorders>
                              <w:tl2br w:val="single" w:sz="4" w:space="0" w:color="auto"/>
                            </w:tcBorders>
                            <w:vAlign w:val="center"/>
                          </w:tcPr>
                          <w:p w14:paraId="3D11A16C"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p>
                        </w:tc>
                        <w:tc>
                          <w:tcPr>
                            <w:tcW w:w="3686" w:type="dxa"/>
                            <w:vAlign w:val="center"/>
                          </w:tcPr>
                          <w:p w14:paraId="686A89E5"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長期照顧計畫、興建社會福利設施工程及充實設施設備計畫、醫療保健重要計畫</w:t>
                            </w:r>
                          </w:p>
                        </w:tc>
                      </w:tr>
                      <w:tr w:rsidR="00A0212B" w:rsidRPr="004C166E" w14:paraId="22B95CD3" w14:textId="77777777" w:rsidTr="00E8263B">
                        <w:tc>
                          <w:tcPr>
                            <w:tcW w:w="1843" w:type="dxa"/>
                            <w:tcBorders>
                              <w:bottom w:val="single" w:sz="4" w:space="0" w:color="auto"/>
                            </w:tcBorders>
                            <w:vAlign w:val="center"/>
                          </w:tcPr>
                          <w:p w14:paraId="55A7F137"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教育部、文化部</w:t>
                            </w:r>
                          </w:p>
                        </w:tc>
                        <w:tc>
                          <w:tcPr>
                            <w:tcW w:w="3827" w:type="dxa"/>
                            <w:vMerge/>
                            <w:tcBorders>
                              <w:bottom w:val="single" w:sz="4" w:space="0" w:color="auto"/>
                              <w:tl2br w:val="single" w:sz="4" w:space="0" w:color="auto"/>
                            </w:tcBorders>
                            <w:vAlign w:val="center"/>
                          </w:tcPr>
                          <w:p w14:paraId="26DDAC50" w14:textId="77777777" w:rsidR="00A0212B" w:rsidRPr="005D106E" w:rsidRDefault="00A0212B" w:rsidP="00622CAD">
                            <w:pPr>
                              <w:overflowPunct w:val="0"/>
                              <w:adjustRightInd w:val="0"/>
                              <w:snapToGrid w:val="0"/>
                              <w:spacing w:line="240" w:lineRule="atLeast"/>
                              <w:rPr>
                                <w:rFonts w:ascii="標楷體" w:eastAsia="標楷體" w:hAnsi="標楷體"/>
                                <w:sz w:val="20"/>
                              </w:rPr>
                            </w:pPr>
                          </w:p>
                        </w:tc>
                        <w:tc>
                          <w:tcPr>
                            <w:tcW w:w="3686" w:type="dxa"/>
                            <w:tcBorders>
                              <w:bottom w:val="single" w:sz="4" w:space="0" w:color="auto"/>
                            </w:tcBorders>
                            <w:vAlign w:val="center"/>
                          </w:tcPr>
                          <w:p w14:paraId="21285108" w14:textId="77777777" w:rsidR="00A0212B" w:rsidRPr="005D106E" w:rsidRDefault="00A0212B" w:rsidP="00622CAD">
                            <w:pPr>
                              <w:overflowPunct w:val="0"/>
                              <w:adjustRightInd w:val="0"/>
                              <w:snapToGrid w:val="0"/>
                              <w:spacing w:line="240" w:lineRule="atLeast"/>
                              <w:jc w:val="both"/>
                              <w:rPr>
                                <w:rFonts w:ascii="標楷體" w:eastAsia="標楷體" w:hAnsi="標楷體"/>
                                <w:sz w:val="20"/>
                              </w:rPr>
                            </w:pPr>
                            <w:r w:rsidRPr="005D106E">
                              <w:rPr>
                                <w:rFonts w:ascii="標楷體" w:eastAsia="標楷體" w:hAnsi="標楷體" w:hint="eastAsia"/>
                                <w:sz w:val="20"/>
                              </w:rPr>
                              <w:t>均衡或提升地方教育與體育水準及文化專案性計畫</w:t>
                            </w:r>
                          </w:p>
                        </w:tc>
                      </w:tr>
                      <w:tr w:rsidR="00A0212B" w:rsidRPr="004C166E" w14:paraId="52AC7D0B" w14:textId="77777777" w:rsidTr="005D106E">
                        <w:tc>
                          <w:tcPr>
                            <w:tcW w:w="9356" w:type="dxa"/>
                            <w:gridSpan w:val="3"/>
                            <w:tcBorders>
                              <w:left w:val="nil"/>
                              <w:bottom w:val="nil"/>
                              <w:right w:val="nil"/>
                            </w:tcBorders>
                            <w:vAlign w:val="center"/>
                          </w:tcPr>
                          <w:p w14:paraId="3C2AD7FB" w14:textId="7754CDAF" w:rsidR="00A0212B" w:rsidRPr="004C166E" w:rsidRDefault="00A0212B" w:rsidP="00622CAD">
                            <w:pPr>
                              <w:overflowPunct w:val="0"/>
                              <w:adjustRightInd w:val="0"/>
                              <w:snapToGrid w:val="0"/>
                              <w:spacing w:line="240" w:lineRule="atLeast"/>
                              <w:jc w:val="both"/>
                              <w:rPr>
                                <w:rFonts w:ascii="標楷體" w:eastAsia="標楷體" w:hAnsi="標楷體"/>
                                <w:sz w:val="18"/>
                                <w:szCs w:val="18"/>
                              </w:rPr>
                            </w:pPr>
                            <w:r>
                              <w:rPr>
                                <w:rFonts w:ascii="標楷體" w:eastAsia="標楷體" w:hAnsi="標楷體" w:hint="eastAsia"/>
                                <w:sz w:val="18"/>
                                <w:szCs w:val="18"/>
                              </w:rPr>
                              <w:t>資料來源</w:t>
                            </w:r>
                            <w:r w:rsidRPr="004C166E">
                              <w:rPr>
                                <w:rFonts w:ascii="標楷體" w:eastAsia="標楷體" w:hAnsi="標楷體" w:hint="eastAsia"/>
                                <w:sz w:val="18"/>
                                <w:szCs w:val="18"/>
                              </w:rPr>
                              <w:t>：整理自</w:t>
                            </w:r>
                            <w:r w:rsidRPr="00AF5FD6">
                              <w:rPr>
                                <w:rFonts w:ascii="標楷體" w:eastAsia="標楷體" w:hAnsi="標楷體" w:hint="eastAsia"/>
                                <w:sz w:val="18"/>
                                <w:szCs w:val="18"/>
                              </w:rPr>
                              <w:t>中央對直轄市及縣（市）政府補助辦法</w:t>
                            </w:r>
                            <w:r w:rsidRPr="004C166E">
                              <w:rPr>
                                <w:rFonts w:ascii="標楷體" w:eastAsia="標楷體" w:hAnsi="標楷體" w:hint="eastAsia"/>
                                <w:sz w:val="18"/>
                                <w:szCs w:val="18"/>
                              </w:rPr>
                              <w:t>第7條附表一及第9條附表二規定。</w:t>
                            </w:r>
                          </w:p>
                        </w:tc>
                      </w:tr>
                    </w:tbl>
                    <w:p w14:paraId="3E45E610" w14:textId="77777777" w:rsidR="00A0212B" w:rsidRPr="005D106E" w:rsidRDefault="00A0212B" w:rsidP="005D106E"/>
                  </w:txbxContent>
                </v:textbox>
                <w10:wrap type="square"/>
              </v:shape>
            </w:pict>
          </mc:Fallback>
        </mc:AlternateContent>
      </w:r>
      <w:r w:rsidR="00122919" w:rsidRPr="00122919">
        <w:rPr>
          <w:rFonts w:ascii="標楷體" w:eastAsia="標楷體" w:hAnsi="標楷體" w:cs="新細明體" w:hint="eastAsia"/>
          <w:b/>
          <w:bCs/>
          <w:color w:val="000000" w:themeColor="text1"/>
          <w:szCs w:val="24"/>
        </w:rPr>
        <w:t>1.　部分計畫偏離補助辦法原定範疇</w:t>
      </w:r>
      <w:r w:rsidR="00B36325">
        <w:rPr>
          <w:rFonts w:ascii="標楷體" w:eastAsia="標楷體" w:hAnsi="標楷體" w:cs="新細明體" w:hint="eastAsia"/>
          <w:b/>
          <w:bCs/>
          <w:color w:val="000000" w:themeColor="text1"/>
          <w:szCs w:val="24"/>
        </w:rPr>
        <w:t>，</w:t>
      </w:r>
      <w:r w:rsidR="00122919" w:rsidRPr="00122919">
        <w:rPr>
          <w:rFonts w:ascii="標楷體" w:eastAsia="標楷體" w:hAnsi="標楷體" w:cs="新細明體" w:hint="eastAsia"/>
          <w:b/>
          <w:bCs/>
          <w:color w:val="000000" w:themeColor="text1"/>
          <w:szCs w:val="24"/>
        </w:rPr>
        <w:t>或屬一般性經常支出：</w:t>
      </w:r>
      <w:r w:rsidR="00122919" w:rsidRPr="00122919">
        <w:rPr>
          <w:rFonts w:ascii="標楷體" w:eastAsia="標楷體" w:hAnsi="標楷體" w:cs="新細明體" w:hint="eastAsia"/>
          <w:bCs/>
          <w:color w:val="000000" w:themeColor="text1"/>
          <w:szCs w:val="24"/>
        </w:rPr>
        <w:t>補助辦法第7條規定，中央對直轄市、縣（市）政府之計畫型補助款，除專案補助款、第9條所定之酌予補助事項及專案報經行政院核准者外，其補助事項及最高補助比率應依附表一所定辦理；前開第7條「附表一、中央對直轄市與縣（市）政府補助事項及最高補助比率」，包含客委會等5個中央機關辦理之15項補助事項，依市縣政府財力級次給予不同補助比率；第9條「附表二、中央對直轄市及縣（市）政府酌予補助事項」，包含原民會等8個部會辦理之10項補助事項，應依財力級次給予不同補助比率，最高補助比率不得超過90％（</w:t>
      </w:r>
      <w:r w:rsidR="00122919" w:rsidRPr="006678C5">
        <w:rPr>
          <w:rFonts w:ascii="標楷體" w:eastAsia="標楷體" w:hAnsi="標楷體" w:cs="新細明體" w:hint="eastAsia"/>
          <w:bCs/>
          <w:color w:val="000000" w:themeColor="text1"/>
          <w:szCs w:val="24"/>
        </w:rPr>
        <w:t>表</w:t>
      </w:r>
      <w:r w:rsidRPr="006678C5">
        <w:rPr>
          <w:rFonts w:ascii="標楷體" w:eastAsia="標楷體" w:hAnsi="標楷體" w:cs="新細明體" w:hint="eastAsia"/>
          <w:bCs/>
          <w:color w:val="000000" w:themeColor="text1"/>
          <w:szCs w:val="24"/>
        </w:rPr>
        <w:t>1</w:t>
      </w:r>
      <w:r w:rsidR="002B29E0" w:rsidRPr="006678C5">
        <w:rPr>
          <w:rFonts w:ascii="標楷體" w:eastAsia="標楷體" w:hAnsi="標楷體" w:cs="新細明體" w:hint="eastAsia"/>
          <w:bCs/>
          <w:color w:val="000000" w:themeColor="text1"/>
          <w:szCs w:val="24"/>
        </w:rPr>
        <w:t>2</w:t>
      </w:r>
      <w:r w:rsidR="00122919" w:rsidRPr="00122919">
        <w:rPr>
          <w:rFonts w:ascii="標楷體" w:eastAsia="標楷體" w:hAnsi="標楷體" w:cs="新細明體" w:hint="eastAsia"/>
          <w:bCs/>
          <w:color w:val="000000" w:themeColor="text1"/>
          <w:szCs w:val="24"/>
        </w:rPr>
        <w:t>）；又中央對地方政府之計畫型補助款在90及92年兩階段調整後，已將屬一般性經常支出、基層建設或小型工程等因地制宜性質經</w:t>
      </w:r>
      <w:r w:rsidR="00122919" w:rsidRPr="00122919">
        <w:rPr>
          <w:rFonts w:ascii="標楷體" w:eastAsia="標楷體" w:hAnsi="標楷體" w:cs="新細明體" w:hint="eastAsia"/>
          <w:bCs/>
          <w:color w:val="000000" w:themeColor="text1"/>
          <w:szCs w:val="24"/>
        </w:rPr>
        <w:lastRenderedPageBreak/>
        <w:t>費由計畫型調改為一般性補助款。經查112年度中央各機關辦理之計畫型補助，核有：（1）非屬附表一、二所列項目者，計113項、848億餘元，占112年度計畫型補助款預算數2,441億餘元之34.76％，其中未報經行政院核准者，計6項、20億餘元，專案報經行政院核准、經行政院院會通過、行政院交辦或屬依法律義務支出</w:t>
      </w:r>
      <w:r w:rsidR="00881BD4">
        <w:rPr>
          <w:rFonts w:ascii="標楷體" w:eastAsia="標楷體" w:hAnsi="標楷體" w:cs="新細明體" w:hint="eastAsia"/>
          <w:bCs/>
          <w:color w:val="000000" w:themeColor="text1"/>
          <w:szCs w:val="24"/>
        </w:rPr>
        <w:t>者</w:t>
      </w:r>
      <w:r w:rsidR="00122919" w:rsidRPr="00122919">
        <w:rPr>
          <w:rFonts w:ascii="標楷體" w:eastAsia="標楷體" w:hAnsi="標楷體" w:cs="新細明體" w:hint="eastAsia"/>
          <w:bCs/>
          <w:color w:val="000000" w:themeColor="text1"/>
          <w:szCs w:val="24"/>
        </w:rPr>
        <w:t>，計107項、827億餘元，顯示</w:t>
      </w:r>
      <w:r w:rsidR="00881BD4" w:rsidRPr="00881BD4">
        <w:rPr>
          <w:rFonts w:ascii="標楷體" w:eastAsia="標楷體" w:hAnsi="標楷體" w:cs="新細明體" w:hint="eastAsia"/>
          <w:bCs/>
          <w:color w:val="000000" w:themeColor="text1"/>
          <w:szCs w:val="24"/>
        </w:rPr>
        <w:t>部會仍有超出補助範圍之計畫</w:t>
      </w:r>
      <w:r w:rsidR="00122919" w:rsidRPr="00122919">
        <w:rPr>
          <w:rFonts w:ascii="標楷體" w:eastAsia="標楷體" w:hAnsi="標楷體" w:cs="新細明體" w:hint="eastAsia"/>
          <w:bCs/>
          <w:color w:val="000000" w:themeColor="text1"/>
          <w:szCs w:val="24"/>
        </w:rPr>
        <w:t>，在政府整體財政資源有限之情況下，勢將影響補助資源之合理配置及有效利用；（2）偏屬一般性經常支出之補助事項，如財政部國庫署單位預算編列地方統籌分配稅款短少補助118億餘元</w:t>
      </w:r>
      <w:r w:rsidR="00881BD4">
        <w:rPr>
          <w:rFonts w:ascii="標楷體" w:eastAsia="標楷體" w:hAnsi="標楷體" w:cs="新細明體" w:hint="eastAsia"/>
          <w:bCs/>
          <w:color w:val="000000" w:themeColor="text1"/>
          <w:szCs w:val="24"/>
        </w:rPr>
        <w:t>、</w:t>
      </w:r>
      <w:r w:rsidR="00272B8B">
        <w:rPr>
          <w:rFonts w:ascii="標楷體" w:eastAsia="標楷體" w:hAnsi="標楷體" w:cs="新細明體" w:hint="eastAsia"/>
          <w:bCs/>
          <w:color w:val="000000" w:themeColor="text1"/>
          <w:szCs w:val="24"/>
        </w:rPr>
        <w:t>財政部</w:t>
      </w:r>
      <w:r w:rsidR="00122919" w:rsidRPr="00122919">
        <w:rPr>
          <w:rFonts w:ascii="標楷體" w:eastAsia="標楷體" w:hAnsi="標楷體" w:cs="新細明體" w:hint="eastAsia"/>
          <w:bCs/>
          <w:color w:val="000000" w:themeColor="text1"/>
          <w:szCs w:val="24"/>
        </w:rPr>
        <w:t>賦稅署單位預算編列地方政府稅款短少補助17億餘元等2項；（3）性質與一般性補助款相似，如教育部國民及學前教育署辦理「縣市—調整授課節數及導師費」等30項計畫、111億餘元，衛福部辦理「低收入戶家庭生活、就學生活費、低收入戶病患住院膳食費、低收及中低收入醫療補助及住院看護」、</w:t>
      </w:r>
      <w:r w:rsidR="00272B8B">
        <w:rPr>
          <w:rFonts w:ascii="標楷體" w:eastAsia="標楷體" w:hAnsi="標楷體" w:cs="新細明體" w:hint="eastAsia"/>
          <w:bCs/>
          <w:color w:val="000000" w:themeColor="text1"/>
          <w:szCs w:val="24"/>
        </w:rPr>
        <w:t>衛福部</w:t>
      </w:r>
      <w:r w:rsidR="00122919" w:rsidRPr="00122919">
        <w:rPr>
          <w:rFonts w:ascii="標楷體" w:eastAsia="標楷體" w:hAnsi="標楷體" w:cs="新細明體" w:hint="eastAsia"/>
          <w:bCs/>
          <w:color w:val="000000" w:themeColor="text1"/>
          <w:szCs w:val="24"/>
        </w:rPr>
        <w:t>中央健康保險署辦理「補助鄉（鎮、市、區）公所辦理健保業務經費」、</w:t>
      </w:r>
      <w:r w:rsidR="00272B8B">
        <w:rPr>
          <w:rFonts w:ascii="標楷體" w:eastAsia="標楷體" w:hAnsi="標楷體" w:cs="新細明體" w:hint="eastAsia"/>
          <w:bCs/>
          <w:color w:val="000000" w:themeColor="text1"/>
          <w:szCs w:val="24"/>
        </w:rPr>
        <w:t>衛福部</w:t>
      </w:r>
      <w:r w:rsidR="00122919" w:rsidRPr="00122919">
        <w:rPr>
          <w:rFonts w:ascii="標楷體" w:eastAsia="標楷體" w:hAnsi="標楷體" w:cs="新細明體" w:hint="eastAsia"/>
          <w:bCs/>
          <w:color w:val="000000" w:themeColor="text1"/>
          <w:szCs w:val="24"/>
        </w:rPr>
        <w:t>社會及家庭署辦理「中低收入身心障礙者生活、日間及住宿式照顧、輔具補助經費」等6項計畫、24億餘元，內政部辦理「役男體複檢補助計畫」等4項計畫、2億餘元等，其性質多屬常態性補助，或採定額補助、或依市縣人口比率、或依增加之低收入戶人數比例等分配補助經費，與計畫型補助款應按補助項目性質，訂定對地方政府所提補助計畫有關財務計畫檢核基礎規範，俾利評定成績並排列優先順序依序補助之性質未盡相符</w:t>
      </w:r>
      <w:r w:rsidR="00B36325">
        <w:rPr>
          <w:rFonts w:ascii="標楷體" w:eastAsia="標楷體" w:hAnsi="標楷體" w:cs="新細明體" w:hint="eastAsia"/>
          <w:bCs/>
          <w:color w:val="000000" w:themeColor="text1"/>
          <w:szCs w:val="24"/>
        </w:rPr>
        <w:t>。</w:t>
      </w:r>
      <w:r w:rsidR="00122919" w:rsidRPr="00122919">
        <w:rPr>
          <w:rFonts w:ascii="標楷體" w:eastAsia="標楷體" w:hAnsi="標楷體" w:cs="新細明體" w:hint="eastAsia"/>
          <w:bCs/>
          <w:color w:val="000000" w:themeColor="text1"/>
          <w:szCs w:val="24"/>
        </w:rPr>
        <w:t>允宜重新檢視一般性補助款與計畫型補助款之歸屬事項、補助辦法附表一、二所訂補助事項之妥適性及督促中央主管機關審慎選定補助事項。</w:t>
      </w:r>
    </w:p>
    <w:p w14:paraId="394E5093" w14:textId="30C76018" w:rsidR="00122919" w:rsidRPr="00122919" w:rsidRDefault="00122919" w:rsidP="004D7C92">
      <w:pPr>
        <w:overflowPunct w:val="0"/>
        <w:spacing w:line="420" w:lineRule="exact"/>
        <w:ind w:firstLineChars="450" w:firstLine="1081"/>
        <w:jc w:val="both"/>
        <w:rPr>
          <w:rFonts w:ascii="標楷體" w:eastAsia="標楷體" w:hAnsi="標楷體" w:cs="新細明體"/>
          <w:bCs/>
          <w:color w:val="000000" w:themeColor="text1"/>
          <w:szCs w:val="24"/>
        </w:rPr>
      </w:pPr>
      <w:r w:rsidRPr="00122919">
        <w:rPr>
          <w:rFonts w:ascii="標楷體" w:eastAsia="標楷體" w:hAnsi="標楷體" w:cs="新細明體" w:hint="eastAsia"/>
          <w:b/>
          <w:bCs/>
          <w:color w:val="000000" w:themeColor="text1"/>
          <w:szCs w:val="24"/>
        </w:rPr>
        <w:t>2</w:t>
      </w:r>
      <w:r w:rsidRPr="000D3EE3">
        <w:rPr>
          <w:rFonts w:ascii="標楷體" w:eastAsia="標楷體" w:hAnsi="標楷體" w:cs="新細明體"/>
          <w:b/>
          <w:bCs/>
          <w:color w:val="000000" w:themeColor="text1"/>
          <w:szCs w:val="24"/>
        </w:rPr>
        <w:t xml:space="preserve">.　</w:t>
      </w:r>
      <w:r w:rsidR="000D3EE3" w:rsidRPr="000D3EE3">
        <w:rPr>
          <w:rFonts w:ascii="標楷體" w:eastAsia="標楷體" w:hAnsi="標楷體" w:cs="新細明體" w:hint="eastAsia"/>
          <w:b/>
          <w:bCs/>
          <w:color w:val="000000" w:themeColor="text1"/>
          <w:szCs w:val="24"/>
        </w:rPr>
        <w:t>行政院已要求中央各機關就全部計畫估列分配金額後，於前一年</w:t>
      </w:r>
      <w:r w:rsidR="000D3EE3" w:rsidRPr="000D3EE3">
        <w:rPr>
          <w:rFonts w:ascii="標楷體" w:eastAsia="標楷體" w:hAnsi="標楷體" w:cs="新細明體"/>
          <w:b/>
          <w:bCs/>
          <w:color w:val="000000" w:themeColor="text1"/>
          <w:szCs w:val="24"/>
        </w:rPr>
        <w:t>8月10日前通知受補助地方政府，部分中央部會未依限通知或未能及時核定計畫，影響後續計畫執行進程，或須辦理預算保留</w:t>
      </w:r>
      <w:r w:rsidRPr="000D3EE3">
        <w:rPr>
          <w:rFonts w:ascii="標楷體" w:eastAsia="標楷體" w:hAnsi="標楷體" w:cs="新細明體" w:hint="eastAsia"/>
          <w:b/>
          <w:bCs/>
          <w:color w:val="000000" w:themeColor="text1"/>
          <w:szCs w:val="24"/>
        </w:rPr>
        <w:t>：</w:t>
      </w:r>
      <w:r w:rsidRPr="00122919">
        <w:rPr>
          <w:rFonts w:ascii="標楷體" w:eastAsia="標楷體" w:hAnsi="標楷體" w:cs="新細明體" w:hint="eastAsia"/>
          <w:bCs/>
          <w:color w:val="000000" w:themeColor="text1"/>
          <w:szCs w:val="24"/>
        </w:rPr>
        <w:t>補助辦法第14條第1項第1款及第2款規定，中央政府各主管機關對市縣政府申請計畫型補助款，於確定次一年度補助項目後，按各該補助項目性質，訂定明確客觀之審查、評比標準等規範，通知市縣政府於一定期限內提出申請；對於市縣政府申請之補助計畫，經審核結果具周延性及合理性者，再邀集相關人員進行審查、評比及檢核作業。第18條第2項規定，計畫型補助款應編列於中央政府各機關預算項下；中央政府各機關應於補助額度確定後，即先估列直轄市、縣（市）政府分配金額，並於會計年度開始4個月前通知直轄市、縣（市）政府列入其地方預算。同條第4項規定，中央政府各機關計畫型補助款如因須於年度進行中，方可依評比結果，估列或確定直轄市、縣（市）政府分配金額者，具有支應災害或重大緊急事項之準備金性質，或延續性工程項目，且須視前一年度實際執行進度，方可估列或確定直轄市、縣（市）政府分配金額者，得免於年度開始前4個月通知受補助地方政府。另行政院主計總處為改善部分中央機關常以競爭性評比計畫等因素為由，未事先估列分配地方政府之金額，並通知納編地方預算，致地方政府無編列預算之依據，衍生後續預算作業之困擾，於各機關編製109年度單位預算案應行注意辦理事項規定，109年度各機關對地方政府補助經費，須就全部計畫估</w:t>
      </w:r>
      <w:r w:rsidRPr="00122919">
        <w:rPr>
          <w:rFonts w:ascii="標楷體" w:eastAsia="標楷體" w:hAnsi="標楷體" w:cs="新細明體" w:hint="eastAsia"/>
          <w:bCs/>
          <w:color w:val="000000" w:themeColor="text1"/>
          <w:szCs w:val="24"/>
        </w:rPr>
        <w:lastRenderedPageBreak/>
        <w:t>列分配金額，於108年8月10日前通知受補助地方政府，並請其列入年度預算辦理。爰自109年度起，中央各機關應就年度全部計畫估列分配金額，於前一年8月10日前通知地方政府納入預算。經查</w:t>
      </w:r>
      <w:r w:rsidR="007D2197">
        <w:rPr>
          <w:rFonts w:ascii="標楷體" w:eastAsia="標楷體" w:hAnsi="標楷體" w:cs="新細明體" w:hint="eastAsia"/>
          <w:bCs/>
          <w:color w:val="000000" w:themeColor="text1"/>
          <w:szCs w:val="24"/>
        </w:rPr>
        <w:t>執行情形，</w:t>
      </w:r>
      <w:r w:rsidRPr="00122919">
        <w:rPr>
          <w:rFonts w:ascii="標楷體" w:eastAsia="標楷體" w:hAnsi="標楷體" w:cs="新細明體" w:hint="eastAsia"/>
          <w:bCs/>
          <w:color w:val="000000" w:themeColor="text1"/>
          <w:szCs w:val="24"/>
        </w:rPr>
        <w:t>核有：（1）112年度中央各機關對地方政府之補助經費仍有未於111年8月10日前通知受補助地方政府者，計有國發會、原民會、衛福部、內政部、經濟部、財政部等6個部會之43項補助計畫，補助金額283億餘元，前開計畫未能於期限內通知之原因除未及早作業致延遲外，據中央各部會</w:t>
      </w:r>
      <w:r w:rsidR="00E005AB">
        <w:rPr>
          <w:rFonts w:ascii="標楷體" w:eastAsia="標楷體" w:hAnsi="標楷體" w:cs="新細明體" w:hint="eastAsia"/>
          <w:bCs/>
          <w:color w:val="000000" w:themeColor="text1"/>
          <w:szCs w:val="24"/>
        </w:rPr>
        <w:t>說明</w:t>
      </w:r>
      <w:r w:rsidRPr="00122919">
        <w:rPr>
          <w:rFonts w:ascii="標楷體" w:eastAsia="標楷體" w:hAnsi="標楷體" w:cs="新細明體" w:hint="eastAsia"/>
          <w:bCs/>
          <w:color w:val="000000" w:themeColor="text1"/>
          <w:szCs w:val="24"/>
        </w:rPr>
        <w:t>，主要係非固定比例或金額、新增補助項目、競爭型補助、災害或緊急事項等，較難事先估列分配金額，顯示中央主管機關通知地方政府納入預算情形尚有改善空間；（2）據地方政府查填資料彙整結果，112年度各市縣政府執行中央機關計畫型補助款遭遇之問題，主要分為2類，分別為：</w:t>
      </w:r>
      <w:r w:rsidRPr="00122919">
        <w:rPr>
          <w:rFonts w:ascii="標楷體" w:eastAsia="標楷體" w:hAnsi="標楷體" w:cs="新細明體"/>
          <w:bCs/>
          <w:color w:val="000000" w:themeColor="text1"/>
          <w:szCs w:val="24"/>
        </w:rPr>
        <w:t>A</w:t>
      </w:r>
      <w:r w:rsidRPr="00122919">
        <w:rPr>
          <w:rFonts w:ascii="標楷體" w:eastAsia="標楷體" w:hAnsi="標楷體" w:cs="新細明體" w:hint="eastAsia"/>
          <w:bCs/>
          <w:color w:val="000000" w:themeColor="text1"/>
          <w:szCs w:val="24"/>
        </w:rPr>
        <w:t>.中央機關補助案件未能及時核定，影響後續執行進程，常須辦理保留者，計有74項計畫；</w:t>
      </w:r>
      <w:r w:rsidRPr="00122919">
        <w:rPr>
          <w:rFonts w:ascii="標楷體" w:eastAsia="標楷體" w:hAnsi="標楷體" w:cs="新細明體"/>
          <w:bCs/>
          <w:color w:val="000000" w:themeColor="text1"/>
          <w:szCs w:val="24"/>
        </w:rPr>
        <w:t>B</w:t>
      </w:r>
      <w:r w:rsidRPr="00122919">
        <w:rPr>
          <w:rFonts w:ascii="標楷體" w:eastAsia="標楷體" w:hAnsi="標楷體" w:cs="新細明體" w:hint="eastAsia"/>
          <w:bCs/>
          <w:color w:val="000000" w:themeColor="text1"/>
          <w:szCs w:val="24"/>
        </w:rPr>
        <w:t>.中央機關所訂申請期程迫促，影響市縣相關先期規劃作業或應配合事項之辦理者，計有50項計畫</w:t>
      </w:r>
      <w:r w:rsidR="00B36325">
        <w:rPr>
          <w:rFonts w:ascii="標楷體" w:eastAsia="標楷體" w:hAnsi="標楷體" w:cs="新細明體" w:hint="eastAsia"/>
          <w:bCs/>
          <w:color w:val="000000" w:themeColor="text1"/>
          <w:szCs w:val="24"/>
        </w:rPr>
        <w:t>。</w:t>
      </w:r>
      <w:r w:rsidRPr="00122919">
        <w:rPr>
          <w:rFonts w:ascii="標楷體" w:eastAsia="標楷體" w:hAnsi="標楷體" w:cs="新細明體" w:hint="eastAsia"/>
          <w:bCs/>
          <w:color w:val="000000" w:themeColor="text1"/>
          <w:szCs w:val="24"/>
        </w:rPr>
        <w:t>允宜督促中央補助機關研謀改善，俾使市縣政府有充分執行時間及避免追加預算之額外行政作業。</w:t>
      </w:r>
    </w:p>
    <w:p w14:paraId="0C75E661" w14:textId="76567C0E" w:rsidR="00122919" w:rsidRPr="00122919" w:rsidRDefault="00122919" w:rsidP="004D7C92">
      <w:pPr>
        <w:overflowPunct w:val="0"/>
        <w:spacing w:line="420" w:lineRule="exact"/>
        <w:ind w:firstLineChars="450" w:firstLine="1081"/>
        <w:jc w:val="both"/>
        <w:rPr>
          <w:rFonts w:ascii="標楷體" w:eastAsia="標楷體" w:hAnsi="標楷體" w:cs="新細明體"/>
          <w:bCs/>
          <w:color w:val="000000" w:themeColor="text1"/>
          <w:szCs w:val="24"/>
        </w:rPr>
      </w:pPr>
      <w:r w:rsidRPr="00122919">
        <w:rPr>
          <w:rFonts w:ascii="標楷體" w:eastAsia="標楷體" w:hAnsi="標楷體" w:cs="新細明體" w:hint="eastAsia"/>
          <w:b/>
          <w:bCs/>
          <w:color w:val="000000" w:themeColor="text1"/>
          <w:szCs w:val="24"/>
        </w:rPr>
        <w:t>3</w:t>
      </w:r>
      <w:r w:rsidRPr="00122919">
        <w:rPr>
          <w:rFonts w:ascii="標楷體" w:eastAsia="標楷體" w:hAnsi="標楷體" w:cs="新細明體"/>
          <w:b/>
          <w:bCs/>
          <w:color w:val="000000" w:themeColor="text1"/>
          <w:szCs w:val="24"/>
        </w:rPr>
        <w:t>.</w:t>
      </w:r>
      <w:r w:rsidRPr="00122919">
        <w:rPr>
          <w:rFonts w:ascii="標楷體" w:eastAsia="標楷體" w:hAnsi="標楷體" w:cs="新細明體" w:hint="eastAsia"/>
          <w:b/>
          <w:bCs/>
          <w:color w:val="000000" w:themeColor="text1"/>
          <w:szCs w:val="24"/>
        </w:rPr>
        <w:t xml:space="preserve">　部分機關未將管考規定函報行政院備查</w:t>
      </w:r>
      <w:r w:rsidR="00B36325">
        <w:rPr>
          <w:rFonts w:ascii="標楷體" w:eastAsia="標楷體" w:hAnsi="標楷體" w:cs="新細明體" w:hint="eastAsia"/>
          <w:b/>
          <w:bCs/>
          <w:color w:val="000000" w:themeColor="text1"/>
          <w:szCs w:val="24"/>
        </w:rPr>
        <w:t>，</w:t>
      </w:r>
      <w:r w:rsidRPr="00122919">
        <w:rPr>
          <w:rFonts w:ascii="標楷體" w:eastAsia="標楷體" w:hAnsi="標楷體" w:cs="新細明體" w:hint="eastAsia"/>
          <w:b/>
          <w:bCs/>
          <w:color w:val="000000" w:themeColor="text1"/>
          <w:szCs w:val="24"/>
        </w:rPr>
        <w:t>或所訂管考規定未盡周延：</w:t>
      </w:r>
      <w:r w:rsidRPr="00122919">
        <w:rPr>
          <w:rFonts w:ascii="標楷體" w:eastAsia="標楷體" w:hAnsi="標楷體" w:cs="新細明體" w:hint="eastAsia"/>
          <w:bCs/>
          <w:color w:val="000000" w:themeColor="text1"/>
          <w:szCs w:val="24"/>
        </w:rPr>
        <w:t>補助辦法第15條第1項規定，中央政府各主管機關應就計畫型補助款之執行，訂定共同性或個別計畫之管考規定，明定補助計畫之辦理期程及完成期限，訂定補助計畫執行之查核點及管考週期，並定期進行書面或實地查核，查核項目包括計畫執行進度、整體經費與補助款支用情形、受補助之市縣政府內部控管機制、計畫執行及執行完竣後使用之效益等</w:t>
      </w:r>
      <w:r w:rsidR="00326A25">
        <w:rPr>
          <w:rFonts w:ascii="標楷體" w:eastAsia="標楷體" w:hAnsi="標楷體" w:cs="新細明體" w:hint="eastAsia"/>
          <w:bCs/>
          <w:color w:val="000000" w:themeColor="text1"/>
          <w:szCs w:val="24"/>
        </w:rPr>
        <w:t>。</w:t>
      </w:r>
      <w:r w:rsidRPr="00122919">
        <w:rPr>
          <w:rFonts w:ascii="標楷體" w:eastAsia="標楷體" w:hAnsi="標楷體" w:cs="新細明體" w:hint="eastAsia"/>
          <w:bCs/>
          <w:color w:val="000000" w:themeColor="text1"/>
          <w:szCs w:val="24"/>
        </w:rPr>
        <w:t>第16條規定，中央政府各主管機關應就酌予補助事項之處理原則</w:t>
      </w:r>
      <w:r w:rsidR="00326A25">
        <w:rPr>
          <w:rFonts w:ascii="標楷體" w:eastAsia="標楷體" w:hAnsi="標楷體" w:cs="新細明體" w:hint="eastAsia"/>
          <w:bCs/>
          <w:color w:val="000000" w:themeColor="text1"/>
          <w:szCs w:val="24"/>
        </w:rPr>
        <w:t>。</w:t>
      </w:r>
      <w:r w:rsidRPr="00122919">
        <w:rPr>
          <w:rFonts w:ascii="標楷體" w:eastAsia="標楷體" w:hAnsi="標楷體" w:cs="新細明體" w:hint="eastAsia"/>
          <w:bCs/>
          <w:color w:val="000000" w:themeColor="text1"/>
          <w:szCs w:val="24"/>
        </w:rPr>
        <w:t>計畫審查與評比標準、財務計畫檢核基礎等規範及作業程序</w:t>
      </w:r>
      <w:r w:rsidR="00326A25">
        <w:rPr>
          <w:rFonts w:ascii="標楷體" w:eastAsia="標楷體" w:hAnsi="標楷體" w:cs="新細明體" w:hint="eastAsia"/>
          <w:bCs/>
          <w:color w:val="000000" w:themeColor="text1"/>
          <w:szCs w:val="24"/>
        </w:rPr>
        <w:t>，</w:t>
      </w:r>
      <w:r w:rsidRPr="00122919">
        <w:rPr>
          <w:rFonts w:ascii="標楷體" w:eastAsia="標楷體" w:hAnsi="標楷體" w:cs="新細明體" w:hint="eastAsia"/>
          <w:bCs/>
          <w:color w:val="000000" w:themeColor="text1"/>
          <w:szCs w:val="24"/>
        </w:rPr>
        <w:t>共同性或個別計畫之管考規定，於訂定或修正後1個月內，函送行政院備查。經查</w:t>
      </w:r>
      <w:r w:rsidR="00C43DF6">
        <w:rPr>
          <w:rFonts w:ascii="標楷體" w:eastAsia="標楷體" w:hAnsi="標楷體" w:cs="新細明體" w:hint="eastAsia"/>
          <w:bCs/>
          <w:color w:val="000000" w:themeColor="text1"/>
          <w:szCs w:val="24"/>
        </w:rPr>
        <w:t>執行情形，</w:t>
      </w:r>
      <w:r w:rsidRPr="00122919">
        <w:rPr>
          <w:rFonts w:ascii="標楷體" w:eastAsia="標楷體" w:hAnsi="標楷體" w:cs="新細明體" w:hint="eastAsia"/>
          <w:bCs/>
          <w:color w:val="000000" w:themeColor="text1"/>
          <w:szCs w:val="24"/>
        </w:rPr>
        <w:t>核有：（1）教育部、內政部、交通部、文化部及數位發展部分別有122項、1項、2項、10項、1項處理原則或管考規定未函報行政院備查；（2）部分計畫之處理原則或管考規定未敘明查核點（如僅稱不定期派員查核、得視需要派員查核，或僅規範辦理經費核銷之時點），如原民會、國發會、教育部、衛福部、經濟部、文化部、海洋委員會等機關辦理之11項、1項、254項、16項、2項、9項、1項計畫，部分計畫僅要求受補助機關定期查填執行進度，如內政部、文化部、財政部辦理之5項、1項、2項計畫，部分計畫雖規範定期派員查核，惟查核點僅在計畫執行階段，管考重點主要在於督導受補助地方政府預算執行進度、補助款請領核撥情形等，尚乏營運期間或計畫完成後效益之管考，如原民會、內政部、衛福部、經濟部、文化部辦理之2項、9項、11項、4項、4項計畫，易致受補助機關僅重視預算執行率而忽略計畫執行成效。鑑於中央主管機關辦理計畫型補助項目繁多，其施政目標、期程功能、規模差異性極大，允宜釐清管考規定應函報該院備查之範疇，及督促中央主管機關完備管考機制。</w:t>
      </w:r>
    </w:p>
    <w:p w14:paraId="2213DBF3" w14:textId="0BE19E70" w:rsidR="00122919" w:rsidRPr="00336CA2" w:rsidRDefault="00122919" w:rsidP="004D7C92">
      <w:pPr>
        <w:overflowPunct w:val="0"/>
        <w:spacing w:afterLines="10" w:after="36" w:line="410" w:lineRule="exact"/>
        <w:ind w:firstLineChars="450" w:firstLine="1081"/>
        <w:jc w:val="both"/>
        <w:rPr>
          <w:rFonts w:ascii="標楷體" w:eastAsia="標楷體" w:hAnsi="標楷體" w:cs="新細明體"/>
          <w:bCs/>
          <w:color w:val="000000" w:themeColor="text1"/>
          <w:spacing w:val="12"/>
          <w:szCs w:val="24"/>
        </w:rPr>
      </w:pPr>
      <w:r w:rsidRPr="00122919">
        <w:rPr>
          <w:rFonts w:ascii="標楷體" w:eastAsia="標楷體" w:hAnsi="標楷體" w:cs="新細明體" w:hint="eastAsia"/>
          <w:b/>
          <w:bCs/>
          <w:color w:val="000000" w:themeColor="text1"/>
          <w:szCs w:val="24"/>
        </w:rPr>
        <w:t>4.</w:t>
      </w:r>
      <w:r w:rsidRPr="00122919">
        <w:rPr>
          <w:rFonts w:hint="eastAsia"/>
          <w:b/>
          <w:color w:val="000000" w:themeColor="text1"/>
          <w:szCs w:val="24"/>
        </w:rPr>
        <w:t xml:space="preserve">　</w:t>
      </w:r>
      <w:r w:rsidRPr="00122919">
        <w:rPr>
          <w:rFonts w:ascii="標楷體" w:eastAsia="標楷體" w:hAnsi="標楷體" w:cs="新細明體" w:hint="eastAsia"/>
          <w:b/>
          <w:bCs/>
          <w:color w:val="000000" w:themeColor="text1"/>
          <w:szCs w:val="24"/>
        </w:rPr>
        <w:t>中央補助地方政府辦理重大建設計畫，仍有因地方政府執行失當而衍生未達預期效益</w:t>
      </w:r>
      <w:r w:rsidR="00B36325">
        <w:rPr>
          <w:rFonts w:ascii="標楷體" w:eastAsia="標楷體" w:hAnsi="標楷體" w:cs="新細明體" w:hint="eastAsia"/>
          <w:b/>
          <w:bCs/>
          <w:color w:val="000000" w:themeColor="text1"/>
          <w:szCs w:val="24"/>
        </w:rPr>
        <w:t>等</w:t>
      </w:r>
      <w:r w:rsidRPr="00122919">
        <w:rPr>
          <w:rFonts w:ascii="標楷體" w:eastAsia="標楷體" w:hAnsi="標楷體" w:cs="新細明體" w:hint="eastAsia"/>
          <w:b/>
          <w:bCs/>
          <w:color w:val="000000" w:themeColor="text1"/>
          <w:szCs w:val="24"/>
        </w:rPr>
        <w:t>情事：</w:t>
      </w:r>
      <w:r w:rsidRPr="00336CA2">
        <w:rPr>
          <w:rFonts w:ascii="標楷體" w:eastAsia="標楷體" w:hAnsi="標楷體" w:cs="新細明體" w:hint="eastAsia"/>
          <w:bCs/>
          <w:color w:val="000000" w:themeColor="text1"/>
          <w:spacing w:val="8"/>
          <w:szCs w:val="24"/>
        </w:rPr>
        <w:t>本部所屬各地方審計處室於109至112年</w:t>
      </w:r>
      <w:r w:rsidR="00326A25">
        <w:rPr>
          <w:rFonts w:ascii="標楷體" w:eastAsia="標楷體" w:hAnsi="標楷體" w:cs="新細明體" w:hint="eastAsia"/>
          <w:bCs/>
          <w:color w:val="000000" w:themeColor="text1"/>
          <w:spacing w:val="8"/>
          <w:szCs w:val="24"/>
        </w:rPr>
        <w:t>度</w:t>
      </w:r>
      <w:r w:rsidRPr="00336CA2">
        <w:rPr>
          <w:rFonts w:ascii="標楷體" w:eastAsia="標楷體" w:hAnsi="標楷體" w:cs="新細明體" w:hint="eastAsia"/>
          <w:bCs/>
          <w:color w:val="000000" w:themeColor="text1"/>
          <w:spacing w:val="8"/>
          <w:szCs w:val="24"/>
        </w:rPr>
        <w:t>考核轄審地方政府之績效，發現有未盡職責或效能過低情事，而依審計法第69條第1項前段規定陳報監察院之案件中，</w:t>
      </w:r>
      <w:r w:rsidRPr="00336CA2">
        <w:rPr>
          <w:rFonts w:ascii="標楷體" w:eastAsia="標楷體" w:hAnsi="標楷體" w:cs="新細明體" w:hint="eastAsia"/>
          <w:bCs/>
          <w:color w:val="000000" w:themeColor="text1"/>
          <w:spacing w:val="8"/>
          <w:szCs w:val="24"/>
        </w:rPr>
        <w:lastRenderedPageBreak/>
        <w:t>涉及中央補助款</w:t>
      </w:r>
      <w:r w:rsidRPr="00336CA2">
        <w:rPr>
          <w:rFonts w:ascii="標楷體" w:eastAsia="標楷體" w:hAnsi="標楷體" w:cs="新細明體" w:hint="eastAsia"/>
          <w:bCs/>
          <w:color w:val="000000" w:themeColor="text1"/>
          <w:spacing w:val="4"/>
          <w:szCs w:val="24"/>
        </w:rPr>
        <w:t>者計65案，經查處結果補助機關未善盡督導考核之責者計11案，分別為交通部5案、經濟部3案，農業部、原民會及教育部各1案。經分析前開11案中央主管機關督導考核缺失態樣</w:t>
      </w:r>
      <w:r w:rsidR="00410B8E" w:rsidRPr="00336CA2">
        <w:rPr>
          <w:rFonts w:ascii="標楷體" w:eastAsia="標楷體" w:hAnsi="標楷體" w:cs="新細明體" w:hint="eastAsia"/>
          <w:bCs/>
          <w:color w:val="000000" w:themeColor="text1"/>
          <w:spacing w:val="12"/>
          <w:szCs w:val="24"/>
        </w:rPr>
        <w:t>（</w:t>
      </w:r>
      <w:r w:rsidR="00410B8E" w:rsidRPr="006678C5">
        <w:rPr>
          <w:rFonts w:ascii="標楷體" w:eastAsia="標楷體" w:hAnsi="標楷體" w:cs="新細明體" w:hint="eastAsia"/>
          <w:bCs/>
          <w:color w:val="000000" w:themeColor="text1"/>
          <w:spacing w:val="12"/>
          <w:szCs w:val="24"/>
        </w:rPr>
        <w:t>表13</w:t>
      </w:r>
      <w:r w:rsidR="00410B8E" w:rsidRPr="00336CA2">
        <w:rPr>
          <w:rFonts w:ascii="標楷體" w:eastAsia="標楷體" w:hAnsi="標楷體" w:cs="新細明體" w:hint="eastAsia"/>
          <w:bCs/>
          <w:color w:val="000000" w:themeColor="text1"/>
          <w:spacing w:val="12"/>
          <w:szCs w:val="24"/>
        </w:rPr>
        <w:t>）</w:t>
      </w:r>
      <w:r w:rsidRPr="00336CA2">
        <w:rPr>
          <w:rFonts w:ascii="標楷體" w:eastAsia="標楷體" w:hAnsi="標楷體" w:cs="新細明體" w:hint="eastAsia"/>
          <w:bCs/>
          <w:color w:val="000000" w:themeColor="text1"/>
          <w:spacing w:val="4"/>
          <w:szCs w:val="24"/>
        </w:rPr>
        <w:t>，涵括計畫提報審查、計畫執行、結案審查及後續營</w:t>
      </w:r>
      <w:r w:rsidR="00132730" w:rsidRPr="003D5BEE">
        <w:rPr>
          <w:rFonts w:ascii="Calibri" w:hAnsi="Calibri"/>
          <w:noProof/>
          <w:spacing w:val="12"/>
          <w:szCs w:val="22"/>
        </w:rPr>
        <mc:AlternateContent>
          <mc:Choice Requires="wps">
            <w:drawing>
              <wp:anchor distT="45720" distB="45720" distL="114300" distR="114300" simplePos="0" relativeHeight="251644928" behindDoc="0" locked="0" layoutInCell="1" allowOverlap="1" wp14:anchorId="5D416CFE" wp14:editId="7EEBCFE5">
                <wp:simplePos x="0" y="0"/>
                <wp:positionH relativeFrom="column">
                  <wp:posOffset>-153035</wp:posOffset>
                </wp:positionH>
                <wp:positionV relativeFrom="paragraph">
                  <wp:posOffset>1198303</wp:posOffset>
                </wp:positionV>
                <wp:extent cx="6607175" cy="7536815"/>
                <wp:effectExtent l="0" t="0" r="3175" b="6985"/>
                <wp:wrapSquare wrapText="bothSides"/>
                <wp:docPr id="4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7175" cy="7536815"/>
                        </a:xfrm>
                        <a:prstGeom prst="rect">
                          <a:avLst/>
                        </a:prstGeom>
                        <a:solidFill>
                          <a:srgbClr val="FFFFFF"/>
                        </a:solidFill>
                        <a:ln w="9525">
                          <a:noFill/>
                          <a:miter lim="800000"/>
                          <a:headEnd/>
                          <a:tailEnd/>
                        </a:ln>
                      </wps:spPr>
                      <wps:txbx>
                        <w:txbxContent>
                          <w:tbl>
                            <w:tblPr>
                              <w:tblStyle w:val="16121"/>
                              <w:tblW w:w="9928" w:type="dxa"/>
                              <w:tblInd w:w="137" w:type="dxa"/>
                              <w:tblLayout w:type="fixed"/>
                              <w:tblCellMar>
                                <w:left w:w="0" w:type="dxa"/>
                                <w:right w:w="0" w:type="dxa"/>
                              </w:tblCellMar>
                              <w:tblLook w:val="04A0" w:firstRow="1" w:lastRow="0" w:firstColumn="1" w:lastColumn="0" w:noHBand="0" w:noVBand="1"/>
                            </w:tblPr>
                            <w:tblGrid>
                              <w:gridCol w:w="289"/>
                              <w:gridCol w:w="1551"/>
                              <w:gridCol w:w="1839"/>
                              <w:gridCol w:w="2842"/>
                              <w:gridCol w:w="567"/>
                              <w:gridCol w:w="2840"/>
                            </w:tblGrid>
                            <w:tr w:rsidR="00A0212B" w:rsidRPr="004C166E" w14:paraId="3F26DCAC" w14:textId="77777777" w:rsidTr="00622CAD">
                              <w:tc>
                                <w:tcPr>
                                  <w:tcW w:w="9928" w:type="dxa"/>
                                  <w:gridSpan w:val="6"/>
                                  <w:tcBorders>
                                    <w:top w:val="nil"/>
                                    <w:left w:val="nil"/>
                                    <w:right w:val="nil"/>
                                  </w:tcBorders>
                                  <w:shd w:val="clear" w:color="auto" w:fill="auto"/>
                                  <w:vAlign w:val="center"/>
                                </w:tcPr>
                                <w:p w14:paraId="306F76A1" w14:textId="073A027A" w:rsidR="00A0212B" w:rsidRPr="004C166E" w:rsidRDefault="00A0212B" w:rsidP="004D7C92">
                                  <w:pPr>
                                    <w:adjustRightInd w:val="0"/>
                                    <w:snapToGrid w:val="0"/>
                                    <w:spacing w:beforeLines="50" w:before="180" w:afterLines="50" w:after="180" w:line="240" w:lineRule="exact"/>
                                    <w:ind w:leftChars="-9" w:left="747" w:hangingChars="320" w:hanging="769"/>
                                    <w:jc w:val="center"/>
                                    <w:rPr>
                                      <w:rFonts w:ascii="標楷體" w:eastAsia="標楷體" w:hAnsi="標楷體"/>
                                      <w:b/>
                                    </w:rPr>
                                  </w:pPr>
                                  <w:r w:rsidRPr="004C166E">
                                    <w:rPr>
                                      <w:rFonts w:ascii="標楷體" w:eastAsia="標楷體" w:hAnsi="標楷體" w:hint="eastAsia"/>
                                      <w:b/>
                                    </w:rPr>
                                    <w:t>表</w:t>
                                  </w:r>
                                  <w:r>
                                    <w:rPr>
                                      <w:rFonts w:ascii="標楷體" w:eastAsia="標楷體" w:hAnsi="標楷體"/>
                                      <w:b/>
                                    </w:rPr>
                                    <w:t>13</w:t>
                                  </w:r>
                                  <w:r w:rsidRPr="004C166E">
                                    <w:rPr>
                                      <w:rFonts w:ascii="標楷體" w:eastAsia="標楷體" w:hAnsi="標楷體" w:hint="eastAsia"/>
                                      <w:b/>
                                    </w:rPr>
                                    <w:t xml:space="preserve">　</w:t>
                                  </w:r>
                                  <w:r w:rsidRPr="00326A25">
                                    <w:rPr>
                                      <w:rFonts w:ascii="標楷體" w:eastAsia="標楷體" w:hAnsi="標楷體" w:hint="eastAsia"/>
                                      <w:b/>
                                    </w:rPr>
                                    <w:t>109至112年度本部所屬機關單位陳報監察院案件涉及中央補助款者缺失態樣分析</w:t>
                                  </w:r>
                                </w:p>
                              </w:tc>
                            </w:tr>
                            <w:tr w:rsidR="00A0212B" w:rsidRPr="004C166E" w14:paraId="246F05D7" w14:textId="77777777" w:rsidTr="00622CAD">
                              <w:tc>
                                <w:tcPr>
                                  <w:tcW w:w="289" w:type="dxa"/>
                                  <w:vMerge w:val="restart"/>
                                  <w:shd w:val="clear" w:color="auto" w:fill="auto"/>
                                  <w:vAlign w:val="center"/>
                                </w:tcPr>
                                <w:p w14:paraId="50EC98B0" w14:textId="77777777" w:rsidR="00A0212B" w:rsidRPr="004C166E" w:rsidRDefault="00A0212B" w:rsidP="00622CAD">
                                  <w:pPr>
                                    <w:spacing w:line="220" w:lineRule="exact"/>
                                    <w:jc w:val="center"/>
                                    <w:rPr>
                                      <w:rFonts w:ascii="標楷體" w:eastAsia="標楷體" w:hAnsi="標楷體"/>
                                      <w:spacing w:val="-20"/>
                                      <w:sz w:val="20"/>
                                      <w:szCs w:val="20"/>
                                    </w:rPr>
                                  </w:pPr>
                                  <w:r w:rsidRPr="004C166E">
                                    <w:rPr>
                                      <w:rFonts w:ascii="標楷體" w:eastAsia="標楷體" w:hAnsi="標楷體" w:hint="eastAsia"/>
                                      <w:spacing w:val="-20"/>
                                      <w:sz w:val="20"/>
                                      <w:szCs w:val="20"/>
                                    </w:rPr>
                                    <w:t>項次</w:t>
                                  </w:r>
                                </w:p>
                              </w:tc>
                              <w:tc>
                                <w:tcPr>
                                  <w:tcW w:w="1551" w:type="dxa"/>
                                  <w:vMerge w:val="restart"/>
                                  <w:shd w:val="clear" w:color="auto" w:fill="auto"/>
                                  <w:vAlign w:val="center"/>
                                </w:tcPr>
                                <w:p w14:paraId="1FAA687D"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地方執行機關</w:t>
                                  </w:r>
                                </w:p>
                                <w:p w14:paraId="67774100" w14:textId="77777777" w:rsidR="00A0212B" w:rsidRPr="004C166E" w:rsidRDefault="00A0212B" w:rsidP="00622CAD">
                                  <w:pPr>
                                    <w:spacing w:line="220" w:lineRule="exact"/>
                                    <w:jc w:val="center"/>
                                    <w:rPr>
                                      <w:rFonts w:ascii="標楷體" w:eastAsia="標楷體" w:hAnsi="標楷體"/>
                                      <w:spacing w:val="-20"/>
                                      <w:sz w:val="20"/>
                                      <w:szCs w:val="20"/>
                                    </w:rPr>
                                  </w:pPr>
                                  <w:r w:rsidRPr="004C166E">
                                    <w:rPr>
                                      <w:rFonts w:ascii="標楷體" w:eastAsia="標楷體" w:hAnsi="標楷體" w:hint="eastAsia"/>
                                      <w:spacing w:val="-20"/>
                                      <w:sz w:val="20"/>
                                      <w:szCs w:val="20"/>
                                    </w:rPr>
                                    <w:t>（中央補助機關）</w:t>
                                  </w:r>
                                </w:p>
                              </w:tc>
                              <w:tc>
                                <w:tcPr>
                                  <w:tcW w:w="1839" w:type="dxa"/>
                                  <w:vMerge w:val="restart"/>
                                  <w:shd w:val="clear" w:color="auto" w:fill="auto"/>
                                  <w:vAlign w:val="center"/>
                                </w:tcPr>
                                <w:p w14:paraId="650582AD"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案名</w:t>
                                  </w:r>
                                </w:p>
                              </w:tc>
                              <w:tc>
                                <w:tcPr>
                                  <w:tcW w:w="2842" w:type="dxa"/>
                                  <w:vMerge w:val="restart"/>
                                  <w:shd w:val="clear" w:color="auto" w:fill="auto"/>
                                  <w:vAlign w:val="center"/>
                                </w:tcPr>
                                <w:p w14:paraId="1F731359"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地方執行機關缺失態樣</w:t>
                                  </w:r>
                                </w:p>
                              </w:tc>
                              <w:tc>
                                <w:tcPr>
                                  <w:tcW w:w="3407" w:type="dxa"/>
                                  <w:gridSpan w:val="2"/>
                                  <w:shd w:val="clear" w:color="auto" w:fill="auto"/>
                                  <w:vAlign w:val="center"/>
                                </w:tcPr>
                                <w:p w14:paraId="1CB9F169"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中央補助機關缺失態樣</w:t>
                                  </w:r>
                                </w:p>
                              </w:tc>
                            </w:tr>
                            <w:tr w:rsidR="00A0212B" w:rsidRPr="004C166E" w14:paraId="74C69C18" w14:textId="77777777" w:rsidTr="00622CAD">
                              <w:tc>
                                <w:tcPr>
                                  <w:tcW w:w="289" w:type="dxa"/>
                                  <w:vMerge/>
                                  <w:shd w:val="clear" w:color="auto" w:fill="auto"/>
                                  <w:vAlign w:val="center"/>
                                </w:tcPr>
                                <w:p w14:paraId="523FC187" w14:textId="77777777" w:rsidR="00A0212B" w:rsidRPr="004C166E" w:rsidRDefault="00A0212B" w:rsidP="00622CAD">
                                  <w:pPr>
                                    <w:spacing w:line="220" w:lineRule="exact"/>
                                    <w:jc w:val="center"/>
                                    <w:rPr>
                                      <w:rFonts w:ascii="標楷體" w:eastAsia="標楷體" w:hAnsi="標楷體"/>
                                      <w:spacing w:val="-20"/>
                                      <w:sz w:val="20"/>
                                      <w:szCs w:val="20"/>
                                    </w:rPr>
                                  </w:pPr>
                                </w:p>
                              </w:tc>
                              <w:tc>
                                <w:tcPr>
                                  <w:tcW w:w="1551" w:type="dxa"/>
                                  <w:vMerge/>
                                  <w:shd w:val="clear" w:color="auto" w:fill="auto"/>
                                  <w:vAlign w:val="center"/>
                                </w:tcPr>
                                <w:p w14:paraId="72F02943" w14:textId="77777777" w:rsidR="00A0212B" w:rsidRPr="004C166E" w:rsidRDefault="00A0212B" w:rsidP="00622CAD">
                                  <w:pPr>
                                    <w:spacing w:line="220" w:lineRule="exact"/>
                                    <w:jc w:val="center"/>
                                    <w:rPr>
                                      <w:rFonts w:ascii="標楷體" w:eastAsia="標楷體" w:hAnsi="標楷體"/>
                                      <w:sz w:val="20"/>
                                      <w:szCs w:val="20"/>
                                    </w:rPr>
                                  </w:pPr>
                                </w:p>
                              </w:tc>
                              <w:tc>
                                <w:tcPr>
                                  <w:tcW w:w="1839" w:type="dxa"/>
                                  <w:vMerge/>
                                  <w:shd w:val="clear" w:color="auto" w:fill="auto"/>
                                  <w:vAlign w:val="center"/>
                                </w:tcPr>
                                <w:p w14:paraId="026BEBA6" w14:textId="77777777" w:rsidR="00A0212B" w:rsidRPr="004C166E" w:rsidRDefault="00A0212B" w:rsidP="00622CAD">
                                  <w:pPr>
                                    <w:spacing w:line="220" w:lineRule="exact"/>
                                    <w:jc w:val="center"/>
                                    <w:rPr>
                                      <w:rFonts w:ascii="標楷體" w:eastAsia="標楷體" w:hAnsi="標楷體"/>
                                      <w:sz w:val="20"/>
                                      <w:szCs w:val="20"/>
                                    </w:rPr>
                                  </w:pPr>
                                </w:p>
                              </w:tc>
                              <w:tc>
                                <w:tcPr>
                                  <w:tcW w:w="2842" w:type="dxa"/>
                                  <w:vMerge/>
                                  <w:shd w:val="clear" w:color="auto" w:fill="auto"/>
                                  <w:vAlign w:val="center"/>
                                </w:tcPr>
                                <w:p w14:paraId="013BFFF9" w14:textId="77777777" w:rsidR="00A0212B" w:rsidRPr="004C166E" w:rsidRDefault="00A0212B" w:rsidP="00622CAD">
                                  <w:pPr>
                                    <w:spacing w:line="220" w:lineRule="exact"/>
                                    <w:jc w:val="center"/>
                                    <w:rPr>
                                      <w:rFonts w:ascii="標楷體" w:eastAsia="標楷體" w:hAnsi="標楷體"/>
                                      <w:sz w:val="20"/>
                                      <w:szCs w:val="20"/>
                                    </w:rPr>
                                  </w:pPr>
                                </w:p>
                              </w:tc>
                              <w:tc>
                                <w:tcPr>
                                  <w:tcW w:w="567" w:type="dxa"/>
                                  <w:shd w:val="clear" w:color="auto" w:fill="auto"/>
                                  <w:vAlign w:val="center"/>
                                </w:tcPr>
                                <w:p w14:paraId="75D79D91"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pacing w:val="-20"/>
                                      <w:sz w:val="20"/>
                                      <w:szCs w:val="20"/>
                                    </w:rPr>
                                    <w:t>階段（註</w:t>
                                  </w:r>
                                  <w:r>
                                    <w:rPr>
                                      <w:rFonts w:ascii="標楷體" w:eastAsia="標楷體" w:hAnsi="標楷體" w:hint="eastAsia"/>
                                      <w:spacing w:val="-20"/>
                                      <w:sz w:val="20"/>
                                      <w:szCs w:val="20"/>
                                    </w:rPr>
                                    <w:t>1</w:t>
                                  </w:r>
                                  <w:r w:rsidRPr="004C166E">
                                    <w:rPr>
                                      <w:rFonts w:ascii="標楷體" w:eastAsia="標楷體" w:hAnsi="標楷體" w:hint="eastAsia"/>
                                      <w:spacing w:val="-20"/>
                                      <w:sz w:val="20"/>
                                      <w:szCs w:val="20"/>
                                    </w:rPr>
                                    <w:t>）</w:t>
                                  </w:r>
                                </w:p>
                              </w:tc>
                              <w:tc>
                                <w:tcPr>
                                  <w:tcW w:w="2840" w:type="dxa"/>
                                  <w:shd w:val="clear" w:color="auto" w:fill="auto"/>
                                  <w:vAlign w:val="center"/>
                                </w:tcPr>
                                <w:p w14:paraId="6BC4B7A8"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缺失態樣</w:t>
                                  </w:r>
                                </w:p>
                              </w:tc>
                            </w:tr>
                            <w:tr w:rsidR="00A0212B" w:rsidRPr="004C166E" w14:paraId="20876780" w14:textId="77777777" w:rsidTr="00622CAD">
                              <w:trPr>
                                <w:trHeight w:val="503"/>
                              </w:trPr>
                              <w:tc>
                                <w:tcPr>
                                  <w:tcW w:w="289" w:type="dxa"/>
                                  <w:vMerge w:val="restart"/>
                                  <w:vAlign w:val="center"/>
                                </w:tcPr>
                                <w:p w14:paraId="025F2C80"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1</w:t>
                                  </w:r>
                                </w:p>
                              </w:tc>
                              <w:tc>
                                <w:tcPr>
                                  <w:tcW w:w="1551" w:type="dxa"/>
                                  <w:vMerge w:val="restart"/>
                                  <w:vAlign w:val="center"/>
                                </w:tcPr>
                                <w:p w14:paraId="183ACDA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嘉義縣政府及嘉義縣水上鄉公所</w:t>
                                  </w:r>
                                </w:p>
                                <w:p w14:paraId="22EFEDB1"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697E5300"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水上鄉嘉175線3K+310~4K+296道路拓寬工程執行情形</w:t>
                                  </w:r>
                                </w:p>
                              </w:tc>
                              <w:tc>
                                <w:tcPr>
                                  <w:tcW w:w="2842" w:type="dxa"/>
                                  <w:vMerge w:val="restart"/>
                                  <w:vAlign w:val="center"/>
                                </w:tcPr>
                                <w:p w14:paraId="6C8B44BA" w14:textId="77777777" w:rsidR="00A0212B" w:rsidRPr="004C166E" w:rsidRDefault="00A0212B" w:rsidP="00326A25">
                                  <w:pPr>
                                    <w:widowControl/>
                                    <w:spacing w:line="220" w:lineRule="exact"/>
                                    <w:ind w:left="200" w:hangingChars="100" w:hanging="200"/>
                                    <w:jc w:val="both"/>
                                    <w:rPr>
                                      <w:rFonts w:ascii="標楷體" w:eastAsia="標楷體" w:hAnsi="標楷體"/>
                                      <w:sz w:val="20"/>
                                      <w:szCs w:val="20"/>
                                    </w:rPr>
                                  </w:pPr>
                                  <w:r w:rsidRPr="004C166E">
                                    <w:rPr>
                                      <w:rFonts w:ascii="標楷體" w:eastAsia="標楷體" w:hAnsi="標楷體" w:hint="eastAsia"/>
                                      <w:sz w:val="20"/>
                                      <w:szCs w:val="20"/>
                                    </w:rPr>
                                    <w:t>1.</w:t>
                                  </w:r>
                                  <w:r w:rsidRPr="004D7C92">
                                    <w:rPr>
                                      <w:rFonts w:ascii="標楷體" w:eastAsia="標楷體" w:hAnsi="標楷體" w:hint="eastAsia"/>
                                      <w:spacing w:val="4"/>
                                      <w:sz w:val="20"/>
                                    </w:rPr>
                                    <w:t>修正計畫未經中央補助機關核定。</w:t>
                                  </w:r>
                                </w:p>
                                <w:p w14:paraId="35D87B92" w14:textId="77777777" w:rsidR="00A0212B" w:rsidRPr="004D7C92" w:rsidRDefault="00A0212B" w:rsidP="00326A25">
                                  <w:pPr>
                                    <w:widowControl/>
                                    <w:spacing w:line="220" w:lineRule="exact"/>
                                    <w:jc w:val="both"/>
                                    <w:rPr>
                                      <w:rFonts w:ascii="標楷體" w:eastAsia="標楷體" w:hAnsi="標楷體"/>
                                      <w:color w:val="000000" w:themeColor="text1"/>
                                      <w:spacing w:val="-10"/>
                                      <w:sz w:val="20"/>
                                      <w:szCs w:val="20"/>
                                    </w:rPr>
                                  </w:pPr>
                                  <w:r w:rsidRPr="004D7C92">
                                    <w:rPr>
                                      <w:rFonts w:ascii="標楷體" w:eastAsia="標楷體" w:hAnsi="標楷體"/>
                                      <w:color w:val="000000" w:themeColor="text1"/>
                                      <w:spacing w:val="-10"/>
                                      <w:sz w:val="20"/>
                                    </w:rPr>
                                    <w:t>2.</w:t>
                                  </w:r>
                                  <w:r w:rsidRPr="004D7C92">
                                    <w:rPr>
                                      <w:rFonts w:ascii="標楷體" w:eastAsia="標楷體" w:hAnsi="標楷體" w:hint="eastAsia"/>
                                      <w:color w:val="000000" w:themeColor="text1"/>
                                      <w:sz w:val="20"/>
                                    </w:rPr>
                                    <w:t>未達補助計畫效益。</w:t>
                                  </w:r>
                                </w:p>
                                <w:p w14:paraId="0C067A46" w14:textId="4DA53D93" w:rsidR="00A0212B" w:rsidRPr="004C166E" w:rsidRDefault="00A0212B" w:rsidP="00622CAD">
                                  <w:pPr>
                                    <w:widowControl/>
                                    <w:spacing w:line="220" w:lineRule="exact"/>
                                    <w:jc w:val="both"/>
                                    <w:rPr>
                                      <w:rFonts w:ascii="標楷體" w:eastAsia="標楷體" w:hAnsi="標楷體"/>
                                      <w:sz w:val="20"/>
                                      <w:szCs w:val="20"/>
                                    </w:rPr>
                                  </w:pPr>
                                  <w:r w:rsidRPr="004D7C92">
                                    <w:rPr>
                                      <w:rFonts w:ascii="標楷體" w:eastAsia="標楷體" w:hAnsi="標楷體"/>
                                      <w:color w:val="000000" w:themeColor="text1"/>
                                      <w:sz w:val="20"/>
                                    </w:rPr>
                                    <w:t>3.延宕計畫期程。</w:t>
                                  </w:r>
                                </w:p>
                              </w:tc>
                              <w:tc>
                                <w:tcPr>
                                  <w:tcW w:w="567" w:type="dxa"/>
                                  <w:vAlign w:val="center"/>
                                </w:tcPr>
                                <w:p w14:paraId="6F8D83F4"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230C0E25" w14:textId="77777777" w:rsidR="00A0212B" w:rsidRPr="004D7C92" w:rsidRDefault="00A0212B" w:rsidP="00622CAD">
                                  <w:pPr>
                                    <w:widowControl/>
                                    <w:spacing w:line="220" w:lineRule="exact"/>
                                    <w:jc w:val="both"/>
                                    <w:rPr>
                                      <w:rFonts w:ascii="標楷體" w:eastAsia="標楷體" w:hAnsi="標楷體"/>
                                      <w:sz w:val="20"/>
                                      <w:szCs w:val="20"/>
                                    </w:rPr>
                                  </w:pPr>
                                  <w:r w:rsidRPr="004D7C92">
                                    <w:rPr>
                                      <w:rFonts w:ascii="標楷體" w:eastAsia="標楷體" w:hAnsi="標楷體" w:hint="eastAsia"/>
                                      <w:sz w:val="20"/>
                                    </w:rPr>
                                    <w:t>未確實審查可行性評估報告及土地測量等資料。</w:t>
                                  </w:r>
                                </w:p>
                              </w:tc>
                            </w:tr>
                            <w:tr w:rsidR="00A0212B" w:rsidRPr="004C166E" w14:paraId="17EE2E9E" w14:textId="77777777" w:rsidTr="00622CAD">
                              <w:trPr>
                                <w:trHeight w:val="509"/>
                              </w:trPr>
                              <w:tc>
                                <w:tcPr>
                                  <w:tcW w:w="289" w:type="dxa"/>
                                  <w:vMerge/>
                                  <w:vAlign w:val="center"/>
                                </w:tcPr>
                                <w:p w14:paraId="059A6CF9"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10534D46"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66C82E79"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28ABD311" w14:textId="77777777" w:rsidR="00A0212B" w:rsidRPr="004C166E" w:rsidRDefault="00A0212B" w:rsidP="003D5BEE">
                                  <w:pPr>
                                    <w:widowControl/>
                                    <w:numPr>
                                      <w:ilvl w:val="0"/>
                                      <w:numId w:val="3"/>
                                    </w:numPr>
                                    <w:spacing w:line="220" w:lineRule="exact"/>
                                    <w:jc w:val="both"/>
                                    <w:rPr>
                                      <w:rFonts w:ascii="標楷體" w:eastAsia="標楷體" w:hAnsi="標楷體"/>
                                      <w:sz w:val="20"/>
                                      <w:szCs w:val="20"/>
                                    </w:rPr>
                                  </w:pPr>
                                </w:p>
                              </w:tc>
                              <w:tc>
                                <w:tcPr>
                                  <w:tcW w:w="567" w:type="dxa"/>
                                  <w:vAlign w:val="center"/>
                                </w:tcPr>
                                <w:p w14:paraId="62CCF75C"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6C3A697F" w14:textId="77777777" w:rsidR="00A0212B" w:rsidRPr="004C166E" w:rsidRDefault="00A0212B" w:rsidP="00622CAD">
                                  <w:pPr>
                                    <w:spacing w:line="220" w:lineRule="exact"/>
                                    <w:jc w:val="both"/>
                                    <w:rPr>
                                      <w:rFonts w:ascii="標楷體" w:eastAsia="標楷體" w:hAnsi="標楷體"/>
                                      <w:sz w:val="20"/>
                                      <w:szCs w:val="20"/>
                                    </w:rPr>
                                  </w:pPr>
                                  <w:r w:rsidRPr="004C166E">
                                    <w:rPr>
                                      <w:rFonts w:ascii="標楷體" w:eastAsia="標楷體" w:hAnsi="標楷體" w:hint="eastAsia"/>
                                      <w:sz w:val="20"/>
                                      <w:szCs w:val="20"/>
                                    </w:rPr>
                                    <w:t>進度落後時未積極探究原因並督導改善。</w:t>
                                  </w:r>
                                </w:p>
                              </w:tc>
                            </w:tr>
                            <w:tr w:rsidR="00A0212B" w:rsidRPr="004C166E" w14:paraId="00380472" w14:textId="77777777" w:rsidTr="00622CAD">
                              <w:trPr>
                                <w:trHeight w:val="403"/>
                              </w:trPr>
                              <w:tc>
                                <w:tcPr>
                                  <w:tcW w:w="289" w:type="dxa"/>
                                  <w:vMerge w:val="restart"/>
                                  <w:vAlign w:val="center"/>
                                </w:tcPr>
                                <w:p w14:paraId="277F1215"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2</w:t>
                                  </w:r>
                                </w:p>
                              </w:tc>
                              <w:tc>
                                <w:tcPr>
                                  <w:tcW w:w="1551" w:type="dxa"/>
                                  <w:vMerge w:val="restart"/>
                                  <w:vAlign w:val="center"/>
                                </w:tcPr>
                                <w:p w14:paraId="50E56953" w14:textId="77777777" w:rsidR="00A0212B" w:rsidRPr="004C166E" w:rsidRDefault="00A0212B" w:rsidP="00622CAD">
                                  <w:pPr>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雲林縣政府</w:t>
                                  </w:r>
                                </w:p>
                                <w:p w14:paraId="0C0669C0" w14:textId="77777777" w:rsidR="00A0212B" w:rsidRPr="004C166E" w:rsidRDefault="00A0212B" w:rsidP="00622CAD">
                                  <w:pPr>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6D13A0FF" w14:textId="77777777" w:rsidR="00A0212B" w:rsidRPr="004C166E" w:rsidRDefault="00A0212B" w:rsidP="00622CAD">
                                  <w:pPr>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西螺米食文化園區興建及營運情形</w:t>
                                  </w:r>
                                </w:p>
                              </w:tc>
                              <w:tc>
                                <w:tcPr>
                                  <w:tcW w:w="2842" w:type="dxa"/>
                                  <w:vMerge w:val="restart"/>
                                  <w:vAlign w:val="center"/>
                                </w:tcPr>
                                <w:p w14:paraId="157FE872" w14:textId="5AA178CD" w:rsidR="00A0212B" w:rsidRPr="004C166E" w:rsidRDefault="00A0212B">
                                  <w:pPr>
                                    <w:spacing w:line="220" w:lineRule="exact"/>
                                    <w:jc w:val="both"/>
                                    <w:rPr>
                                      <w:rFonts w:ascii="標楷體" w:eastAsia="標楷體" w:hAnsi="標楷體"/>
                                      <w:sz w:val="20"/>
                                      <w:szCs w:val="20"/>
                                    </w:rPr>
                                  </w:pPr>
                                  <w:r w:rsidRPr="004C166E">
                                    <w:rPr>
                                      <w:rFonts w:ascii="標楷體" w:eastAsia="標楷體" w:hAnsi="標楷體" w:hint="eastAsia"/>
                                      <w:sz w:val="20"/>
                                      <w:szCs w:val="20"/>
                                    </w:rPr>
                                    <w:t>停止營運。</w:t>
                                  </w:r>
                                </w:p>
                              </w:tc>
                              <w:tc>
                                <w:tcPr>
                                  <w:tcW w:w="567" w:type="dxa"/>
                                  <w:vAlign w:val="center"/>
                                </w:tcPr>
                                <w:p w14:paraId="67051A1B"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49C75C98" w14:textId="77777777" w:rsidR="00A0212B" w:rsidRPr="004C166E" w:rsidRDefault="00A0212B" w:rsidP="00622CAD">
                                  <w:pPr>
                                    <w:spacing w:line="220" w:lineRule="exact"/>
                                    <w:jc w:val="both"/>
                                    <w:rPr>
                                      <w:rFonts w:ascii="標楷體" w:eastAsia="標楷體" w:hAnsi="標楷體"/>
                                      <w:sz w:val="20"/>
                                      <w:szCs w:val="20"/>
                                    </w:rPr>
                                  </w:pPr>
                                  <w:r w:rsidRPr="004C166E">
                                    <w:rPr>
                                      <w:rFonts w:ascii="標楷體" w:eastAsia="標楷體" w:hAnsi="標楷體" w:hint="eastAsia"/>
                                      <w:sz w:val="20"/>
                                      <w:szCs w:val="20"/>
                                    </w:rPr>
                                    <w:t>未要求提供符合補助條件之經營管理計畫。</w:t>
                                  </w:r>
                                </w:p>
                              </w:tc>
                            </w:tr>
                            <w:tr w:rsidR="00A0212B" w:rsidRPr="004C166E" w14:paraId="7775A061" w14:textId="77777777" w:rsidTr="00622CAD">
                              <w:trPr>
                                <w:trHeight w:val="310"/>
                              </w:trPr>
                              <w:tc>
                                <w:tcPr>
                                  <w:tcW w:w="289" w:type="dxa"/>
                                  <w:vMerge/>
                                  <w:vAlign w:val="center"/>
                                </w:tcPr>
                                <w:p w14:paraId="000F38FF"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630A4F39" w14:textId="77777777" w:rsidR="00A0212B" w:rsidRPr="004C166E" w:rsidRDefault="00A0212B" w:rsidP="00622CAD">
                                  <w:pPr>
                                    <w:spacing w:line="220" w:lineRule="exact"/>
                                    <w:jc w:val="center"/>
                                    <w:rPr>
                                      <w:rFonts w:ascii="標楷體" w:eastAsia="標楷體" w:hAnsi="標楷體" w:cs="新細明體"/>
                                      <w:color w:val="000000"/>
                                      <w:kern w:val="0"/>
                                      <w:sz w:val="20"/>
                                      <w:szCs w:val="20"/>
                                    </w:rPr>
                                  </w:pPr>
                                </w:p>
                              </w:tc>
                              <w:tc>
                                <w:tcPr>
                                  <w:tcW w:w="1839" w:type="dxa"/>
                                  <w:vMerge/>
                                  <w:vAlign w:val="center"/>
                                </w:tcPr>
                                <w:p w14:paraId="1D8E3BF4" w14:textId="77777777" w:rsidR="00A0212B" w:rsidRPr="004C166E" w:rsidRDefault="00A0212B" w:rsidP="00622CAD">
                                  <w:pPr>
                                    <w:spacing w:line="220" w:lineRule="exact"/>
                                    <w:jc w:val="both"/>
                                    <w:rPr>
                                      <w:rFonts w:ascii="標楷體" w:eastAsia="標楷體" w:hAnsi="標楷體" w:cs="新細明體"/>
                                      <w:color w:val="000000"/>
                                      <w:kern w:val="0"/>
                                      <w:sz w:val="20"/>
                                      <w:szCs w:val="20"/>
                                    </w:rPr>
                                  </w:pPr>
                                </w:p>
                              </w:tc>
                              <w:tc>
                                <w:tcPr>
                                  <w:tcW w:w="2842" w:type="dxa"/>
                                  <w:vMerge/>
                                  <w:vAlign w:val="center"/>
                                </w:tcPr>
                                <w:p w14:paraId="749EAF38" w14:textId="77777777" w:rsidR="00A0212B" w:rsidRPr="004C166E" w:rsidRDefault="00A0212B" w:rsidP="003D5BEE">
                                  <w:pPr>
                                    <w:numPr>
                                      <w:ilvl w:val="0"/>
                                      <w:numId w:val="4"/>
                                    </w:numPr>
                                    <w:spacing w:line="220" w:lineRule="exact"/>
                                    <w:jc w:val="both"/>
                                    <w:rPr>
                                      <w:rFonts w:ascii="標楷體" w:eastAsia="標楷體" w:hAnsi="標楷體"/>
                                      <w:sz w:val="20"/>
                                      <w:szCs w:val="20"/>
                                    </w:rPr>
                                  </w:pPr>
                                </w:p>
                              </w:tc>
                              <w:tc>
                                <w:tcPr>
                                  <w:tcW w:w="567" w:type="dxa"/>
                                  <w:vAlign w:val="center"/>
                                </w:tcPr>
                                <w:p w14:paraId="06B4DE4D"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sz w:val="20"/>
                                      <w:szCs w:val="20"/>
                                    </w:rPr>
                                    <w:t>4</w:t>
                                  </w:r>
                                </w:p>
                              </w:tc>
                              <w:tc>
                                <w:tcPr>
                                  <w:tcW w:w="2840" w:type="dxa"/>
                                  <w:vAlign w:val="center"/>
                                </w:tcPr>
                                <w:p w14:paraId="63C0D343" w14:textId="77777777" w:rsidR="00A0212B" w:rsidRPr="00E31547" w:rsidRDefault="00A0212B" w:rsidP="00622CAD">
                                  <w:pPr>
                                    <w:spacing w:line="220" w:lineRule="exact"/>
                                    <w:jc w:val="both"/>
                                    <w:rPr>
                                      <w:rFonts w:ascii="標楷體" w:eastAsia="標楷體" w:hAnsi="標楷體"/>
                                      <w:spacing w:val="-4"/>
                                      <w:sz w:val="20"/>
                                      <w:szCs w:val="20"/>
                                    </w:rPr>
                                  </w:pPr>
                                  <w:r w:rsidRPr="00E31547">
                                    <w:rPr>
                                      <w:rFonts w:ascii="標楷體" w:eastAsia="標楷體" w:hAnsi="標楷體" w:hint="eastAsia"/>
                                      <w:spacing w:val="-4"/>
                                      <w:sz w:val="20"/>
                                    </w:rPr>
                                    <w:t>未追蹤後續經營管理及維護情形。</w:t>
                                  </w:r>
                                </w:p>
                              </w:tc>
                            </w:tr>
                            <w:tr w:rsidR="00A0212B" w:rsidRPr="004C166E" w14:paraId="71F9FFE8" w14:textId="77777777" w:rsidTr="00622CAD">
                              <w:tc>
                                <w:tcPr>
                                  <w:tcW w:w="289" w:type="dxa"/>
                                  <w:vAlign w:val="center"/>
                                </w:tcPr>
                                <w:p w14:paraId="7696B0C8"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3</w:t>
                                  </w:r>
                                </w:p>
                              </w:tc>
                              <w:tc>
                                <w:tcPr>
                                  <w:tcW w:w="1551" w:type="dxa"/>
                                  <w:vAlign w:val="center"/>
                                </w:tcPr>
                                <w:p w14:paraId="0E08D921"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臺中市政府</w:t>
                                  </w:r>
                                </w:p>
                                <w:p w14:paraId="047E6CD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（農業部）</w:t>
                                  </w:r>
                                </w:p>
                              </w:tc>
                              <w:tc>
                                <w:tcPr>
                                  <w:tcW w:w="1839" w:type="dxa"/>
                                  <w:vAlign w:val="center"/>
                                </w:tcPr>
                                <w:p w14:paraId="0121D072"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2018臺中世界花卉博覽會執行情形</w:t>
                                  </w:r>
                                </w:p>
                              </w:tc>
                              <w:tc>
                                <w:tcPr>
                                  <w:tcW w:w="2842" w:type="dxa"/>
                                  <w:vAlign w:val="center"/>
                                </w:tcPr>
                                <w:p w14:paraId="09464736"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1.未覈實編列歲入預算。</w:t>
                                  </w:r>
                                </w:p>
                                <w:p w14:paraId="68269305"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2.花博卡閒置。</w:t>
                                  </w:r>
                                </w:p>
                              </w:tc>
                              <w:tc>
                                <w:tcPr>
                                  <w:tcW w:w="567" w:type="dxa"/>
                                  <w:vAlign w:val="center"/>
                                </w:tcPr>
                                <w:p w14:paraId="2AE31932"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654A6462"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未督促依原核定計畫之營運收入目標落實執行。</w:t>
                                  </w:r>
                                </w:p>
                              </w:tc>
                            </w:tr>
                            <w:tr w:rsidR="00A0212B" w:rsidRPr="004C166E" w14:paraId="6F18CFD6" w14:textId="77777777" w:rsidTr="00622CAD">
                              <w:trPr>
                                <w:trHeight w:val="340"/>
                              </w:trPr>
                              <w:tc>
                                <w:tcPr>
                                  <w:tcW w:w="289" w:type="dxa"/>
                                  <w:vMerge w:val="restart"/>
                                  <w:vAlign w:val="center"/>
                                </w:tcPr>
                                <w:p w14:paraId="1EDB4E3C"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4</w:t>
                                  </w:r>
                                </w:p>
                              </w:tc>
                              <w:tc>
                                <w:tcPr>
                                  <w:tcW w:w="1551" w:type="dxa"/>
                                  <w:vMerge w:val="restart"/>
                                  <w:vAlign w:val="center"/>
                                </w:tcPr>
                                <w:p w14:paraId="5E551D73" w14:textId="77777777" w:rsidR="00A0212B" w:rsidRPr="004C166E" w:rsidRDefault="00A0212B" w:rsidP="00622CAD">
                                  <w:pPr>
                                    <w:widowControl/>
                                    <w:spacing w:line="220" w:lineRule="exact"/>
                                    <w:jc w:val="center"/>
                                    <w:rPr>
                                      <w:rFonts w:ascii="標楷體" w:eastAsia="標楷體" w:hAnsi="標楷體" w:cs="新細明體"/>
                                      <w:color w:val="000000"/>
                                      <w:spacing w:val="-10"/>
                                      <w:kern w:val="0"/>
                                      <w:sz w:val="20"/>
                                      <w:szCs w:val="20"/>
                                    </w:rPr>
                                  </w:pPr>
                                  <w:r w:rsidRPr="004C166E">
                                    <w:rPr>
                                      <w:rFonts w:ascii="標楷體" w:eastAsia="標楷體" w:hAnsi="標楷體" w:cs="新細明體" w:hint="eastAsia"/>
                                      <w:color w:val="000000"/>
                                      <w:spacing w:val="-10"/>
                                      <w:kern w:val="0"/>
                                      <w:sz w:val="20"/>
                                      <w:szCs w:val="20"/>
                                    </w:rPr>
                                    <w:t>苗栗縣南庄鄉公所</w:t>
                                  </w:r>
                                </w:p>
                                <w:p w14:paraId="0257B3D3"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799A6078"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中港溪高灘地遊憩環境營造計畫執行情形</w:t>
                                  </w:r>
                                </w:p>
                              </w:tc>
                              <w:tc>
                                <w:tcPr>
                                  <w:tcW w:w="2842" w:type="dxa"/>
                                  <w:vMerge w:val="restart"/>
                                  <w:vAlign w:val="center"/>
                                </w:tcPr>
                                <w:p w14:paraId="3273CBFD"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1.延宕計畫期程。</w:t>
                                  </w:r>
                                </w:p>
                                <w:p w14:paraId="1F658526"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2.閒置。</w:t>
                                  </w:r>
                                </w:p>
                              </w:tc>
                              <w:tc>
                                <w:tcPr>
                                  <w:tcW w:w="567" w:type="dxa"/>
                                  <w:vAlign w:val="center"/>
                                </w:tcPr>
                                <w:p w14:paraId="14B1CD49"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041D3221"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未審查工程用地之使用許可。</w:t>
                                  </w:r>
                                </w:p>
                              </w:tc>
                            </w:tr>
                            <w:tr w:rsidR="00A0212B" w:rsidRPr="004C166E" w14:paraId="29338EB1" w14:textId="77777777" w:rsidTr="00622CAD">
                              <w:trPr>
                                <w:trHeight w:val="327"/>
                              </w:trPr>
                              <w:tc>
                                <w:tcPr>
                                  <w:tcW w:w="289" w:type="dxa"/>
                                  <w:vMerge/>
                                  <w:vAlign w:val="center"/>
                                </w:tcPr>
                                <w:p w14:paraId="25EA3942"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25A35DD6"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0753B1D0"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30D92E96" w14:textId="77777777" w:rsidR="00A0212B" w:rsidRPr="004C166E" w:rsidRDefault="00A0212B" w:rsidP="003D5BEE">
                                  <w:pPr>
                                    <w:widowControl/>
                                    <w:numPr>
                                      <w:ilvl w:val="0"/>
                                      <w:numId w:val="5"/>
                                    </w:numPr>
                                    <w:spacing w:line="220" w:lineRule="exact"/>
                                    <w:jc w:val="both"/>
                                    <w:rPr>
                                      <w:rFonts w:ascii="標楷體" w:eastAsia="標楷體" w:hAnsi="標楷體"/>
                                      <w:sz w:val="20"/>
                                      <w:szCs w:val="20"/>
                                    </w:rPr>
                                  </w:pPr>
                                </w:p>
                              </w:tc>
                              <w:tc>
                                <w:tcPr>
                                  <w:tcW w:w="567" w:type="dxa"/>
                                  <w:vAlign w:val="center"/>
                                </w:tcPr>
                                <w:p w14:paraId="16DD08E9"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38AB9302"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未落實管考計畫執行進度。</w:t>
                                  </w:r>
                                </w:p>
                              </w:tc>
                            </w:tr>
                            <w:tr w:rsidR="00A0212B" w:rsidRPr="004C166E" w14:paraId="0B488B05" w14:textId="77777777" w:rsidTr="00622CAD">
                              <w:trPr>
                                <w:trHeight w:val="390"/>
                              </w:trPr>
                              <w:tc>
                                <w:tcPr>
                                  <w:tcW w:w="289" w:type="dxa"/>
                                  <w:vMerge/>
                                  <w:vAlign w:val="center"/>
                                </w:tcPr>
                                <w:p w14:paraId="39F5E369"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2921F51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16C3FA7A"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776CD79C" w14:textId="77777777" w:rsidR="00A0212B" w:rsidRPr="004C166E" w:rsidRDefault="00A0212B" w:rsidP="003D5BEE">
                                  <w:pPr>
                                    <w:widowControl/>
                                    <w:numPr>
                                      <w:ilvl w:val="0"/>
                                      <w:numId w:val="5"/>
                                    </w:numPr>
                                    <w:spacing w:line="220" w:lineRule="exact"/>
                                    <w:jc w:val="both"/>
                                    <w:rPr>
                                      <w:rFonts w:ascii="標楷體" w:eastAsia="標楷體" w:hAnsi="標楷體"/>
                                      <w:sz w:val="20"/>
                                      <w:szCs w:val="20"/>
                                    </w:rPr>
                                  </w:pPr>
                                </w:p>
                              </w:tc>
                              <w:tc>
                                <w:tcPr>
                                  <w:tcW w:w="567" w:type="dxa"/>
                                  <w:vAlign w:val="center"/>
                                </w:tcPr>
                                <w:p w14:paraId="25986BD7"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3</w:t>
                                  </w:r>
                                </w:p>
                              </w:tc>
                              <w:tc>
                                <w:tcPr>
                                  <w:tcW w:w="2840" w:type="dxa"/>
                                  <w:vAlign w:val="center"/>
                                </w:tcPr>
                                <w:p w14:paraId="636DEDCC"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未查察處理受補助地方政府未依核定計畫執行且擅自變更增減施作項目。</w:t>
                                  </w:r>
                                </w:p>
                              </w:tc>
                            </w:tr>
                            <w:tr w:rsidR="00A0212B" w:rsidRPr="004C166E" w14:paraId="59A457B8" w14:textId="77777777" w:rsidTr="00622CAD">
                              <w:trPr>
                                <w:trHeight w:val="253"/>
                              </w:trPr>
                              <w:tc>
                                <w:tcPr>
                                  <w:tcW w:w="289" w:type="dxa"/>
                                  <w:vMerge/>
                                  <w:vAlign w:val="center"/>
                                </w:tcPr>
                                <w:p w14:paraId="790A0578"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1080D7D0"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39E40CEC"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7CD082B6" w14:textId="77777777" w:rsidR="00A0212B" w:rsidRPr="004C166E" w:rsidRDefault="00A0212B" w:rsidP="003D5BEE">
                                  <w:pPr>
                                    <w:widowControl/>
                                    <w:numPr>
                                      <w:ilvl w:val="0"/>
                                      <w:numId w:val="5"/>
                                    </w:numPr>
                                    <w:spacing w:line="220" w:lineRule="exact"/>
                                    <w:jc w:val="both"/>
                                    <w:rPr>
                                      <w:rFonts w:ascii="標楷體" w:eastAsia="標楷體" w:hAnsi="標楷體"/>
                                      <w:sz w:val="20"/>
                                      <w:szCs w:val="20"/>
                                    </w:rPr>
                                  </w:pPr>
                                </w:p>
                              </w:tc>
                              <w:tc>
                                <w:tcPr>
                                  <w:tcW w:w="567" w:type="dxa"/>
                                  <w:vAlign w:val="center"/>
                                </w:tcPr>
                                <w:p w14:paraId="66337D2C"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4</w:t>
                                  </w:r>
                                </w:p>
                              </w:tc>
                              <w:tc>
                                <w:tcPr>
                                  <w:tcW w:w="2840" w:type="dxa"/>
                                  <w:vAlign w:val="center"/>
                                </w:tcPr>
                                <w:p w14:paraId="6055E0F7"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未控管工程完工後實際營運情形。</w:t>
                                  </w:r>
                                </w:p>
                              </w:tc>
                            </w:tr>
                            <w:tr w:rsidR="00A0212B" w:rsidRPr="004C166E" w14:paraId="5368E2C1" w14:textId="77777777" w:rsidTr="00622CAD">
                              <w:trPr>
                                <w:trHeight w:val="459"/>
                              </w:trPr>
                              <w:tc>
                                <w:tcPr>
                                  <w:tcW w:w="289" w:type="dxa"/>
                                  <w:vMerge w:val="restart"/>
                                  <w:vAlign w:val="center"/>
                                </w:tcPr>
                                <w:p w14:paraId="10C60E94"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5</w:t>
                                  </w:r>
                                </w:p>
                              </w:tc>
                              <w:tc>
                                <w:tcPr>
                                  <w:tcW w:w="1551" w:type="dxa"/>
                                  <w:vMerge w:val="restart"/>
                                  <w:vAlign w:val="center"/>
                                </w:tcPr>
                                <w:p w14:paraId="192A0A5A" w14:textId="77777777" w:rsidR="00A0212B" w:rsidRPr="004C166E" w:rsidRDefault="00A0212B" w:rsidP="00622CAD">
                                  <w:pPr>
                                    <w:widowControl/>
                                    <w:spacing w:line="220" w:lineRule="exact"/>
                                    <w:jc w:val="center"/>
                                    <w:rPr>
                                      <w:rFonts w:ascii="標楷體" w:eastAsia="標楷體" w:hAnsi="標楷體" w:cs="新細明體"/>
                                      <w:color w:val="000000"/>
                                      <w:spacing w:val="-10"/>
                                      <w:kern w:val="0"/>
                                      <w:sz w:val="20"/>
                                      <w:szCs w:val="20"/>
                                    </w:rPr>
                                  </w:pPr>
                                  <w:r w:rsidRPr="004C166E">
                                    <w:rPr>
                                      <w:rFonts w:ascii="標楷體" w:eastAsia="標楷體" w:hAnsi="標楷體" w:cs="新細明體" w:hint="eastAsia"/>
                                      <w:color w:val="000000"/>
                                      <w:spacing w:val="-10"/>
                                      <w:kern w:val="0"/>
                                      <w:sz w:val="20"/>
                                      <w:szCs w:val="20"/>
                                    </w:rPr>
                                    <w:t>宜蘭縣蘇澳鎮公所</w:t>
                                  </w:r>
                                </w:p>
                                <w:p w14:paraId="7CDBD637"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18B5ECAD"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蘇澳冷泉再造特色加值計畫情形</w:t>
                                  </w:r>
                                </w:p>
                              </w:tc>
                              <w:tc>
                                <w:tcPr>
                                  <w:tcW w:w="2842" w:type="dxa"/>
                                  <w:vMerge w:val="restart"/>
                                  <w:vAlign w:val="center"/>
                                </w:tcPr>
                                <w:p w14:paraId="16456385"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1.未依核定計畫執行。</w:t>
                                  </w:r>
                                </w:p>
                                <w:p w14:paraId="62C8068B" w14:textId="74031479" w:rsidR="00A0212B" w:rsidRPr="004C166E" w:rsidRDefault="00A0212B">
                                  <w:pPr>
                                    <w:widowControl/>
                                    <w:spacing w:line="220" w:lineRule="exact"/>
                                    <w:jc w:val="both"/>
                                    <w:rPr>
                                      <w:rFonts w:ascii="標楷體" w:eastAsia="標楷體" w:hAnsi="標楷體"/>
                                      <w:sz w:val="20"/>
                                      <w:szCs w:val="20"/>
                                    </w:rPr>
                                  </w:pPr>
                                  <w:r>
                                    <w:rPr>
                                      <w:rFonts w:ascii="標楷體" w:eastAsia="標楷體" w:hAnsi="標楷體"/>
                                      <w:sz w:val="20"/>
                                      <w:szCs w:val="20"/>
                                    </w:rPr>
                                    <w:t>2</w:t>
                                  </w:r>
                                  <w:r w:rsidRPr="004C166E">
                                    <w:rPr>
                                      <w:rFonts w:ascii="標楷體" w:eastAsia="標楷體" w:hAnsi="標楷體" w:hint="eastAsia"/>
                                      <w:sz w:val="20"/>
                                      <w:szCs w:val="20"/>
                                    </w:rPr>
                                    <w:t>.閒置。</w:t>
                                  </w:r>
                                </w:p>
                              </w:tc>
                              <w:tc>
                                <w:tcPr>
                                  <w:tcW w:w="567" w:type="dxa"/>
                                  <w:vAlign w:val="center"/>
                                </w:tcPr>
                                <w:p w14:paraId="2EAFF4C3"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2F4DB6C1"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未確實審查經費、期程，確認水權申請與冷泉供應量能否承載設計構想。</w:t>
                                  </w:r>
                                </w:p>
                              </w:tc>
                            </w:tr>
                            <w:tr w:rsidR="00A0212B" w:rsidRPr="004C166E" w14:paraId="73893505" w14:textId="77777777" w:rsidTr="00622CAD">
                              <w:trPr>
                                <w:trHeight w:val="280"/>
                              </w:trPr>
                              <w:tc>
                                <w:tcPr>
                                  <w:tcW w:w="289" w:type="dxa"/>
                                  <w:vMerge/>
                                  <w:vAlign w:val="center"/>
                                </w:tcPr>
                                <w:p w14:paraId="79CFDB61"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36200D34"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06A74C33"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5B22FEDE" w14:textId="77777777" w:rsidR="00A0212B" w:rsidRPr="004C166E" w:rsidRDefault="00A0212B" w:rsidP="003D5BEE">
                                  <w:pPr>
                                    <w:widowControl/>
                                    <w:numPr>
                                      <w:ilvl w:val="0"/>
                                      <w:numId w:val="6"/>
                                    </w:numPr>
                                    <w:spacing w:line="220" w:lineRule="exact"/>
                                    <w:jc w:val="both"/>
                                    <w:rPr>
                                      <w:rFonts w:ascii="標楷體" w:eastAsia="標楷體" w:hAnsi="標楷體"/>
                                      <w:sz w:val="20"/>
                                      <w:szCs w:val="20"/>
                                    </w:rPr>
                                  </w:pPr>
                                </w:p>
                              </w:tc>
                              <w:tc>
                                <w:tcPr>
                                  <w:tcW w:w="567" w:type="dxa"/>
                                  <w:vAlign w:val="center"/>
                                </w:tcPr>
                                <w:p w14:paraId="68986948"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3A0BD8CE"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未落實督導考核計畫執行缺失。</w:t>
                                  </w:r>
                                </w:p>
                              </w:tc>
                            </w:tr>
                            <w:tr w:rsidR="00A0212B" w:rsidRPr="004C166E" w14:paraId="4614C4BF" w14:textId="77777777" w:rsidTr="00622CAD">
                              <w:trPr>
                                <w:trHeight w:val="409"/>
                              </w:trPr>
                              <w:tc>
                                <w:tcPr>
                                  <w:tcW w:w="289" w:type="dxa"/>
                                  <w:vMerge w:val="restart"/>
                                  <w:vAlign w:val="center"/>
                                </w:tcPr>
                                <w:p w14:paraId="71C3E704"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6</w:t>
                                  </w:r>
                                </w:p>
                              </w:tc>
                              <w:tc>
                                <w:tcPr>
                                  <w:tcW w:w="1551" w:type="dxa"/>
                                  <w:vMerge w:val="restart"/>
                                  <w:vAlign w:val="center"/>
                                </w:tcPr>
                                <w:p w14:paraId="03827B5E"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花蓮縣政府</w:t>
                                  </w:r>
                                </w:p>
                                <w:p w14:paraId="3FC382D1" w14:textId="77777777" w:rsidR="00A0212B" w:rsidRPr="00675F97" w:rsidRDefault="00A0212B" w:rsidP="00622CAD">
                                  <w:pPr>
                                    <w:widowControl/>
                                    <w:spacing w:line="220" w:lineRule="exact"/>
                                    <w:jc w:val="center"/>
                                    <w:rPr>
                                      <w:rFonts w:ascii="標楷體" w:eastAsia="標楷體" w:hAnsi="標楷體" w:cs="新細明體"/>
                                      <w:color w:val="000000"/>
                                      <w:spacing w:val="-12"/>
                                      <w:kern w:val="0"/>
                                      <w:sz w:val="20"/>
                                      <w:szCs w:val="20"/>
                                    </w:rPr>
                                  </w:pPr>
                                  <w:r w:rsidRPr="00675F97">
                                    <w:rPr>
                                      <w:rFonts w:ascii="標楷體" w:eastAsia="標楷體" w:hAnsi="標楷體" w:cs="新細明體" w:hint="eastAsia"/>
                                      <w:color w:val="000000"/>
                                      <w:spacing w:val="-12"/>
                                      <w:kern w:val="0"/>
                                      <w:sz w:val="20"/>
                                      <w:szCs w:val="20"/>
                                    </w:rPr>
                                    <w:t>（原住民族</w:t>
                                  </w:r>
                                  <w:r w:rsidRPr="00675F97">
                                    <w:rPr>
                                      <w:rFonts w:ascii="標楷體" w:eastAsia="標楷體" w:hAnsi="標楷體" w:cs="新細明體"/>
                                      <w:color w:val="000000"/>
                                      <w:spacing w:val="-12"/>
                                      <w:kern w:val="0"/>
                                      <w:sz w:val="20"/>
                                      <w:szCs w:val="20"/>
                                    </w:rPr>
                                    <w:t>委員</w:t>
                                  </w:r>
                                  <w:r w:rsidRPr="00675F97">
                                    <w:rPr>
                                      <w:rFonts w:ascii="標楷體" w:eastAsia="標楷體" w:hAnsi="標楷體" w:cs="新細明體" w:hint="eastAsia"/>
                                      <w:color w:val="000000"/>
                                      <w:spacing w:val="-12"/>
                                      <w:kern w:val="0"/>
                                      <w:sz w:val="20"/>
                                      <w:szCs w:val="20"/>
                                    </w:rPr>
                                    <w:t>會）</w:t>
                                  </w:r>
                                </w:p>
                              </w:tc>
                              <w:tc>
                                <w:tcPr>
                                  <w:tcW w:w="1839" w:type="dxa"/>
                                  <w:vMerge w:val="restart"/>
                                  <w:vAlign w:val="center"/>
                                </w:tcPr>
                                <w:p w14:paraId="4A7E5235"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r w:rsidRPr="004C166E">
                                    <w:rPr>
                                      <w:rFonts w:ascii="標楷體" w:eastAsia="標楷體" w:hAnsi="標楷體" w:cs="新細明體" w:hint="eastAsia"/>
                                      <w:bCs/>
                                      <w:color w:val="000000"/>
                                      <w:kern w:val="0"/>
                                      <w:sz w:val="20"/>
                                      <w:szCs w:val="20"/>
                                    </w:rPr>
                                    <w:t>原住民族文創產業行銷發展計畫情形</w:t>
                                  </w:r>
                                </w:p>
                              </w:tc>
                              <w:tc>
                                <w:tcPr>
                                  <w:tcW w:w="2842" w:type="dxa"/>
                                  <w:vMerge w:val="restart"/>
                                  <w:vAlign w:val="center"/>
                                </w:tcPr>
                                <w:p w14:paraId="77A6324C" w14:textId="074E54A9" w:rsidR="00A0212B" w:rsidRPr="004C166E" w:rsidRDefault="00A0212B">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延宕執行期程。</w:t>
                                  </w:r>
                                </w:p>
                              </w:tc>
                              <w:tc>
                                <w:tcPr>
                                  <w:tcW w:w="567" w:type="dxa"/>
                                  <w:vAlign w:val="center"/>
                                </w:tcPr>
                                <w:p w14:paraId="3DE49382"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04FBAC7C"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未周妥評估變更基地方案即准予變更計畫。</w:t>
                                  </w:r>
                                </w:p>
                              </w:tc>
                            </w:tr>
                            <w:tr w:rsidR="00A0212B" w:rsidRPr="004C166E" w14:paraId="1C78AD2B" w14:textId="77777777" w:rsidTr="00622CAD">
                              <w:trPr>
                                <w:trHeight w:val="377"/>
                              </w:trPr>
                              <w:tc>
                                <w:tcPr>
                                  <w:tcW w:w="289" w:type="dxa"/>
                                  <w:vMerge/>
                                  <w:vAlign w:val="center"/>
                                </w:tcPr>
                                <w:p w14:paraId="25CCB9F7"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3A0705C2"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3A74B2D4"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p>
                              </w:tc>
                              <w:tc>
                                <w:tcPr>
                                  <w:tcW w:w="2842" w:type="dxa"/>
                                  <w:vMerge/>
                                  <w:vAlign w:val="center"/>
                                </w:tcPr>
                                <w:p w14:paraId="29FD3034" w14:textId="77777777" w:rsidR="00A0212B" w:rsidRPr="004C166E" w:rsidRDefault="00A0212B" w:rsidP="003D5BEE">
                                  <w:pPr>
                                    <w:widowControl/>
                                    <w:numPr>
                                      <w:ilvl w:val="0"/>
                                      <w:numId w:val="7"/>
                                    </w:numPr>
                                    <w:spacing w:line="220" w:lineRule="exact"/>
                                    <w:jc w:val="both"/>
                                    <w:rPr>
                                      <w:rFonts w:ascii="標楷體" w:eastAsia="標楷體" w:hAnsi="標楷體"/>
                                      <w:sz w:val="20"/>
                                      <w:szCs w:val="20"/>
                                    </w:rPr>
                                  </w:pPr>
                                </w:p>
                              </w:tc>
                              <w:tc>
                                <w:tcPr>
                                  <w:tcW w:w="567" w:type="dxa"/>
                                  <w:vAlign w:val="center"/>
                                </w:tcPr>
                                <w:p w14:paraId="712F15C7"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366359CC"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未覈實撥付補助款，並於執行延宕時介入輔導。</w:t>
                                  </w:r>
                                </w:p>
                              </w:tc>
                            </w:tr>
                            <w:tr w:rsidR="00A0212B" w:rsidRPr="004C166E" w14:paraId="6F43964C" w14:textId="77777777" w:rsidTr="00622CAD">
                              <w:tc>
                                <w:tcPr>
                                  <w:tcW w:w="289" w:type="dxa"/>
                                  <w:vAlign w:val="center"/>
                                </w:tcPr>
                                <w:p w14:paraId="5C981E17"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7</w:t>
                                  </w:r>
                                </w:p>
                              </w:tc>
                              <w:tc>
                                <w:tcPr>
                                  <w:tcW w:w="1551" w:type="dxa"/>
                                  <w:vAlign w:val="center"/>
                                </w:tcPr>
                                <w:p w14:paraId="52C73F88"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新竹市政府</w:t>
                                  </w:r>
                                </w:p>
                                <w:p w14:paraId="40DD22D1"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（教育部）</w:t>
                                  </w:r>
                                </w:p>
                              </w:tc>
                              <w:tc>
                                <w:tcPr>
                                  <w:tcW w:w="1839" w:type="dxa"/>
                                  <w:vAlign w:val="center"/>
                                </w:tcPr>
                                <w:p w14:paraId="7E8D80AB"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r w:rsidRPr="004C166E">
                                    <w:rPr>
                                      <w:rFonts w:ascii="標楷體" w:eastAsia="標楷體" w:hAnsi="標楷體" w:cs="新細明體" w:hint="eastAsia"/>
                                      <w:bCs/>
                                      <w:color w:val="000000"/>
                                      <w:kern w:val="0"/>
                                      <w:sz w:val="20"/>
                                      <w:szCs w:val="20"/>
                                    </w:rPr>
                                    <w:t>新竹市立棒球場興整建計畫執行情形</w:t>
                                  </w:r>
                                </w:p>
                              </w:tc>
                              <w:tc>
                                <w:tcPr>
                                  <w:tcW w:w="2842" w:type="dxa"/>
                                  <w:vAlign w:val="center"/>
                                </w:tcPr>
                                <w:p w14:paraId="158E0AAC" w14:textId="77777777" w:rsidR="00A0212B" w:rsidRDefault="00A0212B" w:rsidP="00622CAD">
                                  <w:pPr>
                                    <w:widowControl/>
                                    <w:spacing w:line="220" w:lineRule="exact"/>
                                    <w:ind w:left="180" w:hangingChars="100" w:hanging="180"/>
                                    <w:jc w:val="both"/>
                                    <w:rPr>
                                      <w:rFonts w:ascii="標楷體" w:eastAsia="標楷體" w:hAnsi="標楷體"/>
                                      <w:sz w:val="20"/>
                                      <w:szCs w:val="20"/>
                                    </w:rPr>
                                  </w:pPr>
                                  <w:r w:rsidRPr="004C166E">
                                    <w:rPr>
                                      <w:rFonts w:ascii="標楷體" w:eastAsia="標楷體" w:hAnsi="標楷體" w:hint="eastAsia"/>
                                      <w:spacing w:val="-10"/>
                                      <w:sz w:val="20"/>
                                      <w:szCs w:val="20"/>
                                    </w:rPr>
                                    <w:t>1.</w:t>
                                  </w:r>
                                  <w:r w:rsidRPr="004C166E">
                                    <w:rPr>
                                      <w:rFonts w:ascii="標楷體" w:eastAsia="標楷體" w:hAnsi="標楷體" w:hint="eastAsia"/>
                                      <w:sz w:val="20"/>
                                      <w:szCs w:val="20"/>
                                    </w:rPr>
                                    <w:t>施工品質不良。</w:t>
                                  </w:r>
                                </w:p>
                                <w:p w14:paraId="053C275A" w14:textId="77777777" w:rsidR="00A0212B" w:rsidRPr="004B52B7" w:rsidRDefault="00A0212B" w:rsidP="00622CAD">
                                  <w:pPr>
                                    <w:widowControl/>
                                    <w:spacing w:line="220" w:lineRule="exact"/>
                                    <w:ind w:left="200" w:hangingChars="100" w:hanging="200"/>
                                    <w:jc w:val="both"/>
                                    <w:rPr>
                                      <w:rFonts w:ascii="標楷體" w:eastAsia="標楷體" w:hAnsi="標楷體"/>
                                      <w:spacing w:val="-10"/>
                                      <w:sz w:val="20"/>
                                      <w:szCs w:val="20"/>
                                    </w:rPr>
                                  </w:pPr>
                                  <w:r>
                                    <w:rPr>
                                      <w:rFonts w:ascii="標楷體" w:eastAsia="標楷體" w:hAnsi="標楷體" w:hint="eastAsia"/>
                                      <w:sz w:val="20"/>
                                      <w:szCs w:val="20"/>
                                    </w:rPr>
                                    <w:t>2</w:t>
                                  </w:r>
                                  <w:r>
                                    <w:rPr>
                                      <w:rFonts w:ascii="標楷體" w:eastAsia="標楷體" w:hAnsi="標楷體"/>
                                      <w:sz w:val="20"/>
                                      <w:szCs w:val="20"/>
                                    </w:rPr>
                                    <w:t>.工程尚未完工驗收即點交</w:t>
                                  </w:r>
                                  <w:r>
                                    <w:rPr>
                                      <w:rFonts w:ascii="標楷體" w:eastAsia="標楷體" w:hAnsi="標楷體" w:hint="eastAsia"/>
                                      <w:sz w:val="20"/>
                                      <w:szCs w:val="20"/>
                                    </w:rPr>
                                    <w:t>廠商</w:t>
                                  </w:r>
                                  <w:r>
                                    <w:rPr>
                                      <w:rFonts w:ascii="標楷體" w:eastAsia="標楷體" w:hAnsi="標楷體"/>
                                      <w:sz w:val="20"/>
                                      <w:szCs w:val="20"/>
                                    </w:rPr>
                                    <w:t>營運。</w:t>
                                  </w:r>
                                </w:p>
                              </w:tc>
                              <w:tc>
                                <w:tcPr>
                                  <w:tcW w:w="567" w:type="dxa"/>
                                  <w:vAlign w:val="center"/>
                                </w:tcPr>
                                <w:p w14:paraId="6FBE6A61"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7703FE66"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未適時規劃辦理工程施工查核。</w:t>
                                  </w:r>
                                </w:p>
                              </w:tc>
                            </w:tr>
                            <w:tr w:rsidR="00A0212B" w:rsidRPr="004C166E" w14:paraId="7E9813E7" w14:textId="77777777" w:rsidTr="00622CAD">
                              <w:trPr>
                                <w:trHeight w:val="488"/>
                              </w:trPr>
                              <w:tc>
                                <w:tcPr>
                                  <w:tcW w:w="289" w:type="dxa"/>
                                  <w:vMerge w:val="restart"/>
                                  <w:vAlign w:val="center"/>
                                </w:tcPr>
                                <w:p w14:paraId="0EE9DC92"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8</w:t>
                                  </w:r>
                                </w:p>
                              </w:tc>
                              <w:tc>
                                <w:tcPr>
                                  <w:tcW w:w="1551" w:type="dxa"/>
                                  <w:vMerge w:val="restart"/>
                                  <w:vAlign w:val="center"/>
                                </w:tcPr>
                                <w:p w14:paraId="3CBF835D"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高雄市政府</w:t>
                                  </w:r>
                                </w:p>
                                <w:p w14:paraId="1A1F54B7"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（經濟部）</w:t>
                                  </w:r>
                                </w:p>
                              </w:tc>
                              <w:tc>
                                <w:tcPr>
                                  <w:tcW w:w="1839" w:type="dxa"/>
                                  <w:vMerge w:val="restart"/>
                                  <w:vAlign w:val="center"/>
                                </w:tcPr>
                                <w:p w14:paraId="3F01A05C"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r w:rsidRPr="004C166E">
                                    <w:rPr>
                                      <w:rFonts w:ascii="標楷體" w:eastAsia="標楷體" w:hAnsi="標楷體" w:cs="新細明體" w:hint="eastAsia"/>
                                      <w:bCs/>
                                      <w:color w:val="000000"/>
                                      <w:kern w:val="0"/>
                                      <w:sz w:val="20"/>
                                      <w:szCs w:val="20"/>
                                    </w:rPr>
                                    <w:t>旗糖創新博覽園區場域改造及經營管理情形</w:t>
                                  </w:r>
                                </w:p>
                              </w:tc>
                              <w:tc>
                                <w:tcPr>
                                  <w:tcW w:w="2842" w:type="dxa"/>
                                  <w:vMerge w:val="restart"/>
                                  <w:vAlign w:val="center"/>
                                </w:tcPr>
                                <w:p w14:paraId="3C71C5E2" w14:textId="77777777" w:rsidR="00A0212B" w:rsidRPr="004C166E" w:rsidRDefault="00A0212B" w:rsidP="00622CAD">
                                  <w:pPr>
                                    <w:widowControl/>
                                    <w:spacing w:line="220" w:lineRule="exact"/>
                                    <w:ind w:left="200" w:hangingChars="100" w:hanging="200"/>
                                    <w:jc w:val="both"/>
                                    <w:rPr>
                                      <w:rFonts w:ascii="標楷體" w:eastAsia="標楷體" w:hAnsi="標楷體"/>
                                      <w:spacing w:val="-10"/>
                                      <w:sz w:val="20"/>
                                      <w:szCs w:val="20"/>
                                    </w:rPr>
                                  </w:pPr>
                                  <w:r w:rsidRPr="004C166E">
                                    <w:rPr>
                                      <w:rFonts w:ascii="標楷體" w:eastAsia="標楷體" w:hAnsi="標楷體" w:hint="eastAsia"/>
                                      <w:sz w:val="20"/>
                                      <w:szCs w:val="20"/>
                                    </w:rPr>
                                    <w:t>1.</w:t>
                                  </w:r>
                                  <w:r w:rsidRPr="004C166E">
                                    <w:rPr>
                                      <w:rFonts w:ascii="標楷體" w:eastAsia="標楷體" w:hAnsi="標楷體" w:hint="eastAsia"/>
                                      <w:spacing w:val="-10"/>
                                      <w:sz w:val="20"/>
                                      <w:szCs w:val="20"/>
                                    </w:rPr>
                                    <w:t>未評估計畫可行性及籌足財源，致計畫一再更迭，並縮減開發範圍。</w:t>
                                  </w:r>
                                </w:p>
                                <w:p w14:paraId="73C14E7C"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2.延宕執行期程。</w:t>
                                  </w:r>
                                </w:p>
                                <w:p w14:paraId="59ECCDA7"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3.閒置。</w:t>
                                  </w:r>
                                </w:p>
                              </w:tc>
                              <w:tc>
                                <w:tcPr>
                                  <w:tcW w:w="567" w:type="dxa"/>
                                  <w:vAlign w:val="center"/>
                                </w:tcPr>
                                <w:p w14:paraId="6C9A5B01"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78A21F4F"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工程進度及場域標租情形未如預期，卻多次同意辦理計畫展延。</w:t>
                                  </w:r>
                                </w:p>
                              </w:tc>
                            </w:tr>
                            <w:tr w:rsidR="00A0212B" w:rsidRPr="004C166E" w14:paraId="6D7D8FA4" w14:textId="77777777" w:rsidTr="00622CAD">
                              <w:trPr>
                                <w:trHeight w:val="410"/>
                              </w:trPr>
                              <w:tc>
                                <w:tcPr>
                                  <w:tcW w:w="289" w:type="dxa"/>
                                  <w:vMerge/>
                                  <w:vAlign w:val="center"/>
                                </w:tcPr>
                                <w:p w14:paraId="2B408F03"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66BB36EF"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37376EA7"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p>
                              </w:tc>
                              <w:tc>
                                <w:tcPr>
                                  <w:tcW w:w="2842" w:type="dxa"/>
                                  <w:vMerge/>
                                  <w:vAlign w:val="center"/>
                                </w:tcPr>
                                <w:p w14:paraId="649CD1DC" w14:textId="77777777" w:rsidR="00A0212B" w:rsidRPr="004C166E" w:rsidRDefault="00A0212B" w:rsidP="003D5BEE">
                                  <w:pPr>
                                    <w:widowControl/>
                                    <w:numPr>
                                      <w:ilvl w:val="0"/>
                                      <w:numId w:val="8"/>
                                    </w:numPr>
                                    <w:spacing w:line="220" w:lineRule="exact"/>
                                    <w:jc w:val="both"/>
                                    <w:rPr>
                                      <w:rFonts w:ascii="標楷體" w:eastAsia="標楷體" w:hAnsi="標楷體"/>
                                      <w:sz w:val="20"/>
                                      <w:szCs w:val="20"/>
                                    </w:rPr>
                                  </w:pPr>
                                </w:p>
                              </w:tc>
                              <w:tc>
                                <w:tcPr>
                                  <w:tcW w:w="567" w:type="dxa"/>
                                  <w:vAlign w:val="center"/>
                                </w:tcPr>
                                <w:p w14:paraId="6F2BD2EA"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3</w:t>
                                  </w:r>
                                </w:p>
                              </w:tc>
                              <w:tc>
                                <w:tcPr>
                                  <w:tcW w:w="2840" w:type="dxa"/>
                                  <w:vAlign w:val="center"/>
                                </w:tcPr>
                                <w:p w14:paraId="7F474DB8" w14:textId="77777777" w:rsidR="00A0212B" w:rsidRPr="004C166E" w:rsidRDefault="00A0212B" w:rsidP="00622CAD">
                                  <w:pPr>
                                    <w:widowControl/>
                                    <w:spacing w:line="220" w:lineRule="exact"/>
                                    <w:jc w:val="both"/>
                                    <w:rPr>
                                      <w:rFonts w:ascii="標楷體" w:eastAsia="標楷體" w:hAnsi="標楷體"/>
                                      <w:spacing w:val="-12"/>
                                      <w:sz w:val="20"/>
                                      <w:szCs w:val="20"/>
                                    </w:rPr>
                                  </w:pPr>
                                  <w:r w:rsidRPr="004C166E">
                                    <w:rPr>
                                      <w:rFonts w:ascii="標楷體" w:eastAsia="標楷體" w:hAnsi="標楷體" w:hint="eastAsia"/>
                                      <w:spacing w:val="-12"/>
                                      <w:sz w:val="20"/>
                                      <w:szCs w:val="20"/>
                                    </w:rPr>
                                    <w:t>放寬結案條件之認列標準。</w:t>
                                  </w:r>
                                </w:p>
                              </w:tc>
                            </w:tr>
                            <w:tr w:rsidR="00A0212B" w:rsidRPr="004C166E" w14:paraId="05B9C014" w14:textId="77777777" w:rsidTr="00E31547">
                              <w:trPr>
                                <w:trHeight w:val="597"/>
                              </w:trPr>
                              <w:tc>
                                <w:tcPr>
                                  <w:tcW w:w="289" w:type="dxa"/>
                                  <w:vAlign w:val="center"/>
                                </w:tcPr>
                                <w:p w14:paraId="04FC73E7"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9</w:t>
                                  </w:r>
                                </w:p>
                              </w:tc>
                              <w:tc>
                                <w:tcPr>
                                  <w:tcW w:w="1551" w:type="dxa"/>
                                  <w:vAlign w:val="center"/>
                                </w:tcPr>
                                <w:p w14:paraId="63F718FE"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基隆市政府</w:t>
                                  </w:r>
                                </w:p>
                                <w:p w14:paraId="1986AB5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（經濟部）</w:t>
                                  </w:r>
                                </w:p>
                              </w:tc>
                              <w:tc>
                                <w:tcPr>
                                  <w:tcW w:w="1839" w:type="dxa"/>
                                  <w:vAlign w:val="center"/>
                                </w:tcPr>
                                <w:p w14:paraId="5E67944C"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八斗子智慧漁業創新場域統包工程執行情形</w:t>
                                  </w:r>
                                </w:p>
                              </w:tc>
                              <w:tc>
                                <w:tcPr>
                                  <w:tcW w:w="2842" w:type="dxa"/>
                                  <w:vAlign w:val="center"/>
                                </w:tcPr>
                                <w:p w14:paraId="46B11F32" w14:textId="77777777" w:rsidR="00A0212B" w:rsidRPr="004C166E" w:rsidRDefault="00A0212B" w:rsidP="00622CAD">
                                  <w:pPr>
                                    <w:widowControl/>
                                    <w:spacing w:line="220" w:lineRule="exact"/>
                                    <w:ind w:left="200" w:hangingChars="100" w:hanging="200"/>
                                    <w:jc w:val="both"/>
                                    <w:rPr>
                                      <w:rFonts w:ascii="標楷體" w:eastAsia="標楷體" w:hAnsi="標楷體"/>
                                      <w:sz w:val="20"/>
                                      <w:szCs w:val="20"/>
                                    </w:rPr>
                                  </w:pPr>
                                  <w:r w:rsidRPr="004C166E">
                                    <w:rPr>
                                      <w:rFonts w:ascii="標楷體" w:eastAsia="標楷體" w:hAnsi="標楷體" w:hint="eastAsia"/>
                                      <w:sz w:val="20"/>
                                      <w:szCs w:val="20"/>
                                    </w:rPr>
                                    <w:t>1.用地未取得致取消興建製冰廠。</w:t>
                                  </w:r>
                                </w:p>
                                <w:p w14:paraId="1406971C"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2.未取得使用執照。</w:t>
                                  </w:r>
                                </w:p>
                              </w:tc>
                              <w:tc>
                                <w:tcPr>
                                  <w:tcW w:w="567" w:type="dxa"/>
                                  <w:vAlign w:val="center"/>
                                </w:tcPr>
                                <w:p w14:paraId="5BDFCDC2"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33E57B58"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未審慎評估土地取得情形即核定補助。</w:t>
                                  </w:r>
                                </w:p>
                              </w:tc>
                            </w:tr>
                            <w:tr w:rsidR="00A0212B" w:rsidRPr="004C166E" w14:paraId="153A25B5" w14:textId="77777777" w:rsidTr="00622CAD">
                              <w:trPr>
                                <w:trHeight w:val="419"/>
                              </w:trPr>
                              <w:tc>
                                <w:tcPr>
                                  <w:tcW w:w="289" w:type="dxa"/>
                                  <w:vMerge w:val="restart"/>
                                  <w:vAlign w:val="center"/>
                                </w:tcPr>
                                <w:p w14:paraId="420A8254"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10</w:t>
                                  </w:r>
                                </w:p>
                              </w:tc>
                              <w:tc>
                                <w:tcPr>
                                  <w:tcW w:w="1551" w:type="dxa"/>
                                  <w:vMerge w:val="restart"/>
                                  <w:vAlign w:val="center"/>
                                </w:tcPr>
                                <w:p w14:paraId="283699CC"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臺南市政府</w:t>
                                  </w:r>
                                </w:p>
                                <w:p w14:paraId="51B6F350"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72A1137C"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臺南赤崁文化園區改造工程計畫執行情形之查核</w:t>
                                  </w:r>
                                </w:p>
                              </w:tc>
                              <w:tc>
                                <w:tcPr>
                                  <w:tcW w:w="2842" w:type="dxa"/>
                                  <w:vMerge w:val="restart"/>
                                  <w:vAlign w:val="center"/>
                                </w:tcPr>
                                <w:p w14:paraId="28756A91" w14:textId="77777777" w:rsidR="00A0212B" w:rsidRPr="004C166E" w:rsidRDefault="00A0212B" w:rsidP="00622CAD">
                                  <w:pPr>
                                    <w:widowControl/>
                                    <w:spacing w:line="220" w:lineRule="exact"/>
                                    <w:ind w:left="200" w:hangingChars="100" w:hanging="200"/>
                                    <w:jc w:val="both"/>
                                    <w:rPr>
                                      <w:rFonts w:ascii="標楷體" w:eastAsia="標楷體" w:hAnsi="標楷體"/>
                                      <w:sz w:val="20"/>
                                      <w:szCs w:val="20"/>
                                    </w:rPr>
                                  </w:pPr>
                                  <w:r w:rsidRPr="004C166E">
                                    <w:rPr>
                                      <w:rFonts w:ascii="標楷體" w:eastAsia="標楷體" w:hAnsi="標楷體" w:hint="eastAsia"/>
                                      <w:sz w:val="20"/>
                                      <w:szCs w:val="20"/>
                                    </w:rPr>
                                    <w:t>1.未詳加評估整體計畫可行性。</w:t>
                                  </w:r>
                                </w:p>
                                <w:p w14:paraId="3B861385" w14:textId="6F271FDE" w:rsidR="00A0212B" w:rsidRPr="004C166E" w:rsidRDefault="00A0212B" w:rsidP="00622CAD">
                                  <w:pPr>
                                    <w:widowControl/>
                                    <w:spacing w:line="220" w:lineRule="exact"/>
                                    <w:ind w:left="200" w:hangingChars="100" w:hanging="200"/>
                                    <w:jc w:val="both"/>
                                    <w:rPr>
                                      <w:rFonts w:ascii="標楷體" w:eastAsia="標楷體" w:hAnsi="標楷體"/>
                                      <w:sz w:val="20"/>
                                      <w:szCs w:val="20"/>
                                    </w:rPr>
                                  </w:pPr>
                                  <w:r w:rsidRPr="004C166E">
                                    <w:rPr>
                                      <w:rFonts w:ascii="標楷體" w:eastAsia="標楷體" w:hAnsi="標楷體" w:hint="eastAsia"/>
                                      <w:sz w:val="20"/>
                                      <w:szCs w:val="20"/>
                                    </w:rPr>
                                    <w:t>2.工程變更設計致</w:t>
                                  </w:r>
                                  <w:r>
                                    <w:rPr>
                                      <w:rFonts w:ascii="標楷體" w:eastAsia="標楷體" w:hAnsi="標楷體" w:hint="eastAsia"/>
                                      <w:sz w:val="20"/>
                                      <w:szCs w:val="20"/>
                                    </w:rPr>
                                    <w:t>須</w:t>
                                  </w:r>
                                  <w:r w:rsidRPr="004C166E">
                                    <w:rPr>
                                      <w:rFonts w:ascii="標楷體" w:eastAsia="標楷體" w:hAnsi="標楷體" w:hint="eastAsia"/>
                                      <w:sz w:val="20"/>
                                      <w:szCs w:val="20"/>
                                    </w:rPr>
                                    <w:t>另支付9,686萬餘元。</w:t>
                                  </w:r>
                                </w:p>
                                <w:p w14:paraId="21A79CCD"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3.延宕執行期程。</w:t>
                                  </w:r>
                                </w:p>
                              </w:tc>
                              <w:tc>
                                <w:tcPr>
                                  <w:tcW w:w="567" w:type="dxa"/>
                                  <w:vAlign w:val="center"/>
                                </w:tcPr>
                                <w:p w14:paraId="363722E4"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7C424410"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未確實審查申請補助計畫之必要條件。</w:t>
                                  </w:r>
                                </w:p>
                              </w:tc>
                            </w:tr>
                            <w:tr w:rsidR="00A0212B" w:rsidRPr="004C166E" w14:paraId="719F5AA1" w14:textId="77777777" w:rsidTr="00622CAD">
                              <w:trPr>
                                <w:trHeight w:val="413"/>
                              </w:trPr>
                              <w:tc>
                                <w:tcPr>
                                  <w:tcW w:w="289" w:type="dxa"/>
                                  <w:vMerge/>
                                  <w:vAlign w:val="center"/>
                                </w:tcPr>
                                <w:p w14:paraId="72C54906"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158F54D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36B6275A"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0510757A" w14:textId="77777777" w:rsidR="00A0212B" w:rsidRPr="004C166E" w:rsidRDefault="00A0212B" w:rsidP="003D5BEE">
                                  <w:pPr>
                                    <w:widowControl/>
                                    <w:numPr>
                                      <w:ilvl w:val="0"/>
                                      <w:numId w:val="2"/>
                                    </w:numPr>
                                    <w:spacing w:line="220" w:lineRule="exact"/>
                                    <w:jc w:val="both"/>
                                    <w:rPr>
                                      <w:rFonts w:ascii="標楷體" w:eastAsia="標楷體" w:hAnsi="標楷體"/>
                                      <w:sz w:val="20"/>
                                      <w:szCs w:val="20"/>
                                    </w:rPr>
                                  </w:pPr>
                                </w:p>
                              </w:tc>
                              <w:tc>
                                <w:tcPr>
                                  <w:tcW w:w="567" w:type="dxa"/>
                                  <w:vAlign w:val="center"/>
                                </w:tcPr>
                                <w:p w14:paraId="63776B43"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775ACE0A"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工程進度嚴重落後，未能及時管考。</w:t>
                                  </w:r>
                                </w:p>
                              </w:tc>
                            </w:tr>
                            <w:tr w:rsidR="00A0212B" w:rsidRPr="004C166E" w14:paraId="54E850A7" w14:textId="77777777" w:rsidTr="00622CAD">
                              <w:trPr>
                                <w:trHeight w:val="958"/>
                              </w:trPr>
                              <w:tc>
                                <w:tcPr>
                                  <w:tcW w:w="289" w:type="dxa"/>
                                  <w:tcBorders>
                                    <w:bottom w:val="single" w:sz="4" w:space="0" w:color="auto"/>
                                  </w:tcBorders>
                                  <w:vAlign w:val="center"/>
                                </w:tcPr>
                                <w:p w14:paraId="0964BC37"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11</w:t>
                                  </w:r>
                                </w:p>
                              </w:tc>
                              <w:tc>
                                <w:tcPr>
                                  <w:tcW w:w="1551" w:type="dxa"/>
                                  <w:tcBorders>
                                    <w:bottom w:val="single" w:sz="4" w:space="0" w:color="auto"/>
                                  </w:tcBorders>
                                  <w:vAlign w:val="center"/>
                                </w:tcPr>
                                <w:p w14:paraId="789548D8"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嘉義縣政府</w:t>
                                  </w:r>
                                </w:p>
                                <w:p w14:paraId="12186F8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color w:val="000000"/>
                                      <w:kern w:val="0"/>
                                      <w:sz w:val="20"/>
                                      <w:szCs w:val="20"/>
                                    </w:rPr>
                                    <w:t>（</w:t>
                                  </w:r>
                                  <w:r w:rsidRPr="004C166E">
                                    <w:rPr>
                                      <w:rFonts w:ascii="標楷體" w:eastAsia="標楷體" w:hAnsi="標楷體" w:cs="新細明體" w:hint="eastAsia"/>
                                      <w:color w:val="000000"/>
                                      <w:kern w:val="0"/>
                                      <w:sz w:val="20"/>
                                      <w:szCs w:val="20"/>
                                    </w:rPr>
                                    <w:t>經濟部）</w:t>
                                  </w:r>
                                </w:p>
                              </w:tc>
                              <w:tc>
                                <w:tcPr>
                                  <w:tcW w:w="1839" w:type="dxa"/>
                                  <w:tcBorders>
                                    <w:bottom w:val="single" w:sz="4" w:space="0" w:color="auto"/>
                                  </w:tcBorders>
                                  <w:vAlign w:val="center"/>
                                </w:tcPr>
                                <w:p w14:paraId="4E7B0E44"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蔗埕冰樂園等計畫執行情形</w:t>
                                  </w:r>
                                </w:p>
                              </w:tc>
                              <w:tc>
                                <w:tcPr>
                                  <w:tcW w:w="2842" w:type="dxa"/>
                                  <w:tcBorders>
                                    <w:bottom w:val="single" w:sz="4" w:space="0" w:color="auto"/>
                                  </w:tcBorders>
                                  <w:vAlign w:val="center"/>
                                </w:tcPr>
                                <w:p w14:paraId="4B124216" w14:textId="2174B441" w:rsidR="00A0212B" w:rsidRPr="004C166E" w:rsidRDefault="00A0212B" w:rsidP="004D7C92">
                                  <w:pPr>
                                    <w:widowControl/>
                                    <w:spacing w:line="220" w:lineRule="exact"/>
                                    <w:ind w:left="220" w:hangingChars="110" w:hanging="220"/>
                                    <w:jc w:val="both"/>
                                    <w:rPr>
                                      <w:rFonts w:ascii="標楷體" w:eastAsia="標楷體" w:hAnsi="標楷體"/>
                                      <w:sz w:val="20"/>
                                      <w:szCs w:val="20"/>
                                    </w:rPr>
                                  </w:pPr>
                                  <w:r w:rsidRPr="004C166E">
                                    <w:rPr>
                                      <w:rFonts w:ascii="標楷體" w:eastAsia="標楷體" w:hAnsi="標楷體" w:hint="eastAsia"/>
                                      <w:sz w:val="20"/>
                                      <w:szCs w:val="20"/>
                                    </w:rPr>
                                    <w:t>1.</w:t>
                                  </w:r>
                                  <w:r w:rsidRPr="004D7C92">
                                    <w:rPr>
                                      <w:rFonts w:ascii="標楷體" w:eastAsia="標楷體" w:hAnsi="標楷體" w:hint="eastAsia"/>
                                      <w:spacing w:val="10"/>
                                      <w:sz w:val="20"/>
                                    </w:rPr>
                                    <w:t>未確實評估成本效益及可行性。</w:t>
                                  </w:r>
                                </w:p>
                                <w:p w14:paraId="167E2082" w14:textId="0BC2BCAF" w:rsidR="00A0212B" w:rsidRPr="004C166E" w:rsidRDefault="00E525E5" w:rsidP="00622CAD">
                                  <w:pPr>
                                    <w:widowControl/>
                                    <w:spacing w:line="220" w:lineRule="exact"/>
                                    <w:jc w:val="both"/>
                                    <w:rPr>
                                      <w:rFonts w:ascii="標楷體" w:eastAsia="標楷體" w:hAnsi="標楷體"/>
                                      <w:sz w:val="20"/>
                                      <w:szCs w:val="20"/>
                                    </w:rPr>
                                  </w:pPr>
                                  <w:r>
                                    <w:rPr>
                                      <w:rFonts w:ascii="標楷體" w:eastAsia="標楷體" w:hAnsi="標楷體"/>
                                      <w:sz w:val="20"/>
                                      <w:szCs w:val="20"/>
                                    </w:rPr>
                                    <w:t>2</w:t>
                                  </w:r>
                                  <w:r w:rsidR="00A0212B" w:rsidRPr="004C166E">
                                    <w:rPr>
                                      <w:rFonts w:ascii="標楷體" w:eastAsia="標楷體" w:hAnsi="標楷體" w:hint="eastAsia"/>
                                      <w:sz w:val="20"/>
                                      <w:szCs w:val="20"/>
                                    </w:rPr>
                                    <w:t>.閒置。</w:t>
                                  </w:r>
                                </w:p>
                                <w:p w14:paraId="7FB1DEE2" w14:textId="680C833F" w:rsidR="00A0212B" w:rsidRPr="004C166E" w:rsidRDefault="00E525E5" w:rsidP="00622CAD">
                                  <w:pPr>
                                    <w:widowControl/>
                                    <w:spacing w:line="220" w:lineRule="exact"/>
                                    <w:jc w:val="both"/>
                                    <w:rPr>
                                      <w:rFonts w:ascii="標楷體" w:eastAsia="標楷體" w:hAnsi="標楷體"/>
                                      <w:sz w:val="20"/>
                                      <w:szCs w:val="20"/>
                                    </w:rPr>
                                  </w:pPr>
                                  <w:r>
                                    <w:rPr>
                                      <w:rFonts w:ascii="標楷體" w:eastAsia="標楷體" w:hAnsi="標楷體" w:hint="eastAsia"/>
                                      <w:sz w:val="20"/>
                                      <w:szCs w:val="20"/>
                                    </w:rPr>
                                    <w:t>3</w:t>
                                  </w:r>
                                  <w:bookmarkStart w:id="4" w:name="_GoBack"/>
                                  <w:bookmarkEnd w:id="4"/>
                                  <w:r w:rsidR="00A0212B" w:rsidRPr="004C166E">
                                    <w:rPr>
                                      <w:rFonts w:ascii="標楷體" w:eastAsia="標楷體" w:hAnsi="標楷體" w:hint="eastAsia"/>
                                      <w:sz w:val="20"/>
                                      <w:szCs w:val="20"/>
                                    </w:rPr>
                                    <w:t>.未能達成計畫目標。</w:t>
                                  </w:r>
                                </w:p>
                              </w:tc>
                              <w:tc>
                                <w:tcPr>
                                  <w:tcW w:w="567" w:type="dxa"/>
                                  <w:tcBorders>
                                    <w:bottom w:val="single" w:sz="4" w:space="0" w:color="auto"/>
                                  </w:tcBorders>
                                  <w:vAlign w:val="center"/>
                                </w:tcPr>
                                <w:p w14:paraId="65C08520"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tcBorders>
                                    <w:bottom w:val="single" w:sz="4" w:space="0" w:color="auto"/>
                                  </w:tcBorders>
                                  <w:vAlign w:val="center"/>
                                </w:tcPr>
                                <w:p w14:paraId="25C014BD"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計畫推展不如預期，未限期改善，且多次同意展延，欠缺積極管考作為。</w:t>
                                  </w:r>
                                </w:p>
                              </w:tc>
                            </w:tr>
                            <w:tr w:rsidR="00A0212B" w:rsidRPr="004C166E" w14:paraId="566A47EC" w14:textId="77777777" w:rsidTr="00622CAD">
                              <w:tc>
                                <w:tcPr>
                                  <w:tcW w:w="9928" w:type="dxa"/>
                                  <w:gridSpan w:val="6"/>
                                  <w:tcBorders>
                                    <w:left w:val="nil"/>
                                    <w:bottom w:val="nil"/>
                                    <w:right w:val="nil"/>
                                  </w:tcBorders>
                                  <w:vAlign w:val="center"/>
                                </w:tcPr>
                                <w:p w14:paraId="6F6B0722" w14:textId="5E0CDA33" w:rsidR="00A0212B" w:rsidRDefault="00A0212B" w:rsidP="004D7C92">
                                  <w:pPr>
                                    <w:widowControl/>
                                    <w:spacing w:line="260" w:lineRule="exact"/>
                                    <w:jc w:val="both"/>
                                    <w:rPr>
                                      <w:rFonts w:ascii="標楷體" w:eastAsia="標楷體" w:hAnsi="標楷體"/>
                                      <w:sz w:val="18"/>
                                      <w:szCs w:val="18"/>
                                    </w:rPr>
                                  </w:pPr>
                                  <w:r w:rsidRPr="004C166E">
                                    <w:rPr>
                                      <w:rFonts w:ascii="標楷體" w:eastAsia="標楷體" w:hAnsi="標楷體"/>
                                      <w:sz w:val="18"/>
                                      <w:szCs w:val="18"/>
                                    </w:rPr>
                                    <w:t>註：</w:t>
                                  </w:r>
                                  <w:r>
                                    <w:rPr>
                                      <w:rFonts w:ascii="標楷體" w:eastAsia="標楷體" w:hAnsi="標楷體" w:hint="eastAsia"/>
                                      <w:sz w:val="18"/>
                                      <w:szCs w:val="18"/>
                                    </w:rPr>
                                    <w:t>1</w:t>
                                  </w:r>
                                  <w:r>
                                    <w:rPr>
                                      <w:rFonts w:ascii="標楷體" w:eastAsia="標楷體" w:hAnsi="標楷體"/>
                                      <w:sz w:val="18"/>
                                      <w:szCs w:val="18"/>
                                    </w:rPr>
                                    <w:t>.</w:t>
                                  </w:r>
                                  <w:r w:rsidRPr="009C5B25">
                                    <w:rPr>
                                      <w:rFonts w:ascii="標楷體" w:eastAsia="標楷體" w:hAnsi="標楷體" w:hint="eastAsia"/>
                                      <w:sz w:val="18"/>
                                      <w:szCs w:val="18"/>
                                    </w:rPr>
                                    <w:t>階段：1、計畫提報審查階段；2、計畫執行階段；3、結案審查階段；4、後續營運管理階段。</w:t>
                                  </w:r>
                                </w:p>
                                <w:p w14:paraId="77FD95D7" w14:textId="2BD42DBC" w:rsidR="00A0212B" w:rsidRPr="004C166E" w:rsidRDefault="00A0212B" w:rsidP="004D7C92">
                                  <w:pPr>
                                    <w:widowControl/>
                                    <w:spacing w:line="260" w:lineRule="exact"/>
                                    <w:ind w:leftChars="150" w:left="360"/>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9C5B25">
                                    <w:rPr>
                                      <w:rFonts w:ascii="標楷體" w:eastAsia="標楷體" w:hAnsi="標楷體" w:hint="eastAsia"/>
                                      <w:sz w:val="18"/>
                                      <w:szCs w:val="18"/>
                                    </w:rPr>
                                    <w:t>資料來源：整理自本部109至112年度陳報監察院相關案件資料。</w:t>
                                  </w:r>
                                </w:p>
                              </w:tc>
                            </w:tr>
                          </w:tbl>
                          <w:p w14:paraId="46561B73" w14:textId="77777777" w:rsidR="00A0212B" w:rsidRPr="004C166E" w:rsidRDefault="00A0212B" w:rsidP="003D5BE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416CFE" id="_x0000_s1051" type="#_x0000_t202" style="position:absolute;left:0;text-align:left;margin-left:-12.05pt;margin-top:94.35pt;width:520.25pt;height:593.45pt;z-index:251644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" stroked="f">
                <v:textbox>
                  <w:txbxContent>
                    <w:tbl>
                      <w:tblPr>
                        <w:tblStyle w:val="16121"/>
                        <w:tblW w:w="9928" w:type="dxa"/>
                        <w:tblInd w:w="137" w:type="dxa"/>
                        <w:tblLayout w:type="fixed"/>
                        <w:tblCellMar>
                          <w:left w:w="0" w:type="dxa"/>
                          <w:right w:w="0" w:type="dxa"/>
                        </w:tblCellMar>
                        <w:tblLook w:val="04A0" w:firstRow="1" w:lastRow="0" w:firstColumn="1" w:lastColumn="0" w:noHBand="0" w:noVBand="1"/>
                      </w:tblPr>
                      <w:tblGrid>
                        <w:gridCol w:w="289"/>
                        <w:gridCol w:w="1551"/>
                        <w:gridCol w:w="1839"/>
                        <w:gridCol w:w="2842"/>
                        <w:gridCol w:w="567"/>
                        <w:gridCol w:w="2840"/>
                      </w:tblGrid>
                      <w:tr w:rsidR="00A0212B" w:rsidRPr="004C166E" w14:paraId="3F26DCAC" w14:textId="77777777" w:rsidTr="00622CAD">
                        <w:tc>
                          <w:tcPr>
                            <w:tcW w:w="9928" w:type="dxa"/>
                            <w:gridSpan w:val="6"/>
                            <w:tcBorders>
                              <w:top w:val="nil"/>
                              <w:left w:val="nil"/>
                              <w:right w:val="nil"/>
                            </w:tcBorders>
                            <w:shd w:val="clear" w:color="auto" w:fill="auto"/>
                            <w:vAlign w:val="center"/>
                          </w:tcPr>
                          <w:p w14:paraId="306F76A1" w14:textId="073A027A" w:rsidR="00A0212B" w:rsidRPr="004C166E" w:rsidRDefault="00A0212B" w:rsidP="004D7C92">
                            <w:pPr>
                              <w:adjustRightInd w:val="0"/>
                              <w:snapToGrid w:val="0"/>
                              <w:spacing w:beforeLines="50" w:before="180" w:afterLines="50" w:after="180" w:line="240" w:lineRule="exact"/>
                              <w:ind w:leftChars="-9" w:left="747" w:hangingChars="320" w:hanging="769"/>
                              <w:jc w:val="center"/>
                              <w:rPr>
                                <w:rFonts w:ascii="標楷體" w:eastAsia="標楷體" w:hAnsi="標楷體"/>
                                <w:b/>
                              </w:rPr>
                            </w:pPr>
                            <w:r w:rsidRPr="004C166E">
                              <w:rPr>
                                <w:rFonts w:ascii="標楷體" w:eastAsia="標楷體" w:hAnsi="標楷體" w:hint="eastAsia"/>
                                <w:b/>
                              </w:rPr>
                              <w:t>表</w:t>
                            </w:r>
                            <w:r>
                              <w:rPr>
                                <w:rFonts w:ascii="標楷體" w:eastAsia="標楷體" w:hAnsi="標楷體"/>
                                <w:b/>
                              </w:rPr>
                              <w:t>13</w:t>
                            </w:r>
                            <w:r w:rsidRPr="004C166E">
                              <w:rPr>
                                <w:rFonts w:ascii="標楷體" w:eastAsia="標楷體" w:hAnsi="標楷體" w:hint="eastAsia"/>
                                <w:b/>
                              </w:rPr>
                              <w:t xml:space="preserve">　</w:t>
                            </w:r>
                            <w:r w:rsidRPr="00326A25">
                              <w:rPr>
                                <w:rFonts w:ascii="標楷體" w:eastAsia="標楷體" w:hAnsi="標楷體" w:hint="eastAsia"/>
                                <w:b/>
                              </w:rPr>
                              <w:t>109至112年度本部所屬機關單位陳報監察院案件涉及中央補助款者缺失態樣分析</w:t>
                            </w:r>
                          </w:p>
                        </w:tc>
                      </w:tr>
                      <w:tr w:rsidR="00A0212B" w:rsidRPr="004C166E" w14:paraId="246F05D7" w14:textId="77777777" w:rsidTr="00622CAD">
                        <w:tc>
                          <w:tcPr>
                            <w:tcW w:w="289" w:type="dxa"/>
                            <w:vMerge w:val="restart"/>
                            <w:shd w:val="clear" w:color="auto" w:fill="auto"/>
                            <w:vAlign w:val="center"/>
                          </w:tcPr>
                          <w:p w14:paraId="50EC98B0" w14:textId="77777777" w:rsidR="00A0212B" w:rsidRPr="004C166E" w:rsidRDefault="00A0212B" w:rsidP="00622CAD">
                            <w:pPr>
                              <w:spacing w:line="220" w:lineRule="exact"/>
                              <w:jc w:val="center"/>
                              <w:rPr>
                                <w:rFonts w:ascii="標楷體" w:eastAsia="標楷體" w:hAnsi="標楷體"/>
                                <w:spacing w:val="-20"/>
                                <w:sz w:val="20"/>
                                <w:szCs w:val="20"/>
                              </w:rPr>
                            </w:pPr>
                            <w:r w:rsidRPr="004C166E">
                              <w:rPr>
                                <w:rFonts w:ascii="標楷體" w:eastAsia="標楷體" w:hAnsi="標楷體" w:hint="eastAsia"/>
                                <w:spacing w:val="-20"/>
                                <w:sz w:val="20"/>
                                <w:szCs w:val="20"/>
                              </w:rPr>
                              <w:t>項次</w:t>
                            </w:r>
                          </w:p>
                        </w:tc>
                        <w:tc>
                          <w:tcPr>
                            <w:tcW w:w="1551" w:type="dxa"/>
                            <w:vMerge w:val="restart"/>
                            <w:shd w:val="clear" w:color="auto" w:fill="auto"/>
                            <w:vAlign w:val="center"/>
                          </w:tcPr>
                          <w:p w14:paraId="1FAA687D"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地方執行機關</w:t>
                            </w:r>
                          </w:p>
                          <w:p w14:paraId="67774100" w14:textId="77777777" w:rsidR="00A0212B" w:rsidRPr="004C166E" w:rsidRDefault="00A0212B" w:rsidP="00622CAD">
                            <w:pPr>
                              <w:spacing w:line="220" w:lineRule="exact"/>
                              <w:jc w:val="center"/>
                              <w:rPr>
                                <w:rFonts w:ascii="標楷體" w:eastAsia="標楷體" w:hAnsi="標楷體"/>
                                <w:spacing w:val="-20"/>
                                <w:sz w:val="20"/>
                                <w:szCs w:val="20"/>
                              </w:rPr>
                            </w:pPr>
                            <w:r w:rsidRPr="004C166E">
                              <w:rPr>
                                <w:rFonts w:ascii="標楷體" w:eastAsia="標楷體" w:hAnsi="標楷體" w:hint="eastAsia"/>
                                <w:spacing w:val="-20"/>
                                <w:sz w:val="20"/>
                                <w:szCs w:val="20"/>
                              </w:rPr>
                              <w:t>（中央補助機關）</w:t>
                            </w:r>
                          </w:p>
                        </w:tc>
                        <w:tc>
                          <w:tcPr>
                            <w:tcW w:w="1839" w:type="dxa"/>
                            <w:vMerge w:val="restart"/>
                            <w:shd w:val="clear" w:color="auto" w:fill="auto"/>
                            <w:vAlign w:val="center"/>
                          </w:tcPr>
                          <w:p w14:paraId="650582AD"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案名</w:t>
                            </w:r>
                          </w:p>
                        </w:tc>
                        <w:tc>
                          <w:tcPr>
                            <w:tcW w:w="2842" w:type="dxa"/>
                            <w:vMerge w:val="restart"/>
                            <w:shd w:val="clear" w:color="auto" w:fill="auto"/>
                            <w:vAlign w:val="center"/>
                          </w:tcPr>
                          <w:p w14:paraId="1F731359"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地方執行機關缺失態樣</w:t>
                            </w:r>
                          </w:p>
                        </w:tc>
                        <w:tc>
                          <w:tcPr>
                            <w:tcW w:w="3407" w:type="dxa"/>
                            <w:gridSpan w:val="2"/>
                            <w:shd w:val="clear" w:color="auto" w:fill="auto"/>
                            <w:vAlign w:val="center"/>
                          </w:tcPr>
                          <w:p w14:paraId="1CB9F169"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中央補助機關缺失態樣</w:t>
                            </w:r>
                          </w:p>
                        </w:tc>
                      </w:tr>
                      <w:tr w:rsidR="00A0212B" w:rsidRPr="004C166E" w14:paraId="74C69C18" w14:textId="77777777" w:rsidTr="00622CAD">
                        <w:tc>
                          <w:tcPr>
                            <w:tcW w:w="289" w:type="dxa"/>
                            <w:vMerge/>
                            <w:shd w:val="clear" w:color="auto" w:fill="auto"/>
                            <w:vAlign w:val="center"/>
                          </w:tcPr>
                          <w:p w14:paraId="523FC187" w14:textId="77777777" w:rsidR="00A0212B" w:rsidRPr="004C166E" w:rsidRDefault="00A0212B" w:rsidP="00622CAD">
                            <w:pPr>
                              <w:spacing w:line="220" w:lineRule="exact"/>
                              <w:jc w:val="center"/>
                              <w:rPr>
                                <w:rFonts w:ascii="標楷體" w:eastAsia="標楷體" w:hAnsi="標楷體"/>
                                <w:spacing w:val="-20"/>
                                <w:sz w:val="20"/>
                                <w:szCs w:val="20"/>
                              </w:rPr>
                            </w:pPr>
                          </w:p>
                        </w:tc>
                        <w:tc>
                          <w:tcPr>
                            <w:tcW w:w="1551" w:type="dxa"/>
                            <w:vMerge/>
                            <w:shd w:val="clear" w:color="auto" w:fill="auto"/>
                            <w:vAlign w:val="center"/>
                          </w:tcPr>
                          <w:p w14:paraId="72F02943" w14:textId="77777777" w:rsidR="00A0212B" w:rsidRPr="004C166E" w:rsidRDefault="00A0212B" w:rsidP="00622CAD">
                            <w:pPr>
                              <w:spacing w:line="220" w:lineRule="exact"/>
                              <w:jc w:val="center"/>
                              <w:rPr>
                                <w:rFonts w:ascii="標楷體" w:eastAsia="標楷體" w:hAnsi="標楷體"/>
                                <w:sz w:val="20"/>
                                <w:szCs w:val="20"/>
                              </w:rPr>
                            </w:pPr>
                          </w:p>
                        </w:tc>
                        <w:tc>
                          <w:tcPr>
                            <w:tcW w:w="1839" w:type="dxa"/>
                            <w:vMerge/>
                            <w:shd w:val="clear" w:color="auto" w:fill="auto"/>
                            <w:vAlign w:val="center"/>
                          </w:tcPr>
                          <w:p w14:paraId="026BEBA6" w14:textId="77777777" w:rsidR="00A0212B" w:rsidRPr="004C166E" w:rsidRDefault="00A0212B" w:rsidP="00622CAD">
                            <w:pPr>
                              <w:spacing w:line="220" w:lineRule="exact"/>
                              <w:jc w:val="center"/>
                              <w:rPr>
                                <w:rFonts w:ascii="標楷體" w:eastAsia="標楷體" w:hAnsi="標楷體"/>
                                <w:sz w:val="20"/>
                                <w:szCs w:val="20"/>
                              </w:rPr>
                            </w:pPr>
                          </w:p>
                        </w:tc>
                        <w:tc>
                          <w:tcPr>
                            <w:tcW w:w="2842" w:type="dxa"/>
                            <w:vMerge/>
                            <w:shd w:val="clear" w:color="auto" w:fill="auto"/>
                            <w:vAlign w:val="center"/>
                          </w:tcPr>
                          <w:p w14:paraId="013BFFF9" w14:textId="77777777" w:rsidR="00A0212B" w:rsidRPr="004C166E" w:rsidRDefault="00A0212B" w:rsidP="00622CAD">
                            <w:pPr>
                              <w:spacing w:line="220" w:lineRule="exact"/>
                              <w:jc w:val="center"/>
                              <w:rPr>
                                <w:rFonts w:ascii="標楷體" w:eastAsia="標楷體" w:hAnsi="標楷體"/>
                                <w:sz w:val="20"/>
                                <w:szCs w:val="20"/>
                              </w:rPr>
                            </w:pPr>
                          </w:p>
                        </w:tc>
                        <w:tc>
                          <w:tcPr>
                            <w:tcW w:w="567" w:type="dxa"/>
                            <w:shd w:val="clear" w:color="auto" w:fill="auto"/>
                            <w:vAlign w:val="center"/>
                          </w:tcPr>
                          <w:p w14:paraId="75D79D91"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pacing w:val="-20"/>
                                <w:sz w:val="20"/>
                                <w:szCs w:val="20"/>
                              </w:rPr>
                              <w:t>階段（註</w:t>
                            </w:r>
                            <w:r>
                              <w:rPr>
                                <w:rFonts w:ascii="標楷體" w:eastAsia="標楷體" w:hAnsi="標楷體" w:hint="eastAsia"/>
                                <w:spacing w:val="-20"/>
                                <w:sz w:val="20"/>
                                <w:szCs w:val="20"/>
                              </w:rPr>
                              <w:t>1</w:t>
                            </w:r>
                            <w:r w:rsidRPr="004C166E">
                              <w:rPr>
                                <w:rFonts w:ascii="標楷體" w:eastAsia="標楷體" w:hAnsi="標楷體" w:hint="eastAsia"/>
                                <w:spacing w:val="-20"/>
                                <w:sz w:val="20"/>
                                <w:szCs w:val="20"/>
                              </w:rPr>
                              <w:t>）</w:t>
                            </w:r>
                          </w:p>
                        </w:tc>
                        <w:tc>
                          <w:tcPr>
                            <w:tcW w:w="2840" w:type="dxa"/>
                            <w:shd w:val="clear" w:color="auto" w:fill="auto"/>
                            <w:vAlign w:val="center"/>
                          </w:tcPr>
                          <w:p w14:paraId="6BC4B7A8"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缺失態樣</w:t>
                            </w:r>
                          </w:p>
                        </w:tc>
                      </w:tr>
                      <w:tr w:rsidR="00A0212B" w:rsidRPr="004C166E" w14:paraId="20876780" w14:textId="77777777" w:rsidTr="00622CAD">
                        <w:trPr>
                          <w:trHeight w:val="503"/>
                        </w:trPr>
                        <w:tc>
                          <w:tcPr>
                            <w:tcW w:w="289" w:type="dxa"/>
                            <w:vMerge w:val="restart"/>
                            <w:vAlign w:val="center"/>
                          </w:tcPr>
                          <w:p w14:paraId="025F2C80"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1</w:t>
                            </w:r>
                          </w:p>
                        </w:tc>
                        <w:tc>
                          <w:tcPr>
                            <w:tcW w:w="1551" w:type="dxa"/>
                            <w:vMerge w:val="restart"/>
                            <w:vAlign w:val="center"/>
                          </w:tcPr>
                          <w:p w14:paraId="183ACDA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嘉義縣政府及嘉義縣水上鄉公所</w:t>
                            </w:r>
                          </w:p>
                          <w:p w14:paraId="22EFEDB1"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697E5300"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水上鄉嘉175線3K+310~4K+296道路拓寬工程執行情形</w:t>
                            </w:r>
                          </w:p>
                        </w:tc>
                        <w:tc>
                          <w:tcPr>
                            <w:tcW w:w="2842" w:type="dxa"/>
                            <w:vMerge w:val="restart"/>
                            <w:vAlign w:val="center"/>
                          </w:tcPr>
                          <w:p w14:paraId="6C8B44BA" w14:textId="77777777" w:rsidR="00A0212B" w:rsidRPr="004C166E" w:rsidRDefault="00A0212B" w:rsidP="00326A25">
                            <w:pPr>
                              <w:widowControl/>
                              <w:spacing w:line="220" w:lineRule="exact"/>
                              <w:ind w:left="200" w:hangingChars="100" w:hanging="200"/>
                              <w:jc w:val="both"/>
                              <w:rPr>
                                <w:rFonts w:ascii="標楷體" w:eastAsia="標楷體" w:hAnsi="標楷體"/>
                                <w:sz w:val="20"/>
                                <w:szCs w:val="20"/>
                              </w:rPr>
                            </w:pPr>
                            <w:r w:rsidRPr="004C166E">
                              <w:rPr>
                                <w:rFonts w:ascii="標楷體" w:eastAsia="標楷體" w:hAnsi="標楷體" w:hint="eastAsia"/>
                                <w:sz w:val="20"/>
                                <w:szCs w:val="20"/>
                              </w:rPr>
                              <w:t>1.</w:t>
                            </w:r>
                            <w:r w:rsidRPr="004D7C92">
                              <w:rPr>
                                <w:rFonts w:ascii="標楷體" w:eastAsia="標楷體" w:hAnsi="標楷體" w:hint="eastAsia"/>
                                <w:spacing w:val="4"/>
                                <w:sz w:val="20"/>
                              </w:rPr>
                              <w:t>修正計畫未經中央補助機關核定。</w:t>
                            </w:r>
                          </w:p>
                          <w:p w14:paraId="35D87B92" w14:textId="77777777" w:rsidR="00A0212B" w:rsidRPr="004D7C92" w:rsidRDefault="00A0212B" w:rsidP="00326A25">
                            <w:pPr>
                              <w:widowControl/>
                              <w:spacing w:line="220" w:lineRule="exact"/>
                              <w:jc w:val="both"/>
                              <w:rPr>
                                <w:rFonts w:ascii="標楷體" w:eastAsia="標楷體" w:hAnsi="標楷體"/>
                                <w:color w:val="000000" w:themeColor="text1"/>
                                <w:spacing w:val="-10"/>
                                <w:sz w:val="20"/>
                                <w:szCs w:val="20"/>
                              </w:rPr>
                            </w:pPr>
                            <w:r w:rsidRPr="004D7C92">
                              <w:rPr>
                                <w:rFonts w:ascii="標楷體" w:eastAsia="標楷體" w:hAnsi="標楷體"/>
                                <w:color w:val="000000" w:themeColor="text1"/>
                                <w:spacing w:val="-10"/>
                                <w:sz w:val="20"/>
                              </w:rPr>
                              <w:t>2.</w:t>
                            </w:r>
                            <w:r w:rsidRPr="004D7C92">
                              <w:rPr>
                                <w:rFonts w:ascii="標楷體" w:eastAsia="標楷體" w:hAnsi="標楷體" w:hint="eastAsia"/>
                                <w:color w:val="000000" w:themeColor="text1"/>
                                <w:sz w:val="20"/>
                              </w:rPr>
                              <w:t>未達補助計畫效益。</w:t>
                            </w:r>
                          </w:p>
                          <w:p w14:paraId="0C067A46" w14:textId="4DA53D93" w:rsidR="00A0212B" w:rsidRPr="004C166E" w:rsidRDefault="00A0212B" w:rsidP="00622CAD">
                            <w:pPr>
                              <w:widowControl/>
                              <w:spacing w:line="220" w:lineRule="exact"/>
                              <w:jc w:val="both"/>
                              <w:rPr>
                                <w:rFonts w:ascii="標楷體" w:eastAsia="標楷體" w:hAnsi="標楷體"/>
                                <w:sz w:val="20"/>
                                <w:szCs w:val="20"/>
                              </w:rPr>
                            </w:pPr>
                            <w:r w:rsidRPr="004D7C92">
                              <w:rPr>
                                <w:rFonts w:ascii="標楷體" w:eastAsia="標楷體" w:hAnsi="標楷體"/>
                                <w:color w:val="000000" w:themeColor="text1"/>
                                <w:sz w:val="20"/>
                              </w:rPr>
                              <w:t>3.延宕計畫期程。</w:t>
                            </w:r>
                          </w:p>
                        </w:tc>
                        <w:tc>
                          <w:tcPr>
                            <w:tcW w:w="567" w:type="dxa"/>
                            <w:vAlign w:val="center"/>
                          </w:tcPr>
                          <w:p w14:paraId="6F8D83F4"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230C0E25" w14:textId="77777777" w:rsidR="00A0212B" w:rsidRPr="004D7C92" w:rsidRDefault="00A0212B" w:rsidP="00622CAD">
                            <w:pPr>
                              <w:widowControl/>
                              <w:spacing w:line="220" w:lineRule="exact"/>
                              <w:jc w:val="both"/>
                              <w:rPr>
                                <w:rFonts w:ascii="標楷體" w:eastAsia="標楷體" w:hAnsi="標楷體"/>
                                <w:sz w:val="20"/>
                                <w:szCs w:val="20"/>
                              </w:rPr>
                            </w:pPr>
                            <w:r w:rsidRPr="004D7C92">
                              <w:rPr>
                                <w:rFonts w:ascii="標楷體" w:eastAsia="標楷體" w:hAnsi="標楷體" w:hint="eastAsia"/>
                                <w:sz w:val="20"/>
                              </w:rPr>
                              <w:t>未確實審查可行性評估報告及土地測量等資料。</w:t>
                            </w:r>
                          </w:p>
                        </w:tc>
                      </w:tr>
                      <w:tr w:rsidR="00A0212B" w:rsidRPr="004C166E" w14:paraId="17EE2E9E" w14:textId="77777777" w:rsidTr="00622CAD">
                        <w:trPr>
                          <w:trHeight w:val="509"/>
                        </w:trPr>
                        <w:tc>
                          <w:tcPr>
                            <w:tcW w:w="289" w:type="dxa"/>
                            <w:vMerge/>
                            <w:vAlign w:val="center"/>
                          </w:tcPr>
                          <w:p w14:paraId="059A6CF9"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10534D46"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66C82E79"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28ABD311" w14:textId="77777777" w:rsidR="00A0212B" w:rsidRPr="004C166E" w:rsidRDefault="00A0212B" w:rsidP="003D5BEE">
                            <w:pPr>
                              <w:widowControl/>
                              <w:numPr>
                                <w:ilvl w:val="0"/>
                                <w:numId w:val="3"/>
                              </w:numPr>
                              <w:spacing w:line="220" w:lineRule="exact"/>
                              <w:jc w:val="both"/>
                              <w:rPr>
                                <w:rFonts w:ascii="標楷體" w:eastAsia="標楷體" w:hAnsi="標楷體"/>
                                <w:sz w:val="20"/>
                                <w:szCs w:val="20"/>
                              </w:rPr>
                            </w:pPr>
                          </w:p>
                        </w:tc>
                        <w:tc>
                          <w:tcPr>
                            <w:tcW w:w="567" w:type="dxa"/>
                            <w:vAlign w:val="center"/>
                          </w:tcPr>
                          <w:p w14:paraId="62CCF75C"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6C3A697F" w14:textId="77777777" w:rsidR="00A0212B" w:rsidRPr="004C166E" w:rsidRDefault="00A0212B" w:rsidP="00622CAD">
                            <w:pPr>
                              <w:spacing w:line="220" w:lineRule="exact"/>
                              <w:jc w:val="both"/>
                              <w:rPr>
                                <w:rFonts w:ascii="標楷體" w:eastAsia="標楷體" w:hAnsi="標楷體"/>
                                <w:sz w:val="20"/>
                                <w:szCs w:val="20"/>
                              </w:rPr>
                            </w:pPr>
                            <w:r w:rsidRPr="004C166E">
                              <w:rPr>
                                <w:rFonts w:ascii="標楷體" w:eastAsia="標楷體" w:hAnsi="標楷體" w:hint="eastAsia"/>
                                <w:sz w:val="20"/>
                                <w:szCs w:val="20"/>
                              </w:rPr>
                              <w:t>進度落後時未積極探究原因並督導改善。</w:t>
                            </w:r>
                          </w:p>
                        </w:tc>
                      </w:tr>
                      <w:tr w:rsidR="00A0212B" w:rsidRPr="004C166E" w14:paraId="00380472" w14:textId="77777777" w:rsidTr="00622CAD">
                        <w:trPr>
                          <w:trHeight w:val="403"/>
                        </w:trPr>
                        <w:tc>
                          <w:tcPr>
                            <w:tcW w:w="289" w:type="dxa"/>
                            <w:vMerge w:val="restart"/>
                            <w:vAlign w:val="center"/>
                          </w:tcPr>
                          <w:p w14:paraId="277F1215"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2</w:t>
                            </w:r>
                          </w:p>
                        </w:tc>
                        <w:tc>
                          <w:tcPr>
                            <w:tcW w:w="1551" w:type="dxa"/>
                            <w:vMerge w:val="restart"/>
                            <w:vAlign w:val="center"/>
                          </w:tcPr>
                          <w:p w14:paraId="50E56953" w14:textId="77777777" w:rsidR="00A0212B" w:rsidRPr="004C166E" w:rsidRDefault="00A0212B" w:rsidP="00622CAD">
                            <w:pPr>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雲林縣政府</w:t>
                            </w:r>
                          </w:p>
                          <w:p w14:paraId="0C0669C0" w14:textId="77777777" w:rsidR="00A0212B" w:rsidRPr="004C166E" w:rsidRDefault="00A0212B" w:rsidP="00622CAD">
                            <w:pPr>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6D13A0FF" w14:textId="77777777" w:rsidR="00A0212B" w:rsidRPr="004C166E" w:rsidRDefault="00A0212B" w:rsidP="00622CAD">
                            <w:pPr>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西螺米食文化園區興建及營運情形</w:t>
                            </w:r>
                          </w:p>
                        </w:tc>
                        <w:tc>
                          <w:tcPr>
                            <w:tcW w:w="2842" w:type="dxa"/>
                            <w:vMerge w:val="restart"/>
                            <w:vAlign w:val="center"/>
                          </w:tcPr>
                          <w:p w14:paraId="157FE872" w14:textId="5AA178CD" w:rsidR="00A0212B" w:rsidRPr="004C166E" w:rsidRDefault="00A0212B">
                            <w:pPr>
                              <w:spacing w:line="220" w:lineRule="exact"/>
                              <w:jc w:val="both"/>
                              <w:rPr>
                                <w:rFonts w:ascii="標楷體" w:eastAsia="標楷體" w:hAnsi="標楷體"/>
                                <w:sz w:val="20"/>
                                <w:szCs w:val="20"/>
                              </w:rPr>
                            </w:pPr>
                            <w:r w:rsidRPr="004C166E">
                              <w:rPr>
                                <w:rFonts w:ascii="標楷體" w:eastAsia="標楷體" w:hAnsi="標楷體" w:hint="eastAsia"/>
                                <w:sz w:val="20"/>
                                <w:szCs w:val="20"/>
                              </w:rPr>
                              <w:t>停止營運。</w:t>
                            </w:r>
                          </w:p>
                        </w:tc>
                        <w:tc>
                          <w:tcPr>
                            <w:tcW w:w="567" w:type="dxa"/>
                            <w:vAlign w:val="center"/>
                          </w:tcPr>
                          <w:p w14:paraId="67051A1B"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49C75C98" w14:textId="77777777" w:rsidR="00A0212B" w:rsidRPr="004C166E" w:rsidRDefault="00A0212B" w:rsidP="00622CAD">
                            <w:pPr>
                              <w:spacing w:line="220" w:lineRule="exact"/>
                              <w:jc w:val="both"/>
                              <w:rPr>
                                <w:rFonts w:ascii="標楷體" w:eastAsia="標楷體" w:hAnsi="標楷體"/>
                                <w:sz w:val="20"/>
                                <w:szCs w:val="20"/>
                              </w:rPr>
                            </w:pPr>
                            <w:r w:rsidRPr="004C166E">
                              <w:rPr>
                                <w:rFonts w:ascii="標楷體" w:eastAsia="標楷體" w:hAnsi="標楷體" w:hint="eastAsia"/>
                                <w:sz w:val="20"/>
                                <w:szCs w:val="20"/>
                              </w:rPr>
                              <w:t>未要求提供符合補助條件之經營管理計畫。</w:t>
                            </w:r>
                          </w:p>
                        </w:tc>
                      </w:tr>
                      <w:tr w:rsidR="00A0212B" w:rsidRPr="004C166E" w14:paraId="7775A061" w14:textId="77777777" w:rsidTr="00622CAD">
                        <w:trPr>
                          <w:trHeight w:val="310"/>
                        </w:trPr>
                        <w:tc>
                          <w:tcPr>
                            <w:tcW w:w="289" w:type="dxa"/>
                            <w:vMerge/>
                            <w:vAlign w:val="center"/>
                          </w:tcPr>
                          <w:p w14:paraId="000F38FF"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630A4F39" w14:textId="77777777" w:rsidR="00A0212B" w:rsidRPr="004C166E" w:rsidRDefault="00A0212B" w:rsidP="00622CAD">
                            <w:pPr>
                              <w:spacing w:line="220" w:lineRule="exact"/>
                              <w:jc w:val="center"/>
                              <w:rPr>
                                <w:rFonts w:ascii="標楷體" w:eastAsia="標楷體" w:hAnsi="標楷體" w:cs="新細明體"/>
                                <w:color w:val="000000"/>
                                <w:kern w:val="0"/>
                                <w:sz w:val="20"/>
                                <w:szCs w:val="20"/>
                              </w:rPr>
                            </w:pPr>
                          </w:p>
                        </w:tc>
                        <w:tc>
                          <w:tcPr>
                            <w:tcW w:w="1839" w:type="dxa"/>
                            <w:vMerge/>
                            <w:vAlign w:val="center"/>
                          </w:tcPr>
                          <w:p w14:paraId="1D8E3BF4" w14:textId="77777777" w:rsidR="00A0212B" w:rsidRPr="004C166E" w:rsidRDefault="00A0212B" w:rsidP="00622CAD">
                            <w:pPr>
                              <w:spacing w:line="220" w:lineRule="exact"/>
                              <w:jc w:val="both"/>
                              <w:rPr>
                                <w:rFonts w:ascii="標楷體" w:eastAsia="標楷體" w:hAnsi="標楷體" w:cs="新細明體"/>
                                <w:color w:val="000000"/>
                                <w:kern w:val="0"/>
                                <w:sz w:val="20"/>
                                <w:szCs w:val="20"/>
                              </w:rPr>
                            </w:pPr>
                          </w:p>
                        </w:tc>
                        <w:tc>
                          <w:tcPr>
                            <w:tcW w:w="2842" w:type="dxa"/>
                            <w:vMerge/>
                            <w:vAlign w:val="center"/>
                          </w:tcPr>
                          <w:p w14:paraId="749EAF38" w14:textId="77777777" w:rsidR="00A0212B" w:rsidRPr="004C166E" w:rsidRDefault="00A0212B" w:rsidP="003D5BEE">
                            <w:pPr>
                              <w:numPr>
                                <w:ilvl w:val="0"/>
                                <w:numId w:val="4"/>
                              </w:numPr>
                              <w:spacing w:line="220" w:lineRule="exact"/>
                              <w:jc w:val="both"/>
                              <w:rPr>
                                <w:rFonts w:ascii="標楷體" w:eastAsia="標楷體" w:hAnsi="標楷體"/>
                                <w:sz w:val="20"/>
                                <w:szCs w:val="20"/>
                              </w:rPr>
                            </w:pPr>
                          </w:p>
                        </w:tc>
                        <w:tc>
                          <w:tcPr>
                            <w:tcW w:w="567" w:type="dxa"/>
                            <w:vAlign w:val="center"/>
                          </w:tcPr>
                          <w:p w14:paraId="06B4DE4D"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sz w:val="20"/>
                                <w:szCs w:val="20"/>
                              </w:rPr>
                              <w:t>4</w:t>
                            </w:r>
                          </w:p>
                        </w:tc>
                        <w:tc>
                          <w:tcPr>
                            <w:tcW w:w="2840" w:type="dxa"/>
                            <w:vAlign w:val="center"/>
                          </w:tcPr>
                          <w:p w14:paraId="63C0D343" w14:textId="77777777" w:rsidR="00A0212B" w:rsidRPr="00E31547" w:rsidRDefault="00A0212B" w:rsidP="00622CAD">
                            <w:pPr>
                              <w:spacing w:line="220" w:lineRule="exact"/>
                              <w:jc w:val="both"/>
                              <w:rPr>
                                <w:rFonts w:ascii="標楷體" w:eastAsia="標楷體" w:hAnsi="標楷體"/>
                                <w:spacing w:val="-4"/>
                                <w:sz w:val="20"/>
                                <w:szCs w:val="20"/>
                              </w:rPr>
                            </w:pPr>
                            <w:r w:rsidRPr="00E31547">
                              <w:rPr>
                                <w:rFonts w:ascii="標楷體" w:eastAsia="標楷體" w:hAnsi="標楷體" w:hint="eastAsia"/>
                                <w:spacing w:val="-4"/>
                                <w:sz w:val="20"/>
                              </w:rPr>
                              <w:t>未追蹤後續經營管理及維護情形。</w:t>
                            </w:r>
                          </w:p>
                        </w:tc>
                      </w:tr>
                      <w:tr w:rsidR="00A0212B" w:rsidRPr="004C166E" w14:paraId="71F9FFE8" w14:textId="77777777" w:rsidTr="00622CAD">
                        <w:tc>
                          <w:tcPr>
                            <w:tcW w:w="289" w:type="dxa"/>
                            <w:vAlign w:val="center"/>
                          </w:tcPr>
                          <w:p w14:paraId="7696B0C8"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3</w:t>
                            </w:r>
                          </w:p>
                        </w:tc>
                        <w:tc>
                          <w:tcPr>
                            <w:tcW w:w="1551" w:type="dxa"/>
                            <w:vAlign w:val="center"/>
                          </w:tcPr>
                          <w:p w14:paraId="0E08D921"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臺中市政府</w:t>
                            </w:r>
                          </w:p>
                          <w:p w14:paraId="047E6CD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（農業部）</w:t>
                            </w:r>
                          </w:p>
                        </w:tc>
                        <w:tc>
                          <w:tcPr>
                            <w:tcW w:w="1839" w:type="dxa"/>
                            <w:vAlign w:val="center"/>
                          </w:tcPr>
                          <w:p w14:paraId="0121D072"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2018臺中世界花卉博覽會執行情形</w:t>
                            </w:r>
                          </w:p>
                        </w:tc>
                        <w:tc>
                          <w:tcPr>
                            <w:tcW w:w="2842" w:type="dxa"/>
                            <w:vAlign w:val="center"/>
                          </w:tcPr>
                          <w:p w14:paraId="09464736"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1.未覈實編列歲入預算。</w:t>
                            </w:r>
                          </w:p>
                          <w:p w14:paraId="68269305"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2.花博卡閒置。</w:t>
                            </w:r>
                          </w:p>
                        </w:tc>
                        <w:tc>
                          <w:tcPr>
                            <w:tcW w:w="567" w:type="dxa"/>
                            <w:vAlign w:val="center"/>
                          </w:tcPr>
                          <w:p w14:paraId="2AE31932"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654A6462"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未督促依原核定計畫之營運收入目標落實執行。</w:t>
                            </w:r>
                          </w:p>
                        </w:tc>
                      </w:tr>
                      <w:tr w:rsidR="00A0212B" w:rsidRPr="004C166E" w14:paraId="6F18CFD6" w14:textId="77777777" w:rsidTr="00622CAD">
                        <w:trPr>
                          <w:trHeight w:val="340"/>
                        </w:trPr>
                        <w:tc>
                          <w:tcPr>
                            <w:tcW w:w="289" w:type="dxa"/>
                            <w:vMerge w:val="restart"/>
                            <w:vAlign w:val="center"/>
                          </w:tcPr>
                          <w:p w14:paraId="1EDB4E3C"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4</w:t>
                            </w:r>
                          </w:p>
                        </w:tc>
                        <w:tc>
                          <w:tcPr>
                            <w:tcW w:w="1551" w:type="dxa"/>
                            <w:vMerge w:val="restart"/>
                            <w:vAlign w:val="center"/>
                          </w:tcPr>
                          <w:p w14:paraId="5E551D73" w14:textId="77777777" w:rsidR="00A0212B" w:rsidRPr="004C166E" w:rsidRDefault="00A0212B" w:rsidP="00622CAD">
                            <w:pPr>
                              <w:widowControl/>
                              <w:spacing w:line="220" w:lineRule="exact"/>
                              <w:jc w:val="center"/>
                              <w:rPr>
                                <w:rFonts w:ascii="標楷體" w:eastAsia="標楷體" w:hAnsi="標楷體" w:cs="新細明體"/>
                                <w:color w:val="000000"/>
                                <w:spacing w:val="-10"/>
                                <w:kern w:val="0"/>
                                <w:sz w:val="20"/>
                                <w:szCs w:val="20"/>
                              </w:rPr>
                            </w:pPr>
                            <w:r w:rsidRPr="004C166E">
                              <w:rPr>
                                <w:rFonts w:ascii="標楷體" w:eastAsia="標楷體" w:hAnsi="標楷體" w:cs="新細明體" w:hint="eastAsia"/>
                                <w:color w:val="000000"/>
                                <w:spacing w:val="-10"/>
                                <w:kern w:val="0"/>
                                <w:sz w:val="20"/>
                                <w:szCs w:val="20"/>
                              </w:rPr>
                              <w:t>苗栗縣南庄鄉公所</w:t>
                            </w:r>
                          </w:p>
                          <w:p w14:paraId="0257B3D3"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799A6078"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中港溪高灘地遊憩環境營造計畫執行情形</w:t>
                            </w:r>
                          </w:p>
                        </w:tc>
                        <w:tc>
                          <w:tcPr>
                            <w:tcW w:w="2842" w:type="dxa"/>
                            <w:vMerge w:val="restart"/>
                            <w:vAlign w:val="center"/>
                          </w:tcPr>
                          <w:p w14:paraId="3273CBFD"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1.延宕計畫期程。</w:t>
                            </w:r>
                          </w:p>
                          <w:p w14:paraId="1F658526"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2.閒置。</w:t>
                            </w:r>
                          </w:p>
                        </w:tc>
                        <w:tc>
                          <w:tcPr>
                            <w:tcW w:w="567" w:type="dxa"/>
                            <w:vAlign w:val="center"/>
                          </w:tcPr>
                          <w:p w14:paraId="14B1CD49"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041D3221"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未審查工程用地之使用許可。</w:t>
                            </w:r>
                          </w:p>
                        </w:tc>
                      </w:tr>
                      <w:tr w:rsidR="00A0212B" w:rsidRPr="004C166E" w14:paraId="29338EB1" w14:textId="77777777" w:rsidTr="00622CAD">
                        <w:trPr>
                          <w:trHeight w:val="327"/>
                        </w:trPr>
                        <w:tc>
                          <w:tcPr>
                            <w:tcW w:w="289" w:type="dxa"/>
                            <w:vMerge/>
                            <w:vAlign w:val="center"/>
                          </w:tcPr>
                          <w:p w14:paraId="25EA3942"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25A35DD6"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0753B1D0"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30D92E96" w14:textId="77777777" w:rsidR="00A0212B" w:rsidRPr="004C166E" w:rsidRDefault="00A0212B" w:rsidP="003D5BEE">
                            <w:pPr>
                              <w:widowControl/>
                              <w:numPr>
                                <w:ilvl w:val="0"/>
                                <w:numId w:val="5"/>
                              </w:numPr>
                              <w:spacing w:line="220" w:lineRule="exact"/>
                              <w:jc w:val="both"/>
                              <w:rPr>
                                <w:rFonts w:ascii="標楷體" w:eastAsia="標楷體" w:hAnsi="標楷體"/>
                                <w:sz w:val="20"/>
                                <w:szCs w:val="20"/>
                              </w:rPr>
                            </w:pPr>
                          </w:p>
                        </w:tc>
                        <w:tc>
                          <w:tcPr>
                            <w:tcW w:w="567" w:type="dxa"/>
                            <w:vAlign w:val="center"/>
                          </w:tcPr>
                          <w:p w14:paraId="16DD08E9"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38AB9302"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未落實管考計畫執行進度。</w:t>
                            </w:r>
                          </w:p>
                        </w:tc>
                      </w:tr>
                      <w:tr w:rsidR="00A0212B" w:rsidRPr="004C166E" w14:paraId="0B488B05" w14:textId="77777777" w:rsidTr="00622CAD">
                        <w:trPr>
                          <w:trHeight w:val="390"/>
                        </w:trPr>
                        <w:tc>
                          <w:tcPr>
                            <w:tcW w:w="289" w:type="dxa"/>
                            <w:vMerge/>
                            <w:vAlign w:val="center"/>
                          </w:tcPr>
                          <w:p w14:paraId="39F5E369"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2921F51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16C3FA7A"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776CD79C" w14:textId="77777777" w:rsidR="00A0212B" w:rsidRPr="004C166E" w:rsidRDefault="00A0212B" w:rsidP="003D5BEE">
                            <w:pPr>
                              <w:widowControl/>
                              <w:numPr>
                                <w:ilvl w:val="0"/>
                                <w:numId w:val="5"/>
                              </w:numPr>
                              <w:spacing w:line="220" w:lineRule="exact"/>
                              <w:jc w:val="both"/>
                              <w:rPr>
                                <w:rFonts w:ascii="標楷體" w:eastAsia="標楷體" w:hAnsi="標楷體"/>
                                <w:sz w:val="20"/>
                                <w:szCs w:val="20"/>
                              </w:rPr>
                            </w:pPr>
                          </w:p>
                        </w:tc>
                        <w:tc>
                          <w:tcPr>
                            <w:tcW w:w="567" w:type="dxa"/>
                            <w:vAlign w:val="center"/>
                          </w:tcPr>
                          <w:p w14:paraId="25986BD7"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3</w:t>
                            </w:r>
                          </w:p>
                        </w:tc>
                        <w:tc>
                          <w:tcPr>
                            <w:tcW w:w="2840" w:type="dxa"/>
                            <w:vAlign w:val="center"/>
                          </w:tcPr>
                          <w:p w14:paraId="636DEDCC"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未查察處理受補助地方政府未依核定計畫執行且擅自變更增減施作項目。</w:t>
                            </w:r>
                          </w:p>
                        </w:tc>
                      </w:tr>
                      <w:tr w:rsidR="00A0212B" w:rsidRPr="004C166E" w14:paraId="59A457B8" w14:textId="77777777" w:rsidTr="00622CAD">
                        <w:trPr>
                          <w:trHeight w:val="253"/>
                        </w:trPr>
                        <w:tc>
                          <w:tcPr>
                            <w:tcW w:w="289" w:type="dxa"/>
                            <w:vMerge/>
                            <w:vAlign w:val="center"/>
                          </w:tcPr>
                          <w:p w14:paraId="790A0578"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1080D7D0"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39E40CEC"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7CD082B6" w14:textId="77777777" w:rsidR="00A0212B" w:rsidRPr="004C166E" w:rsidRDefault="00A0212B" w:rsidP="003D5BEE">
                            <w:pPr>
                              <w:widowControl/>
                              <w:numPr>
                                <w:ilvl w:val="0"/>
                                <w:numId w:val="5"/>
                              </w:numPr>
                              <w:spacing w:line="220" w:lineRule="exact"/>
                              <w:jc w:val="both"/>
                              <w:rPr>
                                <w:rFonts w:ascii="標楷體" w:eastAsia="標楷體" w:hAnsi="標楷體"/>
                                <w:sz w:val="20"/>
                                <w:szCs w:val="20"/>
                              </w:rPr>
                            </w:pPr>
                          </w:p>
                        </w:tc>
                        <w:tc>
                          <w:tcPr>
                            <w:tcW w:w="567" w:type="dxa"/>
                            <w:vAlign w:val="center"/>
                          </w:tcPr>
                          <w:p w14:paraId="66337D2C"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4</w:t>
                            </w:r>
                          </w:p>
                        </w:tc>
                        <w:tc>
                          <w:tcPr>
                            <w:tcW w:w="2840" w:type="dxa"/>
                            <w:vAlign w:val="center"/>
                          </w:tcPr>
                          <w:p w14:paraId="6055E0F7"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未控管工程完工後實際營運情形。</w:t>
                            </w:r>
                          </w:p>
                        </w:tc>
                      </w:tr>
                      <w:tr w:rsidR="00A0212B" w:rsidRPr="004C166E" w14:paraId="5368E2C1" w14:textId="77777777" w:rsidTr="00622CAD">
                        <w:trPr>
                          <w:trHeight w:val="459"/>
                        </w:trPr>
                        <w:tc>
                          <w:tcPr>
                            <w:tcW w:w="289" w:type="dxa"/>
                            <w:vMerge w:val="restart"/>
                            <w:vAlign w:val="center"/>
                          </w:tcPr>
                          <w:p w14:paraId="10C60E94"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5</w:t>
                            </w:r>
                          </w:p>
                        </w:tc>
                        <w:tc>
                          <w:tcPr>
                            <w:tcW w:w="1551" w:type="dxa"/>
                            <w:vMerge w:val="restart"/>
                            <w:vAlign w:val="center"/>
                          </w:tcPr>
                          <w:p w14:paraId="192A0A5A" w14:textId="77777777" w:rsidR="00A0212B" w:rsidRPr="004C166E" w:rsidRDefault="00A0212B" w:rsidP="00622CAD">
                            <w:pPr>
                              <w:widowControl/>
                              <w:spacing w:line="220" w:lineRule="exact"/>
                              <w:jc w:val="center"/>
                              <w:rPr>
                                <w:rFonts w:ascii="標楷體" w:eastAsia="標楷體" w:hAnsi="標楷體" w:cs="新細明體"/>
                                <w:color w:val="000000"/>
                                <w:spacing w:val="-10"/>
                                <w:kern w:val="0"/>
                                <w:sz w:val="20"/>
                                <w:szCs w:val="20"/>
                              </w:rPr>
                            </w:pPr>
                            <w:r w:rsidRPr="004C166E">
                              <w:rPr>
                                <w:rFonts w:ascii="標楷體" w:eastAsia="標楷體" w:hAnsi="標楷體" w:cs="新細明體" w:hint="eastAsia"/>
                                <w:color w:val="000000"/>
                                <w:spacing w:val="-10"/>
                                <w:kern w:val="0"/>
                                <w:sz w:val="20"/>
                                <w:szCs w:val="20"/>
                              </w:rPr>
                              <w:t>宜蘭縣蘇澳鎮公所</w:t>
                            </w:r>
                          </w:p>
                          <w:p w14:paraId="7CDBD637"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18B5ECAD"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蘇澳冷泉再造特色加值計畫情形</w:t>
                            </w:r>
                          </w:p>
                        </w:tc>
                        <w:tc>
                          <w:tcPr>
                            <w:tcW w:w="2842" w:type="dxa"/>
                            <w:vMerge w:val="restart"/>
                            <w:vAlign w:val="center"/>
                          </w:tcPr>
                          <w:p w14:paraId="16456385"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1.未依核定計畫執行。</w:t>
                            </w:r>
                          </w:p>
                          <w:p w14:paraId="62C8068B" w14:textId="74031479" w:rsidR="00A0212B" w:rsidRPr="004C166E" w:rsidRDefault="00A0212B">
                            <w:pPr>
                              <w:widowControl/>
                              <w:spacing w:line="220" w:lineRule="exact"/>
                              <w:jc w:val="both"/>
                              <w:rPr>
                                <w:rFonts w:ascii="標楷體" w:eastAsia="標楷體" w:hAnsi="標楷體"/>
                                <w:sz w:val="20"/>
                                <w:szCs w:val="20"/>
                              </w:rPr>
                            </w:pPr>
                            <w:r>
                              <w:rPr>
                                <w:rFonts w:ascii="標楷體" w:eastAsia="標楷體" w:hAnsi="標楷體"/>
                                <w:sz w:val="20"/>
                                <w:szCs w:val="20"/>
                              </w:rPr>
                              <w:t>2</w:t>
                            </w:r>
                            <w:r w:rsidRPr="004C166E">
                              <w:rPr>
                                <w:rFonts w:ascii="標楷體" w:eastAsia="標楷體" w:hAnsi="標楷體" w:hint="eastAsia"/>
                                <w:sz w:val="20"/>
                                <w:szCs w:val="20"/>
                              </w:rPr>
                              <w:t>.閒置。</w:t>
                            </w:r>
                          </w:p>
                        </w:tc>
                        <w:tc>
                          <w:tcPr>
                            <w:tcW w:w="567" w:type="dxa"/>
                            <w:vAlign w:val="center"/>
                          </w:tcPr>
                          <w:p w14:paraId="2EAFF4C3"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2F4DB6C1"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未確實審查經費、期程，確認水權申請與冷泉供應量能否承載設計構想。</w:t>
                            </w:r>
                          </w:p>
                        </w:tc>
                      </w:tr>
                      <w:tr w:rsidR="00A0212B" w:rsidRPr="004C166E" w14:paraId="73893505" w14:textId="77777777" w:rsidTr="00622CAD">
                        <w:trPr>
                          <w:trHeight w:val="280"/>
                        </w:trPr>
                        <w:tc>
                          <w:tcPr>
                            <w:tcW w:w="289" w:type="dxa"/>
                            <w:vMerge/>
                            <w:vAlign w:val="center"/>
                          </w:tcPr>
                          <w:p w14:paraId="79CFDB61"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36200D34"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06A74C33"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5B22FEDE" w14:textId="77777777" w:rsidR="00A0212B" w:rsidRPr="004C166E" w:rsidRDefault="00A0212B" w:rsidP="003D5BEE">
                            <w:pPr>
                              <w:widowControl/>
                              <w:numPr>
                                <w:ilvl w:val="0"/>
                                <w:numId w:val="6"/>
                              </w:numPr>
                              <w:spacing w:line="220" w:lineRule="exact"/>
                              <w:jc w:val="both"/>
                              <w:rPr>
                                <w:rFonts w:ascii="標楷體" w:eastAsia="標楷體" w:hAnsi="標楷體"/>
                                <w:sz w:val="20"/>
                                <w:szCs w:val="20"/>
                              </w:rPr>
                            </w:pPr>
                          </w:p>
                        </w:tc>
                        <w:tc>
                          <w:tcPr>
                            <w:tcW w:w="567" w:type="dxa"/>
                            <w:vAlign w:val="center"/>
                          </w:tcPr>
                          <w:p w14:paraId="68986948"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3A0BD8CE"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未落實督導考核計畫執行缺失。</w:t>
                            </w:r>
                          </w:p>
                        </w:tc>
                      </w:tr>
                      <w:tr w:rsidR="00A0212B" w:rsidRPr="004C166E" w14:paraId="4614C4BF" w14:textId="77777777" w:rsidTr="00622CAD">
                        <w:trPr>
                          <w:trHeight w:val="409"/>
                        </w:trPr>
                        <w:tc>
                          <w:tcPr>
                            <w:tcW w:w="289" w:type="dxa"/>
                            <w:vMerge w:val="restart"/>
                            <w:vAlign w:val="center"/>
                          </w:tcPr>
                          <w:p w14:paraId="71C3E704"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6</w:t>
                            </w:r>
                          </w:p>
                        </w:tc>
                        <w:tc>
                          <w:tcPr>
                            <w:tcW w:w="1551" w:type="dxa"/>
                            <w:vMerge w:val="restart"/>
                            <w:vAlign w:val="center"/>
                          </w:tcPr>
                          <w:p w14:paraId="03827B5E"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花蓮縣政府</w:t>
                            </w:r>
                          </w:p>
                          <w:p w14:paraId="3FC382D1" w14:textId="77777777" w:rsidR="00A0212B" w:rsidRPr="00675F97" w:rsidRDefault="00A0212B" w:rsidP="00622CAD">
                            <w:pPr>
                              <w:widowControl/>
                              <w:spacing w:line="220" w:lineRule="exact"/>
                              <w:jc w:val="center"/>
                              <w:rPr>
                                <w:rFonts w:ascii="標楷體" w:eastAsia="標楷體" w:hAnsi="標楷體" w:cs="新細明體"/>
                                <w:color w:val="000000"/>
                                <w:spacing w:val="-12"/>
                                <w:kern w:val="0"/>
                                <w:sz w:val="20"/>
                                <w:szCs w:val="20"/>
                              </w:rPr>
                            </w:pPr>
                            <w:r w:rsidRPr="00675F97">
                              <w:rPr>
                                <w:rFonts w:ascii="標楷體" w:eastAsia="標楷體" w:hAnsi="標楷體" w:cs="新細明體" w:hint="eastAsia"/>
                                <w:color w:val="000000"/>
                                <w:spacing w:val="-12"/>
                                <w:kern w:val="0"/>
                                <w:sz w:val="20"/>
                                <w:szCs w:val="20"/>
                              </w:rPr>
                              <w:t>（原住民族</w:t>
                            </w:r>
                            <w:r w:rsidRPr="00675F97">
                              <w:rPr>
                                <w:rFonts w:ascii="標楷體" w:eastAsia="標楷體" w:hAnsi="標楷體" w:cs="新細明體"/>
                                <w:color w:val="000000"/>
                                <w:spacing w:val="-12"/>
                                <w:kern w:val="0"/>
                                <w:sz w:val="20"/>
                                <w:szCs w:val="20"/>
                              </w:rPr>
                              <w:t>委員</w:t>
                            </w:r>
                            <w:r w:rsidRPr="00675F97">
                              <w:rPr>
                                <w:rFonts w:ascii="標楷體" w:eastAsia="標楷體" w:hAnsi="標楷體" w:cs="新細明體" w:hint="eastAsia"/>
                                <w:color w:val="000000"/>
                                <w:spacing w:val="-12"/>
                                <w:kern w:val="0"/>
                                <w:sz w:val="20"/>
                                <w:szCs w:val="20"/>
                              </w:rPr>
                              <w:t>會）</w:t>
                            </w:r>
                          </w:p>
                        </w:tc>
                        <w:tc>
                          <w:tcPr>
                            <w:tcW w:w="1839" w:type="dxa"/>
                            <w:vMerge w:val="restart"/>
                            <w:vAlign w:val="center"/>
                          </w:tcPr>
                          <w:p w14:paraId="4A7E5235"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r w:rsidRPr="004C166E">
                              <w:rPr>
                                <w:rFonts w:ascii="標楷體" w:eastAsia="標楷體" w:hAnsi="標楷體" w:cs="新細明體" w:hint="eastAsia"/>
                                <w:bCs/>
                                <w:color w:val="000000"/>
                                <w:kern w:val="0"/>
                                <w:sz w:val="20"/>
                                <w:szCs w:val="20"/>
                              </w:rPr>
                              <w:t>原住民族文創產業行銷發展計畫情形</w:t>
                            </w:r>
                          </w:p>
                        </w:tc>
                        <w:tc>
                          <w:tcPr>
                            <w:tcW w:w="2842" w:type="dxa"/>
                            <w:vMerge w:val="restart"/>
                            <w:vAlign w:val="center"/>
                          </w:tcPr>
                          <w:p w14:paraId="77A6324C" w14:textId="074E54A9" w:rsidR="00A0212B" w:rsidRPr="004C166E" w:rsidRDefault="00A0212B">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延宕執行期程。</w:t>
                            </w:r>
                          </w:p>
                        </w:tc>
                        <w:tc>
                          <w:tcPr>
                            <w:tcW w:w="567" w:type="dxa"/>
                            <w:vAlign w:val="center"/>
                          </w:tcPr>
                          <w:p w14:paraId="3DE49382"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04FBAC7C"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未周妥評估變更基地方案即准予變更計畫。</w:t>
                            </w:r>
                          </w:p>
                        </w:tc>
                      </w:tr>
                      <w:tr w:rsidR="00A0212B" w:rsidRPr="004C166E" w14:paraId="1C78AD2B" w14:textId="77777777" w:rsidTr="00622CAD">
                        <w:trPr>
                          <w:trHeight w:val="377"/>
                        </w:trPr>
                        <w:tc>
                          <w:tcPr>
                            <w:tcW w:w="289" w:type="dxa"/>
                            <w:vMerge/>
                            <w:vAlign w:val="center"/>
                          </w:tcPr>
                          <w:p w14:paraId="25CCB9F7"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3A0705C2"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3A74B2D4"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p>
                        </w:tc>
                        <w:tc>
                          <w:tcPr>
                            <w:tcW w:w="2842" w:type="dxa"/>
                            <w:vMerge/>
                            <w:vAlign w:val="center"/>
                          </w:tcPr>
                          <w:p w14:paraId="29FD3034" w14:textId="77777777" w:rsidR="00A0212B" w:rsidRPr="004C166E" w:rsidRDefault="00A0212B" w:rsidP="003D5BEE">
                            <w:pPr>
                              <w:widowControl/>
                              <w:numPr>
                                <w:ilvl w:val="0"/>
                                <w:numId w:val="7"/>
                              </w:numPr>
                              <w:spacing w:line="220" w:lineRule="exact"/>
                              <w:jc w:val="both"/>
                              <w:rPr>
                                <w:rFonts w:ascii="標楷體" w:eastAsia="標楷體" w:hAnsi="標楷體"/>
                                <w:sz w:val="20"/>
                                <w:szCs w:val="20"/>
                              </w:rPr>
                            </w:pPr>
                          </w:p>
                        </w:tc>
                        <w:tc>
                          <w:tcPr>
                            <w:tcW w:w="567" w:type="dxa"/>
                            <w:vAlign w:val="center"/>
                          </w:tcPr>
                          <w:p w14:paraId="712F15C7"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366359CC"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未覈實撥付補助款，並於執行延宕時介入輔導。</w:t>
                            </w:r>
                          </w:p>
                        </w:tc>
                      </w:tr>
                      <w:tr w:rsidR="00A0212B" w:rsidRPr="004C166E" w14:paraId="6F43964C" w14:textId="77777777" w:rsidTr="00622CAD">
                        <w:tc>
                          <w:tcPr>
                            <w:tcW w:w="289" w:type="dxa"/>
                            <w:vAlign w:val="center"/>
                          </w:tcPr>
                          <w:p w14:paraId="5C981E17"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7</w:t>
                            </w:r>
                          </w:p>
                        </w:tc>
                        <w:tc>
                          <w:tcPr>
                            <w:tcW w:w="1551" w:type="dxa"/>
                            <w:vAlign w:val="center"/>
                          </w:tcPr>
                          <w:p w14:paraId="52C73F88"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新竹市政府</w:t>
                            </w:r>
                          </w:p>
                          <w:p w14:paraId="40DD22D1"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（教育部）</w:t>
                            </w:r>
                          </w:p>
                        </w:tc>
                        <w:tc>
                          <w:tcPr>
                            <w:tcW w:w="1839" w:type="dxa"/>
                            <w:vAlign w:val="center"/>
                          </w:tcPr>
                          <w:p w14:paraId="7E8D80AB"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r w:rsidRPr="004C166E">
                              <w:rPr>
                                <w:rFonts w:ascii="標楷體" w:eastAsia="標楷體" w:hAnsi="標楷體" w:cs="新細明體" w:hint="eastAsia"/>
                                <w:bCs/>
                                <w:color w:val="000000"/>
                                <w:kern w:val="0"/>
                                <w:sz w:val="20"/>
                                <w:szCs w:val="20"/>
                              </w:rPr>
                              <w:t>新竹市立棒球場興整建計畫執行情形</w:t>
                            </w:r>
                          </w:p>
                        </w:tc>
                        <w:tc>
                          <w:tcPr>
                            <w:tcW w:w="2842" w:type="dxa"/>
                            <w:vAlign w:val="center"/>
                          </w:tcPr>
                          <w:p w14:paraId="158E0AAC" w14:textId="77777777" w:rsidR="00A0212B" w:rsidRDefault="00A0212B" w:rsidP="00622CAD">
                            <w:pPr>
                              <w:widowControl/>
                              <w:spacing w:line="220" w:lineRule="exact"/>
                              <w:ind w:left="180" w:hangingChars="100" w:hanging="180"/>
                              <w:jc w:val="both"/>
                              <w:rPr>
                                <w:rFonts w:ascii="標楷體" w:eastAsia="標楷體" w:hAnsi="標楷體"/>
                                <w:sz w:val="20"/>
                                <w:szCs w:val="20"/>
                              </w:rPr>
                            </w:pPr>
                            <w:r w:rsidRPr="004C166E">
                              <w:rPr>
                                <w:rFonts w:ascii="標楷體" w:eastAsia="標楷體" w:hAnsi="標楷體" w:hint="eastAsia"/>
                                <w:spacing w:val="-10"/>
                                <w:sz w:val="20"/>
                                <w:szCs w:val="20"/>
                              </w:rPr>
                              <w:t>1.</w:t>
                            </w:r>
                            <w:r w:rsidRPr="004C166E">
                              <w:rPr>
                                <w:rFonts w:ascii="標楷體" w:eastAsia="標楷體" w:hAnsi="標楷體" w:hint="eastAsia"/>
                                <w:sz w:val="20"/>
                                <w:szCs w:val="20"/>
                              </w:rPr>
                              <w:t>施工品質不良。</w:t>
                            </w:r>
                          </w:p>
                          <w:p w14:paraId="053C275A" w14:textId="77777777" w:rsidR="00A0212B" w:rsidRPr="004B52B7" w:rsidRDefault="00A0212B" w:rsidP="00622CAD">
                            <w:pPr>
                              <w:widowControl/>
                              <w:spacing w:line="220" w:lineRule="exact"/>
                              <w:ind w:left="200" w:hangingChars="100" w:hanging="200"/>
                              <w:jc w:val="both"/>
                              <w:rPr>
                                <w:rFonts w:ascii="標楷體" w:eastAsia="標楷體" w:hAnsi="標楷體"/>
                                <w:spacing w:val="-10"/>
                                <w:sz w:val="20"/>
                                <w:szCs w:val="20"/>
                              </w:rPr>
                            </w:pPr>
                            <w:r>
                              <w:rPr>
                                <w:rFonts w:ascii="標楷體" w:eastAsia="標楷體" w:hAnsi="標楷體" w:hint="eastAsia"/>
                                <w:sz w:val="20"/>
                                <w:szCs w:val="20"/>
                              </w:rPr>
                              <w:t>2</w:t>
                            </w:r>
                            <w:r>
                              <w:rPr>
                                <w:rFonts w:ascii="標楷體" w:eastAsia="標楷體" w:hAnsi="標楷體"/>
                                <w:sz w:val="20"/>
                                <w:szCs w:val="20"/>
                              </w:rPr>
                              <w:t>.工程尚未完工驗收即點交</w:t>
                            </w:r>
                            <w:r>
                              <w:rPr>
                                <w:rFonts w:ascii="標楷體" w:eastAsia="標楷體" w:hAnsi="標楷體" w:hint="eastAsia"/>
                                <w:sz w:val="20"/>
                                <w:szCs w:val="20"/>
                              </w:rPr>
                              <w:t>廠商</w:t>
                            </w:r>
                            <w:r>
                              <w:rPr>
                                <w:rFonts w:ascii="標楷體" w:eastAsia="標楷體" w:hAnsi="標楷體"/>
                                <w:sz w:val="20"/>
                                <w:szCs w:val="20"/>
                              </w:rPr>
                              <w:t>營運。</w:t>
                            </w:r>
                          </w:p>
                        </w:tc>
                        <w:tc>
                          <w:tcPr>
                            <w:tcW w:w="567" w:type="dxa"/>
                            <w:vAlign w:val="center"/>
                          </w:tcPr>
                          <w:p w14:paraId="6FBE6A61"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7703FE66" w14:textId="77777777" w:rsidR="00A0212B" w:rsidRPr="004C166E" w:rsidRDefault="00A0212B" w:rsidP="00622CAD">
                            <w:pPr>
                              <w:widowControl/>
                              <w:spacing w:line="220" w:lineRule="exact"/>
                              <w:jc w:val="both"/>
                              <w:rPr>
                                <w:rFonts w:ascii="標楷體" w:eastAsia="標楷體" w:hAnsi="標楷體"/>
                                <w:spacing w:val="-10"/>
                                <w:sz w:val="20"/>
                                <w:szCs w:val="20"/>
                              </w:rPr>
                            </w:pPr>
                            <w:r w:rsidRPr="004C166E">
                              <w:rPr>
                                <w:rFonts w:ascii="標楷體" w:eastAsia="標楷體" w:hAnsi="標楷體" w:hint="eastAsia"/>
                                <w:spacing w:val="-10"/>
                                <w:sz w:val="20"/>
                                <w:szCs w:val="20"/>
                              </w:rPr>
                              <w:t>未適時規劃辦理工程施工查核。</w:t>
                            </w:r>
                          </w:p>
                        </w:tc>
                      </w:tr>
                      <w:tr w:rsidR="00A0212B" w:rsidRPr="004C166E" w14:paraId="7E9813E7" w14:textId="77777777" w:rsidTr="00622CAD">
                        <w:trPr>
                          <w:trHeight w:val="488"/>
                        </w:trPr>
                        <w:tc>
                          <w:tcPr>
                            <w:tcW w:w="289" w:type="dxa"/>
                            <w:vMerge w:val="restart"/>
                            <w:vAlign w:val="center"/>
                          </w:tcPr>
                          <w:p w14:paraId="0EE9DC92"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8</w:t>
                            </w:r>
                          </w:p>
                        </w:tc>
                        <w:tc>
                          <w:tcPr>
                            <w:tcW w:w="1551" w:type="dxa"/>
                            <w:vMerge w:val="restart"/>
                            <w:vAlign w:val="center"/>
                          </w:tcPr>
                          <w:p w14:paraId="3CBF835D"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高雄市政府</w:t>
                            </w:r>
                          </w:p>
                          <w:p w14:paraId="1A1F54B7"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（經濟部）</w:t>
                            </w:r>
                          </w:p>
                        </w:tc>
                        <w:tc>
                          <w:tcPr>
                            <w:tcW w:w="1839" w:type="dxa"/>
                            <w:vMerge w:val="restart"/>
                            <w:vAlign w:val="center"/>
                          </w:tcPr>
                          <w:p w14:paraId="3F01A05C"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r w:rsidRPr="004C166E">
                              <w:rPr>
                                <w:rFonts w:ascii="標楷體" w:eastAsia="標楷體" w:hAnsi="標楷體" w:cs="新細明體" w:hint="eastAsia"/>
                                <w:bCs/>
                                <w:color w:val="000000"/>
                                <w:kern w:val="0"/>
                                <w:sz w:val="20"/>
                                <w:szCs w:val="20"/>
                              </w:rPr>
                              <w:t>旗糖創新博覽園區場域改造及經營管理情形</w:t>
                            </w:r>
                          </w:p>
                        </w:tc>
                        <w:tc>
                          <w:tcPr>
                            <w:tcW w:w="2842" w:type="dxa"/>
                            <w:vMerge w:val="restart"/>
                            <w:vAlign w:val="center"/>
                          </w:tcPr>
                          <w:p w14:paraId="3C71C5E2" w14:textId="77777777" w:rsidR="00A0212B" w:rsidRPr="004C166E" w:rsidRDefault="00A0212B" w:rsidP="00622CAD">
                            <w:pPr>
                              <w:widowControl/>
                              <w:spacing w:line="220" w:lineRule="exact"/>
                              <w:ind w:left="200" w:hangingChars="100" w:hanging="200"/>
                              <w:jc w:val="both"/>
                              <w:rPr>
                                <w:rFonts w:ascii="標楷體" w:eastAsia="標楷體" w:hAnsi="標楷體"/>
                                <w:spacing w:val="-10"/>
                                <w:sz w:val="20"/>
                                <w:szCs w:val="20"/>
                              </w:rPr>
                            </w:pPr>
                            <w:r w:rsidRPr="004C166E">
                              <w:rPr>
                                <w:rFonts w:ascii="標楷體" w:eastAsia="標楷體" w:hAnsi="標楷體" w:hint="eastAsia"/>
                                <w:sz w:val="20"/>
                                <w:szCs w:val="20"/>
                              </w:rPr>
                              <w:t>1.</w:t>
                            </w:r>
                            <w:r w:rsidRPr="004C166E">
                              <w:rPr>
                                <w:rFonts w:ascii="標楷體" w:eastAsia="標楷體" w:hAnsi="標楷體" w:hint="eastAsia"/>
                                <w:spacing w:val="-10"/>
                                <w:sz w:val="20"/>
                                <w:szCs w:val="20"/>
                              </w:rPr>
                              <w:t>未評估計畫可行性及籌足財源，致計畫一再更迭，並縮減開發範圍。</w:t>
                            </w:r>
                          </w:p>
                          <w:p w14:paraId="73C14E7C"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2.延宕執行期程。</w:t>
                            </w:r>
                          </w:p>
                          <w:p w14:paraId="59ECCDA7"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3.閒置。</w:t>
                            </w:r>
                          </w:p>
                        </w:tc>
                        <w:tc>
                          <w:tcPr>
                            <w:tcW w:w="567" w:type="dxa"/>
                            <w:vAlign w:val="center"/>
                          </w:tcPr>
                          <w:p w14:paraId="6C9A5B01"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78A21F4F"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工程進度及場域標租情形未如預期，卻多次同意辦理計畫展延。</w:t>
                            </w:r>
                          </w:p>
                        </w:tc>
                      </w:tr>
                      <w:tr w:rsidR="00A0212B" w:rsidRPr="004C166E" w14:paraId="6D7D8FA4" w14:textId="77777777" w:rsidTr="00622CAD">
                        <w:trPr>
                          <w:trHeight w:val="410"/>
                        </w:trPr>
                        <w:tc>
                          <w:tcPr>
                            <w:tcW w:w="289" w:type="dxa"/>
                            <w:vMerge/>
                            <w:vAlign w:val="center"/>
                          </w:tcPr>
                          <w:p w14:paraId="2B408F03"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66BB36EF"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37376EA7" w14:textId="77777777" w:rsidR="00A0212B" w:rsidRPr="004C166E" w:rsidRDefault="00A0212B" w:rsidP="00622CAD">
                            <w:pPr>
                              <w:widowControl/>
                              <w:spacing w:line="220" w:lineRule="exact"/>
                              <w:jc w:val="both"/>
                              <w:rPr>
                                <w:rFonts w:ascii="標楷體" w:eastAsia="標楷體" w:hAnsi="標楷體" w:cs="新細明體"/>
                                <w:bCs/>
                                <w:color w:val="000000"/>
                                <w:kern w:val="0"/>
                                <w:sz w:val="20"/>
                                <w:szCs w:val="20"/>
                              </w:rPr>
                            </w:pPr>
                          </w:p>
                        </w:tc>
                        <w:tc>
                          <w:tcPr>
                            <w:tcW w:w="2842" w:type="dxa"/>
                            <w:vMerge/>
                            <w:vAlign w:val="center"/>
                          </w:tcPr>
                          <w:p w14:paraId="649CD1DC" w14:textId="77777777" w:rsidR="00A0212B" w:rsidRPr="004C166E" w:rsidRDefault="00A0212B" w:rsidP="003D5BEE">
                            <w:pPr>
                              <w:widowControl/>
                              <w:numPr>
                                <w:ilvl w:val="0"/>
                                <w:numId w:val="8"/>
                              </w:numPr>
                              <w:spacing w:line="220" w:lineRule="exact"/>
                              <w:jc w:val="both"/>
                              <w:rPr>
                                <w:rFonts w:ascii="標楷體" w:eastAsia="標楷體" w:hAnsi="標楷體"/>
                                <w:sz w:val="20"/>
                                <w:szCs w:val="20"/>
                              </w:rPr>
                            </w:pPr>
                          </w:p>
                        </w:tc>
                        <w:tc>
                          <w:tcPr>
                            <w:tcW w:w="567" w:type="dxa"/>
                            <w:vAlign w:val="center"/>
                          </w:tcPr>
                          <w:p w14:paraId="6F2BD2EA"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3</w:t>
                            </w:r>
                          </w:p>
                        </w:tc>
                        <w:tc>
                          <w:tcPr>
                            <w:tcW w:w="2840" w:type="dxa"/>
                            <w:vAlign w:val="center"/>
                          </w:tcPr>
                          <w:p w14:paraId="7F474DB8" w14:textId="77777777" w:rsidR="00A0212B" w:rsidRPr="004C166E" w:rsidRDefault="00A0212B" w:rsidP="00622CAD">
                            <w:pPr>
                              <w:widowControl/>
                              <w:spacing w:line="220" w:lineRule="exact"/>
                              <w:jc w:val="both"/>
                              <w:rPr>
                                <w:rFonts w:ascii="標楷體" w:eastAsia="標楷體" w:hAnsi="標楷體"/>
                                <w:spacing w:val="-12"/>
                                <w:sz w:val="20"/>
                                <w:szCs w:val="20"/>
                              </w:rPr>
                            </w:pPr>
                            <w:r w:rsidRPr="004C166E">
                              <w:rPr>
                                <w:rFonts w:ascii="標楷體" w:eastAsia="標楷體" w:hAnsi="標楷體" w:hint="eastAsia"/>
                                <w:spacing w:val="-12"/>
                                <w:sz w:val="20"/>
                                <w:szCs w:val="20"/>
                              </w:rPr>
                              <w:t>放寬結案條件之認列標準。</w:t>
                            </w:r>
                          </w:p>
                        </w:tc>
                      </w:tr>
                      <w:tr w:rsidR="00A0212B" w:rsidRPr="004C166E" w14:paraId="05B9C014" w14:textId="77777777" w:rsidTr="00E31547">
                        <w:trPr>
                          <w:trHeight w:val="597"/>
                        </w:trPr>
                        <w:tc>
                          <w:tcPr>
                            <w:tcW w:w="289" w:type="dxa"/>
                            <w:vAlign w:val="center"/>
                          </w:tcPr>
                          <w:p w14:paraId="04FC73E7"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9</w:t>
                            </w:r>
                          </w:p>
                        </w:tc>
                        <w:tc>
                          <w:tcPr>
                            <w:tcW w:w="1551" w:type="dxa"/>
                            <w:vAlign w:val="center"/>
                          </w:tcPr>
                          <w:p w14:paraId="63F718FE"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基隆市政府</w:t>
                            </w:r>
                          </w:p>
                          <w:p w14:paraId="1986AB5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（經濟部）</w:t>
                            </w:r>
                          </w:p>
                        </w:tc>
                        <w:tc>
                          <w:tcPr>
                            <w:tcW w:w="1839" w:type="dxa"/>
                            <w:vAlign w:val="center"/>
                          </w:tcPr>
                          <w:p w14:paraId="5E67944C"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八斗子智慧漁業創新場域統包工程執行情形</w:t>
                            </w:r>
                          </w:p>
                        </w:tc>
                        <w:tc>
                          <w:tcPr>
                            <w:tcW w:w="2842" w:type="dxa"/>
                            <w:vAlign w:val="center"/>
                          </w:tcPr>
                          <w:p w14:paraId="46B11F32" w14:textId="77777777" w:rsidR="00A0212B" w:rsidRPr="004C166E" w:rsidRDefault="00A0212B" w:rsidP="00622CAD">
                            <w:pPr>
                              <w:widowControl/>
                              <w:spacing w:line="220" w:lineRule="exact"/>
                              <w:ind w:left="200" w:hangingChars="100" w:hanging="200"/>
                              <w:jc w:val="both"/>
                              <w:rPr>
                                <w:rFonts w:ascii="標楷體" w:eastAsia="標楷體" w:hAnsi="標楷體"/>
                                <w:sz w:val="20"/>
                                <w:szCs w:val="20"/>
                              </w:rPr>
                            </w:pPr>
                            <w:r w:rsidRPr="004C166E">
                              <w:rPr>
                                <w:rFonts w:ascii="標楷體" w:eastAsia="標楷體" w:hAnsi="標楷體" w:hint="eastAsia"/>
                                <w:sz w:val="20"/>
                                <w:szCs w:val="20"/>
                              </w:rPr>
                              <w:t>1.用地未取得致取消興建製冰廠。</w:t>
                            </w:r>
                          </w:p>
                          <w:p w14:paraId="1406971C"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2.未取得使用執照。</w:t>
                            </w:r>
                          </w:p>
                        </w:tc>
                        <w:tc>
                          <w:tcPr>
                            <w:tcW w:w="567" w:type="dxa"/>
                            <w:vAlign w:val="center"/>
                          </w:tcPr>
                          <w:p w14:paraId="5BDFCDC2"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33E57B58"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未審慎評估土地取得情形即核定補助。</w:t>
                            </w:r>
                          </w:p>
                        </w:tc>
                      </w:tr>
                      <w:tr w:rsidR="00A0212B" w:rsidRPr="004C166E" w14:paraId="153A25B5" w14:textId="77777777" w:rsidTr="00622CAD">
                        <w:trPr>
                          <w:trHeight w:val="419"/>
                        </w:trPr>
                        <w:tc>
                          <w:tcPr>
                            <w:tcW w:w="289" w:type="dxa"/>
                            <w:vMerge w:val="restart"/>
                            <w:vAlign w:val="center"/>
                          </w:tcPr>
                          <w:p w14:paraId="420A8254"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10</w:t>
                            </w:r>
                          </w:p>
                        </w:tc>
                        <w:tc>
                          <w:tcPr>
                            <w:tcW w:w="1551" w:type="dxa"/>
                            <w:vMerge w:val="restart"/>
                            <w:vAlign w:val="center"/>
                          </w:tcPr>
                          <w:p w14:paraId="283699CC"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臺南市政府</w:t>
                            </w:r>
                          </w:p>
                          <w:p w14:paraId="51B6F350"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（交通部）</w:t>
                            </w:r>
                          </w:p>
                        </w:tc>
                        <w:tc>
                          <w:tcPr>
                            <w:tcW w:w="1839" w:type="dxa"/>
                            <w:vMerge w:val="restart"/>
                            <w:vAlign w:val="center"/>
                          </w:tcPr>
                          <w:p w14:paraId="72A1137C"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臺南赤崁文化園區改造工程計畫執行情形之查核</w:t>
                            </w:r>
                          </w:p>
                        </w:tc>
                        <w:tc>
                          <w:tcPr>
                            <w:tcW w:w="2842" w:type="dxa"/>
                            <w:vMerge w:val="restart"/>
                            <w:vAlign w:val="center"/>
                          </w:tcPr>
                          <w:p w14:paraId="28756A91" w14:textId="77777777" w:rsidR="00A0212B" w:rsidRPr="004C166E" w:rsidRDefault="00A0212B" w:rsidP="00622CAD">
                            <w:pPr>
                              <w:widowControl/>
                              <w:spacing w:line="220" w:lineRule="exact"/>
                              <w:ind w:left="200" w:hangingChars="100" w:hanging="200"/>
                              <w:jc w:val="both"/>
                              <w:rPr>
                                <w:rFonts w:ascii="標楷體" w:eastAsia="標楷體" w:hAnsi="標楷體"/>
                                <w:sz w:val="20"/>
                                <w:szCs w:val="20"/>
                              </w:rPr>
                            </w:pPr>
                            <w:r w:rsidRPr="004C166E">
                              <w:rPr>
                                <w:rFonts w:ascii="標楷體" w:eastAsia="標楷體" w:hAnsi="標楷體" w:hint="eastAsia"/>
                                <w:sz w:val="20"/>
                                <w:szCs w:val="20"/>
                              </w:rPr>
                              <w:t>1.未詳加評估整體計畫可行性。</w:t>
                            </w:r>
                          </w:p>
                          <w:p w14:paraId="3B861385" w14:textId="6F271FDE" w:rsidR="00A0212B" w:rsidRPr="004C166E" w:rsidRDefault="00A0212B" w:rsidP="00622CAD">
                            <w:pPr>
                              <w:widowControl/>
                              <w:spacing w:line="220" w:lineRule="exact"/>
                              <w:ind w:left="200" w:hangingChars="100" w:hanging="200"/>
                              <w:jc w:val="both"/>
                              <w:rPr>
                                <w:rFonts w:ascii="標楷體" w:eastAsia="標楷體" w:hAnsi="標楷體"/>
                                <w:sz w:val="20"/>
                                <w:szCs w:val="20"/>
                              </w:rPr>
                            </w:pPr>
                            <w:r w:rsidRPr="004C166E">
                              <w:rPr>
                                <w:rFonts w:ascii="標楷體" w:eastAsia="標楷體" w:hAnsi="標楷體" w:hint="eastAsia"/>
                                <w:sz w:val="20"/>
                                <w:szCs w:val="20"/>
                              </w:rPr>
                              <w:t>2.工程變更設計致</w:t>
                            </w:r>
                            <w:r>
                              <w:rPr>
                                <w:rFonts w:ascii="標楷體" w:eastAsia="標楷體" w:hAnsi="標楷體" w:hint="eastAsia"/>
                                <w:sz w:val="20"/>
                                <w:szCs w:val="20"/>
                              </w:rPr>
                              <w:t>須</w:t>
                            </w:r>
                            <w:r w:rsidRPr="004C166E">
                              <w:rPr>
                                <w:rFonts w:ascii="標楷體" w:eastAsia="標楷體" w:hAnsi="標楷體" w:hint="eastAsia"/>
                                <w:sz w:val="20"/>
                                <w:szCs w:val="20"/>
                              </w:rPr>
                              <w:t>另支付9,686萬餘元。</w:t>
                            </w:r>
                          </w:p>
                          <w:p w14:paraId="21A79CCD"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3.延宕執行期程。</w:t>
                            </w:r>
                          </w:p>
                        </w:tc>
                        <w:tc>
                          <w:tcPr>
                            <w:tcW w:w="567" w:type="dxa"/>
                            <w:vAlign w:val="center"/>
                          </w:tcPr>
                          <w:p w14:paraId="363722E4"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1</w:t>
                            </w:r>
                          </w:p>
                        </w:tc>
                        <w:tc>
                          <w:tcPr>
                            <w:tcW w:w="2840" w:type="dxa"/>
                            <w:vAlign w:val="center"/>
                          </w:tcPr>
                          <w:p w14:paraId="7C424410"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未確實審查申請補助計畫之必要條件。</w:t>
                            </w:r>
                          </w:p>
                        </w:tc>
                      </w:tr>
                      <w:tr w:rsidR="00A0212B" w:rsidRPr="004C166E" w14:paraId="719F5AA1" w14:textId="77777777" w:rsidTr="00622CAD">
                        <w:trPr>
                          <w:trHeight w:val="413"/>
                        </w:trPr>
                        <w:tc>
                          <w:tcPr>
                            <w:tcW w:w="289" w:type="dxa"/>
                            <w:vMerge/>
                            <w:vAlign w:val="center"/>
                          </w:tcPr>
                          <w:p w14:paraId="72C54906" w14:textId="77777777" w:rsidR="00A0212B" w:rsidRPr="004C166E" w:rsidRDefault="00A0212B" w:rsidP="00622CAD">
                            <w:pPr>
                              <w:spacing w:line="220" w:lineRule="exact"/>
                              <w:jc w:val="center"/>
                              <w:rPr>
                                <w:rFonts w:ascii="標楷體" w:eastAsia="標楷體" w:hAnsi="標楷體"/>
                                <w:sz w:val="20"/>
                                <w:szCs w:val="20"/>
                              </w:rPr>
                            </w:pPr>
                          </w:p>
                        </w:tc>
                        <w:tc>
                          <w:tcPr>
                            <w:tcW w:w="1551" w:type="dxa"/>
                            <w:vMerge/>
                            <w:vAlign w:val="center"/>
                          </w:tcPr>
                          <w:p w14:paraId="158F54D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p>
                        </w:tc>
                        <w:tc>
                          <w:tcPr>
                            <w:tcW w:w="1839" w:type="dxa"/>
                            <w:vMerge/>
                            <w:vAlign w:val="center"/>
                          </w:tcPr>
                          <w:p w14:paraId="36B6275A"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p>
                        </w:tc>
                        <w:tc>
                          <w:tcPr>
                            <w:tcW w:w="2842" w:type="dxa"/>
                            <w:vMerge/>
                            <w:vAlign w:val="center"/>
                          </w:tcPr>
                          <w:p w14:paraId="0510757A" w14:textId="77777777" w:rsidR="00A0212B" w:rsidRPr="004C166E" w:rsidRDefault="00A0212B" w:rsidP="003D5BEE">
                            <w:pPr>
                              <w:widowControl/>
                              <w:numPr>
                                <w:ilvl w:val="0"/>
                                <w:numId w:val="2"/>
                              </w:numPr>
                              <w:spacing w:line="220" w:lineRule="exact"/>
                              <w:jc w:val="both"/>
                              <w:rPr>
                                <w:rFonts w:ascii="標楷體" w:eastAsia="標楷體" w:hAnsi="標楷體"/>
                                <w:sz w:val="20"/>
                                <w:szCs w:val="20"/>
                              </w:rPr>
                            </w:pPr>
                          </w:p>
                        </w:tc>
                        <w:tc>
                          <w:tcPr>
                            <w:tcW w:w="567" w:type="dxa"/>
                            <w:vAlign w:val="center"/>
                          </w:tcPr>
                          <w:p w14:paraId="63776B43"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vAlign w:val="center"/>
                          </w:tcPr>
                          <w:p w14:paraId="775ACE0A"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工程進度嚴重落後，未能及時管考。</w:t>
                            </w:r>
                          </w:p>
                        </w:tc>
                      </w:tr>
                      <w:tr w:rsidR="00A0212B" w:rsidRPr="004C166E" w14:paraId="54E850A7" w14:textId="77777777" w:rsidTr="00622CAD">
                        <w:trPr>
                          <w:trHeight w:val="958"/>
                        </w:trPr>
                        <w:tc>
                          <w:tcPr>
                            <w:tcW w:w="289" w:type="dxa"/>
                            <w:tcBorders>
                              <w:bottom w:val="single" w:sz="4" w:space="0" w:color="auto"/>
                            </w:tcBorders>
                            <w:vAlign w:val="center"/>
                          </w:tcPr>
                          <w:p w14:paraId="0964BC37" w14:textId="77777777" w:rsidR="00A0212B" w:rsidRPr="004C166E" w:rsidRDefault="00A0212B" w:rsidP="00622CAD">
                            <w:pPr>
                              <w:spacing w:line="220" w:lineRule="exact"/>
                              <w:jc w:val="center"/>
                              <w:rPr>
                                <w:rFonts w:ascii="標楷體" w:eastAsia="標楷體" w:hAnsi="標楷體"/>
                                <w:sz w:val="20"/>
                                <w:szCs w:val="20"/>
                              </w:rPr>
                            </w:pPr>
                            <w:r w:rsidRPr="004C166E">
                              <w:rPr>
                                <w:rFonts w:ascii="標楷體" w:eastAsia="標楷體" w:hAnsi="標楷體" w:hint="eastAsia"/>
                                <w:sz w:val="20"/>
                                <w:szCs w:val="20"/>
                              </w:rPr>
                              <w:t>11</w:t>
                            </w:r>
                          </w:p>
                        </w:tc>
                        <w:tc>
                          <w:tcPr>
                            <w:tcW w:w="1551" w:type="dxa"/>
                            <w:tcBorders>
                              <w:bottom w:val="single" w:sz="4" w:space="0" w:color="auto"/>
                            </w:tcBorders>
                            <w:vAlign w:val="center"/>
                          </w:tcPr>
                          <w:p w14:paraId="789548D8"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嘉義縣政府</w:t>
                            </w:r>
                          </w:p>
                          <w:p w14:paraId="12186F85" w14:textId="77777777" w:rsidR="00A0212B" w:rsidRPr="004C166E" w:rsidRDefault="00A0212B" w:rsidP="00622CAD">
                            <w:pPr>
                              <w:widowControl/>
                              <w:spacing w:line="220" w:lineRule="exact"/>
                              <w:jc w:val="center"/>
                              <w:rPr>
                                <w:rFonts w:ascii="標楷體" w:eastAsia="標楷體" w:hAnsi="標楷體" w:cs="新細明體"/>
                                <w:color w:val="000000"/>
                                <w:kern w:val="0"/>
                                <w:sz w:val="20"/>
                                <w:szCs w:val="20"/>
                              </w:rPr>
                            </w:pPr>
                            <w:r w:rsidRPr="004C166E">
                              <w:rPr>
                                <w:rFonts w:ascii="標楷體" w:eastAsia="標楷體" w:hAnsi="標楷體" w:cs="新細明體"/>
                                <w:color w:val="000000"/>
                                <w:kern w:val="0"/>
                                <w:sz w:val="20"/>
                                <w:szCs w:val="20"/>
                              </w:rPr>
                              <w:t>（</w:t>
                            </w:r>
                            <w:r w:rsidRPr="004C166E">
                              <w:rPr>
                                <w:rFonts w:ascii="標楷體" w:eastAsia="標楷體" w:hAnsi="標楷體" w:cs="新細明體" w:hint="eastAsia"/>
                                <w:color w:val="000000"/>
                                <w:kern w:val="0"/>
                                <w:sz w:val="20"/>
                                <w:szCs w:val="20"/>
                              </w:rPr>
                              <w:t>經濟部）</w:t>
                            </w:r>
                          </w:p>
                        </w:tc>
                        <w:tc>
                          <w:tcPr>
                            <w:tcW w:w="1839" w:type="dxa"/>
                            <w:tcBorders>
                              <w:bottom w:val="single" w:sz="4" w:space="0" w:color="auto"/>
                            </w:tcBorders>
                            <w:vAlign w:val="center"/>
                          </w:tcPr>
                          <w:p w14:paraId="4E7B0E44" w14:textId="77777777" w:rsidR="00A0212B" w:rsidRPr="004C166E" w:rsidRDefault="00A0212B" w:rsidP="00622CAD">
                            <w:pPr>
                              <w:widowControl/>
                              <w:spacing w:line="220" w:lineRule="exact"/>
                              <w:jc w:val="both"/>
                              <w:rPr>
                                <w:rFonts w:ascii="標楷體" w:eastAsia="標楷體" w:hAnsi="標楷體" w:cs="新細明體"/>
                                <w:color w:val="000000"/>
                                <w:kern w:val="0"/>
                                <w:sz w:val="20"/>
                                <w:szCs w:val="20"/>
                              </w:rPr>
                            </w:pPr>
                            <w:r w:rsidRPr="004C166E">
                              <w:rPr>
                                <w:rFonts w:ascii="標楷體" w:eastAsia="標楷體" w:hAnsi="標楷體" w:cs="新細明體" w:hint="eastAsia"/>
                                <w:color w:val="000000"/>
                                <w:kern w:val="0"/>
                                <w:sz w:val="20"/>
                                <w:szCs w:val="20"/>
                              </w:rPr>
                              <w:t>蔗埕冰樂園等計畫執行情形</w:t>
                            </w:r>
                          </w:p>
                        </w:tc>
                        <w:tc>
                          <w:tcPr>
                            <w:tcW w:w="2842" w:type="dxa"/>
                            <w:tcBorders>
                              <w:bottom w:val="single" w:sz="4" w:space="0" w:color="auto"/>
                            </w:tcBorders>
                            <w:vAlign w:val="center"/>
                          </w:tcPr>
                          <w:p w14:paraId="4B124216" w14:textId="2174B441" w:rsidR="00A0212B" w:rsidRPr="004C166E" w:rsidRDefault="00A0212B" w:rsidP="004D7C92">
                            <w:pPr>
                              <w:widowControl/>
                              <w:spacing w:line="220" w:lineRule="exact"/>
                              <w:ind w:left="220" w:hangingChars="110" w:hanging="220"/>
                              <w:jc w:val="both"/>
                              <w:rPr>
                                <w:rFonts w:ascii="標楷體" w:eastAsia="標楷體" w:hAnsi="標楷體"/>
                                <w:sz w:val="20"/>
                                <w:szCs w:val="20"/>
                              </w:rPr>
                            </w:pPr>
                            <w:r w:rsidRPr="004C166E">
                              <w:rPr>
                                <w:rFonts w:ascii="標楷體" w:eastAsia="標楷體" w:hAnsi="標楷體" w:hint="eastAsia"/>
                                <w:sz w:val="20"/>
                                <w:szCs w:val="20"/>
                              </w:rPr>
                              <w:t>1.</w:t>
                            </w:r>
                            <w:r w:rsidRPr="004D7C92">
                              <w:rPr>
                                <w:rFonts w:ascii="標楷體" w:eastAsia="標楷體" w:hAnsi="標楷體" w:hint="eastAsia"/>
                                <w:spacing w:val="10"/>
                                <w:sz w:val="20"/>
                              </w:rPr>
                              <w:t>未確實評估成本效益及可行性。</w:t>
                            </w:r>
                          </w:p>
                          <w:p w14:paraId="167E2082" w14:textId="0BC2BCAF" w:rsidR="00A0212B" w:rsidRPr="004C166E" w:rsidRDefault="00E525E5" w:rsidP="00622CAD">
                            <w:pPr>
                              <w:widowControl/>
                              <w:spacing w:line="220" w:lineRule="exact"/>
                              <w:jc w:val="both"/>
                              <w:rPr>
                                <w:rFonts w:ascii="標楷體" w:eastAsia="標楷體" w:hAnsi="標楷體"/>
                                <w:sz w:val="20"/>
                                <w:szCs w:val="20"/>
                              </w:rPr>
                            </w:pPr>
                            <w:r>
                              <w:rPr>
                                <w:rFonts w:ascii="標楷體" w:eastAsia="標楷體" w:hAnsi="標楷體"/>
                                <w:sz w:val="20"/>
                                <w:szCs w:val="20"/>
                              </w:rPr>
                              <w:t>2</w:t>
                            </w:r>
                            <w:r w:rsidR="00A0212B" w:rsidRPr="004C166E">
                              <w:rPr>
                                <w:rFonts w:ascii="標楷體" w:eastAsia="標楷體" w:hAnsi="標楷體" w:hint="eastAsia"/>
                                <w:sz w:val="20"/>
                                <w:szCs w:val="20"/>
                              </w:rPr>
                              <w:t>.閒置。</w:t>
                            </w:r>
                          </w:p>
                          <w:p w14:paraId="7FB1DEE2" w14:textId="680C833F" w:rsidR="00A0212B" w:rsidRPr="004C166E" w:rsidRDefault="00E525E5" w:rsidP="00622CAD">
                            <w:pPr>
                              <w:widowControl/>
                              <w:spacing w:line="220" w:lineRule="exact"/>
                              <w:jc w:val="both"/>
                              <w:rPr>
                                <w:rFonts w:ascii="標楷體" w:eastAsia="標楷體" w:hAnsi="標楷體"/>
                                <w:sz w:val="20"/>
                                <w:szCs w:val="20"/>
                              </w:rPr>
                            </w:pPr>
                            <w:r>
                              <w:rPr>
                                <w:rFonts w:ascii="標楷體" w:eastAsia="標楷體" w:hAnsi="標楷體" w:hint="eastAsia"/>
                                <w:sz w:val="20"/>
                                <w:szCs w:val="20"/>
                              </w:rPr>
                              <w:t>3</w:t>
                            </w:r>
                            <w:bookmarkStart w:id="5" w:name="_GoBack"/>
                            <w:bookmarkEnd w:id="5"/>
                            <w:r w:rsidR="00A0212B" w:rsidRPr="004C166E">
                              <w:rPr>
                                <w:rFonts w:ascii="標楷體" w:eastAsia="標楷體" w:hAnsi="標楷體" w:hint="eastAsia"/>
                                <w:sz w:val="20"/>
                                <w:szCs w:val="20"/>
                              </w:rPr>
                              <w:t>.未能達成計畫目標。</w:t>
                            </w:r>
                          </w:p>
                        </w:tc>
                        <w:tc>
                          <w:tcPr>
                            <w:tcW w:w="567" w:type="dxa"/>
                            <w:tcBorders>
                              <w:bottom w:val="single" w:sz="4" w:space="0" w:color="auto"/>
                            </w:tcBorders>
                            <w:vAlign w:val="center"/>
                          </w:tcPr>
                          <w:p w14:paraId="65C08520" w14:textId="77777777" w:rsidR="00A0212B" w:rsidRPr="004C166E" w:rsidRDefault="00A0212B" w:rsidP="00622CAD">
                            <w:pPr>
                              <w:widowControl/>
                              <w:spacing w:line="220" w:lineRule="exact"/>
                              <w:jc w:val="center"/>
                              <w:rPr>
                                <w:rFonts w:ascii="標楷體" w:eastAsia="標楷體" w:hAnsi="標楷體"/>
                                <w:sz w:val="20"/>
                                <w:szCs w:val="20"/>
                              </w:rPr>
                            </w:pPr>
                            <w:r w:rsidRPr="004C166E">
                              <w:rPr>
                                <w:rFonts w:ascii="標楷體" w:eastAsia="標楷體" w:hAnsi="標楷體"/>
                                <w:sz w:val="20"/>
                                <w:szCs w:val="20"/>
                              </w:rPr>
                              <w:t>2</w:t>
                            </w:r>
                          </w:p>
                        </w:tc>
                        <w:tc>
                          <w:tcPr>
                            <w:tcW w:w="2840" w:type="dxa"/>
                            <w:tcBorders>
                              <w:bottom w:val="single" w:sz="4" w:space="0" w:color="auto"/>
                            </w:tcBorders>
                            <w:vAlign w:val="center"/>
                          </w:tcPr>
                          <w:p w14:paraId="25C014BD" w14:textId="77777777" w:rsidR="00A0212B" w:rsidRPr="004C166E" w:rsidRDefault="00A0212B" w:rsidP="00622CAD">
                            <w:pPr>
                              <w:widowControl/>
                              <w:spacing w:line="220" w:lineRule="exact"/>
                              <w:jc w:val="both"/>
                              <w:rPr>
                                <w:rFonts w:ascii="標楷體" w:eastAsia="標楷體" w:hAnsi="標楷體"/>
                                <w:sz w:val="20"/>
                                <w:szCs w:val="20"/>
                              </w:rPr>
                            </w:pPr>
                            <w:r w:rsidRPr="004C166E">
                              <w:rPr>
                                <w:rFonts w:ascii="標楷體" w:eastAsia="標楷體" w:hAnsi="標楷體" w:hint="eastAsia"/>
                                <w:sz w:val="20"/>
                                <w:szCs w:val="20"/>
                              </w:rPr>
                              <w:t>計畫推展不如預期，未限期改善，且多次同意展延，欠缺積極管考作為。</w:t>
                            </w:r>
                          </w:p>
                        </w:tc>
                      </w:tr>
                      <w:tr w:rsidR="00A0212B" w:rsidRPr="004C166E" w14:paraId="566A47EC" w14:textId="77777777" w:rsidTr="00622CAD">
                        <w:tc>
                          <w:tcPr>
                            <w:tcW w:w="9928" w:type="dxa"/>
                            <w:gridSpan w:val="6"/>
                            <w:tcBorders>
                              <w:left w:val="nil"/>
                              <w:bottom w:val="nil"/>
                              <w:right w:val="nil"/>
                            </w:tcBorders>
                            <w:vAlign w:val="center"/>
                          </w:tcPr>
                          <w:p w14:paraId="6F6B0722" w14:textId="5E0CDA33" w:rsidR="00A0212B" w:rsidRDefault="00A0212B" w:rsidP="004D7C92">
                            <w:pPr>
                              <w:widowControl/>
                              <w:spacing w:line="260" w:lineRule="exact"/>
                              <w:jc w:val="both"/>
                              <w:rPr>
                                <w:rFonts w:ascii="標楷體" w:eastAsia="標楷體" w:hAnsi="標楷體"/>
                                <w:sz w:val="18"/>
                                <w:szCs w:val="18"/>
                              </w:rPr>
                            </w:pPr>
                            <w:r w:rsidRPr="004C166E">
                              <w:rPr>
                                <w:rFonts w:ascii="標楷體" w:eastAsia="標楷體" w:hAnsi="標楷體"/>
                                <w:sz w:val="18"/>
                                <w:szCs w:val="18"/>
                              </w:rPr>
                              <w:t>註：</w:t>
                            </w:r>
                            <w:r>
                              <w:rPr>
                                <w:rFonts w:ascii="標楷體" w:eastAsia="標楷體" w:hAnsi="標楷體" w:hint="eastAsia"/>
                                <w:sz w:val="18"/>
                                <w:szCs w:val="18"/>
                              </w:rPr>
                              <w:t>1</w:t>
                            </w:r>
                            <w:r>
                              <w:rPr>
                                <w:rFonts w:ascii="標楷體" w:eastAsia="標楷體" w:hAnsi="標楷體"/>
                                <w:sz w:val="18"/>
                                <w:szCs w:val="18"/>
                              </w:rPr>
                              <w:t>.</w:t>
                            </w:r>
                            <w:r w:rsidRPr="009C5B25">
                              <w:rPr>
                                <w:rFonts w:ascii="標楷體" w:eastAsia="標楷體" w:hAnsi="標楷體" w:hint="eastAsia"/>
                                <w:sz w:val="18"/>
                                <w:szCs w:val="18"/>
                              </w:rPr>
                              <w:t>階段：1、計畫提報審查階段；2、計畫執行階段；3、結案審查階段；4、後續營運管理階段。</w:t>
                            </w:r>
                          </w:p>
                          <w:p w14:paraId="77FD95D7" w14:textId="2BD42DBC" w:rsidR="00A0212B" w:rsidRPr="004C166E" w:rsidRDefault="00A0212B" w:rsidP="004D7C92">
                            <w:pPr>
                              <w:widowControl/>
                              <w:spacing w:line="260" w:lineRule="exact"/>
                              <w:ind w:leftChars="150" w:left="360"/>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9C5B25">
                              <w:rPr>
                                <w:rFonts w:ascii="標楷體" w:eastAsia="標楷體" w:hAnsi="標楷體" w:hint="eastAsia"/>
                                <w:sz w:val="18"/>
                                <w:szCs w:val="18"/>
                              </w:rPr>
                              <w:t>資料來源：整理自本部109至112年度陳報監察院相關案件資料。</w:t>
                            </w:r>
                          </w:p>
                        </w:tc>
                      </w:tr>
                    </w:tbl>
                    <w:p w14:paraId="46561B73" w14:textId="77777777" w:rsidR="00A0212B" w:rsidRPr="004C166E" w:rsidRDefault="00A0212B" w:rsidP="003D5BEE"/>
                  </w:txbxContent>
                </v:textbox>
                <w10:wrap type="square"/>
              </v:shape>
            </w:pict>
          </mc:Fallback>
        </mc:AlternateContent>
      </w:r>
      <w:r w:rsidRPr="00336CA2">
        <w:rPr>
          <w:rFonts w:ascii="標楷體" w:eastAsia="標楷體" w:hAnsi="標楷體" w:cs="新細明體" w:hint="eastAsia"/>
          <w:bCs/>
          <w:color w:val="000000" w:themeColor="text1"/>
          <w:spacing w:val="4"/>
          <w:szCs w:val="24"/>
        </w:rPr>
        <w:t>運管理等4階段，如以計畫</w:t>
      </w:r>
      <w:r w:rsidRPr="00336CA2">
        <w:rPr>
          <w:rFonts w:ascii="標楷體" w:eastAsia="標楷體" w:hAnsi="標楷體" w:cs="新細明體" w:hint="eastAsia"/>
          <w:bCs/>
          <w:color w:val="000000" w:themeColor="text1"/>
          <w:spacing w:val="8"/>
          <w:szCs w:val="24"/>
        </w:rPr>
        <w:t>提報審查階段分析，包含未確實審查可行性評估報告、經營管理計畫、施工</w:t>
      </w:r>
      <w:r w:rsidRPr="00336CA2">
        <w:rPr>
          <w:rFonts w:ascii="標楷體" w:eastAsia="標楷體" w:hAnsi="標楷體" w:cs="新細明體" w:hint="eastAsia"/>
          <w:bCs/>
          <w:color w:val="000000" w:themeColor="text1"/>
          <w:spacing w:val="8"/>
          <w:szCs w:val="24"/>
        </w:rPr>
        <w:lastRenderedPageBreak/>
        <w:t>用地或相關許可之取得情形；如以</w:t>
      </w:r>
      <w:r w:rsidRPr="00336CA2">
        <w:rPr>
          <w:rFonts w:ascii="標楷體" w:eastAsia="標楷體" w:hAnsi="標楷體" w:cs="新細明體" w:hint="eastAsia"/>
          <w:bCs/>
          <w:color w:val="000000" w:themeColor="text1"/>
          <w:spacing w:val="4"/>
          <w:szCs w:val="24"/>
        </w:rPr>
        <w:t>計畫執行階段分析，包含未就執行進度落後者探究原因並積極介入輔導，重大工程未適時辦理施工中查核；如</w:t>
      </w:r>
      <w:r w:rsidRPr="00336CA2">
        <w:rPr>
          <w:rFonts w:ascii="標楷體" w:eastAsia="標楷體" w:hAnsi="標楷體" w:cs="新細明體" w:hint="eastAsia"/>
          <w:bCs/>
          <w:color w:val="000000" w:themeColor="text1"/>
          <w:spacing w:val="8"/>
          <w:szCs w:val="24"/>
        </w:rPr>
        <w:t>以結案審查階段分析，包含未能</w:t>
      </w:r>
      <w:r w:rsidRPr="00336CA2">
        <w:rPr>
          <w:rFonts w:ascii="標楷體" w:eastAsia="標楷體" w:hAnsi="標楷體" w:cs="新細明體" w:hint="eastAsia"/>
          <w:bCs/>
          <w:color w:val="000000" w:themeColor="text1"/>
          <w:spacing w:val="12"/>
          <w:szCs w:val="24"/>
        </w:rPr>
        <w:t>發現受補助單位未依核定計畫執行且擅自變更增減施作</w:t>
      </w:r>
      <w:r w:rsidRPr="00336CA2">
        <w:rPr>
          <w:rFonts w:ascii="標楷體" w:eastAsia="標楷體" w:hAnsi="標楷體" w:cs="新細明體" w:hint="eastAsia"/>
          <w:bCs/>
          <w:color w:val="000000" w:themeColor="text1"/>
          <w:spacing w:val="4"/>
          <w:szCs w:val="24"/>
        </w:rPr>
        <w:t>項目，或放寬結案條件之認列標準；如以後續營運管理階段分析，包含未管控工程完工後</w:t>
      </w:r>
      <w:r w:rsidRPr="00336CA2">
        <w:rPr>
          <w:rFonts w:ascii="標楷體" w:eastAsia="標楷體" w:hAnsi="標楷體" w:cs="新細明體" w:hint="eastAsia"/>
          <w:bCs/>
          <w:color w:val="000000" w:themeColor="text1"/>
          <w:spacing w:val="12"/>
          <w:szCs w:val="24"/>
        </w:rPr>
        <w:t>實際營運及維護情形等</w:t>
      </w:r>
      <w:r w:rsidRPr="00122919">
        <w:rPr>
          <w:rFonts w:ascii="標楷體" w:eastAsia="標楷體" w:hAnsi="標楷體" w:cs="新細明體" w:hint="eastAsia"/>
          <w:bCs/>
          <w:color w:val="000000" w:themeColor="text1"/>
          <w:szCs w:val="24"/>
        </w:rPr>
        <w:t>，</w:t>
      </w:r>
      <w:r w:rsidRPr="00336CA2">
        <w:rPr>
          <w:rFonts w:ascii="標楷體" w:eastAsia="標楷體" w:hAnsi="標楷體" w:cs="新細明體" w:hint="eastAsia"/>
          <w:bCs/>
          <w:color w:val="000000" w:themeColor="text1"/>
          <w:spacing w:val="12"/>
          <w:szCs w:val="24"/>
        </w:rPr>
        <w:t>尚待中央各機關本權責對地方政府所提補助計畫之可行性與執行能力加強審核，並於事後建立追蹤考核與效益評估之回饋機制，使補助經費發揮應有效益</w:t>
      </w:r>
      <w:r w:rsidR="00152A11">
        <w:rPr>
          <w:rFonts w:ascii="標楷體" w:eastAsia="標楷體" w:hAnsi="標楷體" w:cs="新細明體" w:hint="eastAsia"/>
          <w:bCs/>
          <w:color w:val="000000" w:themeColor="text1"/>
          <w:spacing w:val="12"/>
          <w:szCs w:val="24"/>
        </w:rPr>
        <w:t>。</w:t>
      </w:r>
      <w:r w:rsidRPr="00336CA2">
        <w:rPr>
          <w:rFonts w:ascii="標楷體" w:eastAsia="標楷體" w:hAnsi="標楷體" w:cs="新細明體" w:hint="eastAsia"/>
          <w:bCs/>
          <w:color w:val="000000" w:themeColor="text1"/>
          <w:spacing w:val="12"/>
          <w:szCs w:val="24"/>
        </w:rPr>
        <w:t>允宜督促中央主管機關檢討改善。</w:t>
      </w:r>
    </w:p>
    <w:p w14:paraId="6EE9C268" w14:textId="2E91FE9B" w:rsidR="00122919" w:rsidRPr="004D7C92" w:rsidRDefault="00122919" w:rsidP="00B36325">
      <w:pPr>
        <w:overflowPunct w:val="0"/>
        <w:spacing w:beforeLines="10" w:before="36" w:afterLines="10" w:after="36" w:line="460" w:lineRule="exact"/>
        <w:ind w:firstLineChars="450" w:firstLine="1117"/>
        <w:jc w:val="both"/>
        <w:rPr>
          <w:rFonts w:ascii="標楷體" w:eastAsia="標楷體" w:hAnsi="標楷體" w:cs="新細明體"/>
          <w:bCs/>
          <w:color w:val="000000" w:themeColor="text1"/>
          <w:spacing w:val="4"/>
          <w:szCs w:val="24"/>
        </w:rPr>
      </w:pPr>
      <w:r w:rsidRPr="004D7C92">
        <w:rPr>
          <w:rFonts w:ascii="標楷體" w:eastAsia="標楷體" w:hAnsi="標楷體" w:cs="新細明體"/>
          <w:b/>
          <w:bCs/>
          <w:color w:val="000000" w:themeColor="text1"/>
          <w:spacing w:val="4"/>
          <w:szCs w:val="24"/>
        </w:rPr>
        <w:t>5.　中央主管機關辦理個別計畫型補助項目，間有補助項目設計與規劃、補助資源配置、補助款審查、預算執行、管考及其他等面向之缺失：</w:t>
      </w:r>
      <w:r w:rsidRPr="004D7C92">
        <w:rPr>
          <w:rFonts w:ascii="標楷體" w:eastAsia="標楷體" w:hAnsi="標楷體" w:cs="新細明體" w:hint="eastAsia"/>
          <w:bCs/>
          <w:color w:val="000000" w:themeColor="text1"/>
          <w:spacing w:val="4"/>
          <w:szCs w:val="24"/>
        </w:rPr>
        <w:t>經彙整本部查核中央主管機關辦理個別計畫型補助之缺失態樣，</w:t>
      </w:r>
      <w:r w:rsidR="00FC4195" w:rsidRPr="004D7C92">
        <w:rPr>
          <w:rFonts w:ascii="標楷體" w:eastAsia="標楷體" w:hAnsi="標楷體" w:cs="新細明體" w:hint="eastAsia"/>
          <w:bCs/>
          <w:color w:val="000000" w:themeColor="text1"/>
          <w:spacing w:val="4"/>
          <w:szCs w:val="24"/>
        </w:rPr>
        <w:t>包括</w:t>
      </w:r>
      <w:r w:rsidRPr="004D7C92">
        <w:rPr>
          <w:rFonts w:ascii="標楷體" w:eastAsia="標楷體" w:hAnsi="標楷體" w:cs="新細明體" w:hint="eastAsia"/>
          <w:bCs/>
          <w:color w:val="000000" w:themeColor="text1"/>
          <w:spacing w:val="4"/>
          <w:szCs w:val="24"/>
        </w:rPr>
        <w:t>：（</w:t>
      </w:r>
      <w:r w:rsidRPr="004D7C92">
        <w:rPr>
          <w:rFonts w:ascii="標楷體" w:eastAsia="標楷體" w:hAnsi="標楷體" w:cs="新細明體"/>
          <w:bCs/>
          <w:color w:val="000000" w:themeColor="text1"/>
          <w:spacing w:val="4"/>
          <w:szCs w:val="24"/>
        </w:rPr>
        <w:t>1）補助項目設計與規劃面向：包含申請程序複雜、補助項目之設計與規劃不周，致計畫執行結果未達預期目標或未符合政策方向；（2）補助資源配置面向：包含未充分掌握現有設施資源供需情形以進行整體規劃及布建、未審慎選擇納入補助計畫之項目等；（3）補助款審查面向：包含未訂定明確評比項目及權重、未以評定成績排列優先順序補助、審查作業欠周、未管控審查意見之改善情形、未落實審查補助計畫之必要許可文件是否取得或應辦事項是否完成等；（4）預算執行面向：包含預算執行率偏低、經費鉅額保留、執行進度落後、執行結果未能達成補助目的等；（5）管考面向：包含未勾稽受補助地方政府於管考系統查填資料之正確性、未積極追蹤地方政府應配合辦理事項之後續辦況、未列管追蹤計畫執行成效或執行成效</w:t>
      </w:r>
      <w:r w:rsidR="002C34BE">
        <w:rPr>
          <w:rFonts w:ascii="標楷體" w:eastAsia="標楷體" w:hAnsi="標楷體" w:cs="新細明體" w:hint="eastAsia"/>
          <w:bCs/>
          <w:color w:val="000000" w:themeColor="text1"/>
          <w:spacing w:val="4"/>
          <w:szCs w:val="24"/>
        </w:rPr>
        <w:t>不</w:t>
      </w:r>
      <w:r w:rsidRPr="004D7C92">
        <w:rPr>
          <w:rFonts w:ascii="標楷體" w:eastAsia="標楷體" w:hAnsi="標楷體" w:cs="新細明體"/>
          <w:bCs/>
          <w:color w:val="000000" w:themeColor="text1"/>
          <w:spacing w:val="4"/>
          <w:szCs w:val="24"/>
        </w:rPr>
        <w:t>明、未訂定可量化之具體衡量指標、未考核設施完工後之管理維護情形、考核標準不一等</w:t>
      </w:r>
      <w:r w:rsidR="00152A11">
        <w:rPr>
          <w:rFonts w:ascii="標楷體" w:eastAsia="標楷體" w:hAnsi="標楷體" w:cs="新細明體" w:hint="eastAsia"/>
          <w:bCs/>
          <w:color w:val="000000" w:themeColor="text1"/>
          <w:spacing w:val="4"/>
          <w:szCs w:val="24"/>
        </w:rPr>
        <w:t>。</w:t>
      </w:r>
      <w:r w:rsidRPr="004D7C92">
        <w:rPr>
          <w:rFonts w:ascii="標楷體" w:eastAsia="標楷體" w:hAnsi="標楷體" w:cs="新細明體"/>
          <w:bCs/>
          <w:color w:val="000000" w:themeColor="text1"/>
          <w:spacing w:val="4"/>
          <w:szCs w:val="24"/>
        </w:rPr>
        <w:t>允宜督促中央主管機關由源頭研謀改善，以引導地方政府按補助計畫目標執行。</w:t>
      </w:r>
    </w:p>
    <w:p w14:paraId="22A40DA1" w14:textId="0F46E7E4" w:rsidR="00693D1C" w:rsidRDefault="00122919" w:rsidP="004D7C92">
      <w:pPr>
        <w:overflowPunct w:val="0"/>
        <w:spacing w:beforeLines="10" w:before="36" w:afterLines="10" w:after="36" w:line="420" w:lineRule="exact"/>
        <w:ind w:firstLineChars="450" w:firstLine="1117"/>
        <w:jc w:val="both"/>
        <w:rPr>
          <w:rFonts w:ascii="標楷體" w:eastAsia="標楷體" w:hAnsi="標楷體"/>
          <w:color w:val="000000" w:themeColor="text1"/>
          <w:kern w:val="0"/>
          <w:szCs w:val="24"/>
        </w:rPr>
      </w:pPr>
      <w:r w:rsidRPr="004D7C92">
        <w:rPr>
          <w:rFonts w:ascii="標楷體" w:eastAsia="標楷體" w:hAnsi="標楷體" w:cs="新細明體"/>
          <w:b/>
          <w:bCs/>
          <w:color w:val="000000" w:themeColor="text1"/>
          <w:spacing w:val="4"/>
          <w:szCs w:val="24"/>
        </w:rPr>
        <w:t>6.　中央主管機關對於計畫型補助款相關資訊之公告內容、頻率、格式不一，且未整合於同一專區內，難窺補助資訊之全貌：</w:t>
      </w:r>
      <w:r w:rsidRPr="004D7C92">
        <w:rPr>
          <w:rFonts w:ascii="標楷體" w:eastAsia="標楷體" w:hAnsi="標楷體" w:cs="新細明體" w:hint="eastAsia"/>
          <w:bCs/>
          <w:color w:val="000000" w:themeColor="text1"/>
          <w:spacing w:val="4"/>
          <w:szCs w:val="24"/>
        </w:rPr>
        <w:t>補助辦法第</w:t>
      </w:r>
      <w:r w:rsidRPr="004D7C92">
        <w:rPr>
          <w:rFonts w:ascii="標楷體" w:eastAsia="標楷體" w:hAnsi="標楷體" w:cs="新細明體"/>
          <w:bCs/>
          <w:color w:val="000000" w:themeColor="text1"/>
          <w:spacing w:val="4"/>
          <w:szCs w:val="24"/>
        </w:rPr>
        <w:t>14條第1項第4款規定，中央政府各主管機關對市縣政府申請計畫型補助款，所核定之補助計畫，應切實敘明補助之對象、項目及金額，並於網站公告。第15條第2項規定，中央政府各機關辦理之管考結果，應於年度終了後3個月內在該機關網站公布。經查112</w:t>
      </w:r>
      <w:r w:rsidRPr="004D7C92">
        <w:rPr>
          <w:rFonts w:ascii="標楷體" w:eastAsia="標楷體" w:hAnsi="標楷體" w:cs="新細明體" w:hint="eastAsia"/>
          <w:bCs/>
          <w:color w:val="000000" w:themeColor="text1"/>
          <w:spacing w:val="4"/>
          <w:szCs w:val="24"/>
        </w:rPr>
        <w:t>年度辦理計畫型補助之</w:t>
      </w:r>
      <w:r w:rsidRPr="004D7C92">
        <w:rPr>
          <w:rFonts w:ascii="標楷體" w:eastAsia="標楷體" w:hAnsi="標楷體" w:cs="新細明體"/>
          <w:bCs/>
          <w:color w:val="000000" w:themeColor="text1"/>
          <w:spacing w:val="4"/>
          <w:szCs w:val="24"/>
        </w:rPr>
        <w:t>14</w:t>
      </w:r>
      <w:r w:rsidRPr="004D7C92">
        <w:rPr>
          <w:rFonts w:ascii="標楷體" w:eastAsia="標楷體" w:hAnsi="標楷體" w:cs="新細明體" w:hint="eastAsia"/>
          <w:bCs/>
          <w:color w:val="000000" w:themeColor="text1"/>
          <w:spacing w:val="4"/>
          <w:szCs w:val="24"/>
        </w:rPr>
        <w:t>個部會均已依規定公告補助計畫相關資訊，惟公告之頻率、格式、內容核有不一致情事，如部分機關未按季公告相關資訊，係配合核定期程公告或採按年或按計畫期程公告等；部分機關公告檔案格式係非屬結構化資料</w:t>
      </w:r>
      <w:r w:rsidRPr="004D7C92">
        <w:rPr>
          <w:rFonts w:ascii="標楷體" w:eastAsia="標楷體" w:hAnsi="標楷體" w:cs="新細明體"/>
          <w:bCs/>
          <w:color w:val="000000" w:themeColor="text1"/>
          <w:spacing w:val="4"/>
          <w:szCs w:val="24"/>
        </w:rPr>
        <w:t>（PDF</w:t>
      </w:r>
      <w:r w:rsidRPr="004D7C92">
        <w:rPr>
          <w:rFonts w:ascii="標楷體" w:eastAsia="標楷體" w:hAnsi="標楷體" w:cs="新細明體" w:hint="eastAsia"/>
          <w:bCs/>
          <w:color w:val="000000" w:themeColor="text1"/>
          <w:spacing w:val="4"/>
          <w:szCs w:val="24"/>
        </w:rPr>
        <w:t>檔</w:t>
      </w:r>
      <w:r w:rsidRPr="004D7C92">
        <w:rPr>
          <w:rFonts w:ascii="標楷體" w:eastAsia="標楷體" w:hAnsi="標楷體" w:cs="新細明體"/>
          <w:bCs/>
          <w:color w:val="000000" w:themeColor="text1"/>
          <w:spacing w:val="4"/>
          <w:szCs w:val="24"/>
        </w:rPr>
        <w:t>）</w:t>
      </w:r>
      <w:r w:rsidRPr="004D7C92">
        <w:rPr>
          <w:rFonts w:ascii="標楷體" w:eastAsia="標楷體" w:hAnsi="標楷體" w:cs="新細明體" w:hint="eastAsia"/>
          <w:bCs/>
          <w:color w:val="000000" w:themeColor="text1"/>
          <w:spacing w:val="4"/>
          <w:szCs w:val="24"/>
        </w:rPr>
        <w:t>，不利分析運用；部分機關公告內容未含核定金額資訊；部分機關未登載於官網，或係以公文通知等。又有關管考資訊之公開情形，部分機關未公布或未於機關網站公布，至</w:t>
      </w:r>
      <w:r w:rsidR="00FC4195" w:rsidRPr="004D7C92">
        <w:rPr>
          <w:rFonts w:ascii="標楷體" w:eastAsia="標楷體" w:hAnsi="標楷體" w:cs="新細明體" w:hint="eastAsia"/>
          <w:bCs/>
          <w:color w:val="000000" w:themeColor="text1"/>
          <w:spacing w:val="4"/>
          <w:szCs w:val="24"/>
        </w:rPr>
        <w:t>於</w:t>
      </w:r>
      <w:r w:rsidRPr="004D7C92">
        <w:rPr>
          <w:rFonts w:ascii="標楷體" w:eastAsia="標楷體" w:hAnsi="標楷體" w:cs="新細明體" w:hint="eastAsia"/>
          <w:bCs/>
          <w:color w:val="000000" w:themeColor="text1"/>
          <w:spacing w:val="4"/>
          <w:szCs w:val="24"/>
        </w:rPr>
        <w:t>有公布者，管考內容亦繁簡不一，且公布網址分散於執行各項補助計畫之單位預算機關官網，主管機關官網未建置連結，未盡完整透明，不利各界查詢及監督</w:t>
      </w:r>
      <w:r w:rsidR="00152A11">
        <w:rPr>
          <w:rFonts w:ascii="標楷體" w:eastAsia="標楷體" w:hAnsi="標楷體" w:cs="新細明體" w:hint="eastAsia"/>
          <w:bCs/>
          <w:color w:val="000000" w:themeColor="text1"/>
          <w:spacing w:val="4"/>
          <w:szCs w:val="24"/>
        </w:rPr>
        <w:t>。</w:t>
      </w:r>
      <w:r w:rsidRPr="004D7C92">
        <w:rPr>
          <w:rFonts w:ascii="標楷體" w:eastAsia="標楷體" w:hAnsi="標楷體" w:cs="新細明體" w:hint="eastAsia"/>
          <w:bCs/>
          <w:color w:val="000000" w:themeColor="text1"/>
          <w:spacing w:val="4"/>
          <w:szCs w:val="24"/>
        </w:rPr>
        <w:t>允宜對補助資訊及管考結果之公告內容、格式等研議一致規範，及督促中央主管機關整合於同一專區內。</w:t>
      </w:r>
      <w:r w:rsidR="00693D1C">
        <w:rPr>
          <w:rFonts w:hAnsi="標楷體"/>
          <w:color w:val="000000" w:themeColor="text1"/>
          <w:szCs w:val="24"/>
        </w:rPr>
        <w:br w:type="page"/>
      </w:r>
    </w:p>
    <w:p w14:paraId="41D315D0" w14:textId="1868EB66" w:rsidR="00693D1C" w:rsidRDefault="00693D1C" w:rsidP="00693D1C">
      <w:pPr>
        <w:pStyle w:val="affb"/>
        <w:kinsoku/>
        <w:overflowPunct w:val="0"/>
        <w:adjustRightInd/>
        <w:spacing w:beforeLines="20" w:before="72" w:afterLines="20" w:after="72" w:line="430" w:lineRule="exact"/>
        <w:ind w:left="0" w:firstLineChars="200" w:firstLine="561"/>
        <w:jc w:val="both"/>
        <w:outlineLvl w:val="1"/>
        <w:rPr>
          <w:rFonts w:hAnsi="標楷體"/>
          <w:b/>
          <w:color w:val="000000" w:themeColor="text1"/>
          <w:sz w:val="28"/>
          <w:szCs w:val="28"/>
        </w:rPr>
      </w:pPr>
      <w:r>
        <w:rPr>
          <w:rFonts w:hAnsi="標楷體" w:hint="eastAsia"/>
          <w:b/>
          <w:color w:val="000000" w:themeColor="text1"/>
          <w:sz w:val="28"/>
          <w:szCs w:val="28"/>
        </w:rPr>
        <w:lastRenderedPageBreak/>
        <w:t>（八</w:t>
      </w:r>
      <w:r w:rsidRPr="00BD687A">
        <w:rPr>
          <w:rFonts w:hAnsi="標楷體" w:hint="eastAsia"/>
          <w:b/>
          <w:color w:val="000000" w:themeColor="text1"/>
          <w:sz w:val="28"/>
          <w:szCs w:val="28"/>
        </w:rPr>
        <w:t>）</w:t>
      </w:r>
      <w:r w:rsidRPr="00693D1C">
        <w:rPr>
          <w:rFonts w:hAnsi="標楷體" w:hint="eastAsia"/>
          <w:b/>
          <w:color w:val="000000" w:themeColor="text1"/>
          <w:sz w:val="28"/>
          <w:szCs w:val="28"/>
        </w:rPr>
        <w:t xml:space="preserve">　政府因應高齡者多元需求推動因應超高齡社會對策方案，惟方案匡列經費偏重於醫療及長照服務，且各面向規劃工作比重差異頗大，又部分執行策</w:t>
      </w:r>
      <w:r w:rsidRPr="00693D1C">
        <w:rPr>
          <w:rFonts w:hAnsi="標楷體" w:hint="eastAsia"/>
          <w:b/>
          <w:color w:val="000000" w:themeColor="text1"/>
          <w:spacing w:val="-4"/>
          <w:sz w:val="28"/>
          <w:szCs w:val="28"/>
        </w:rPr>
        <w:t>略對應權責機關及政策措施仍有擴增空間，允宜滾動檢討方案經費配置及工作項目，並強化方案與其他重大計畫間之跨部會整合及協調機制，以完善高齡政策發展。</w:t>
      </w:r>
    </w:p>
    <w:p w14:paraId="20C5445D" w14:textId="4DC4F5D5" w:rsidR="00693D1C" w:rsidRPr="00693D1C" w:rsidRDefault="00301A4D" w:rsidP="003625A7">
      <w:pPr>
        <w:overflowPunct w:val="0"/>
        <w:spacing w:line="424" w:lineRule="exact"/>
        <w:ind w:firstLineChars="200" w:firstLine="480"/>
        <w:jc w:val="both"/>
        <w:rPr>
          <w:rFonts w:ascii="新細明體" w:hAnsi="標楷體" w:cs="新細明體"/>
          <w:color w:val="000000" w:themeColor="text1"/>
          <w:szCs w:val="24"/>
        </w:rPr>
      </w:pPr>
      <w:r w:rsidRPr="00693D1C">
        <w:rPr>
          <w:rFonts w:ascii="新細明體" w:hAnsi="標楷體" w:cs="新細明體"/>
          <w:noProof/>
          <w:color w:val="000000" w:themeColor="text1"/>
          <w:kern w:val="0"/>
          <w:szCs w:val="24"/>
        </w:rPr>
        <mc:AlternateContent>
          <mc:Choice Requires="wps">
            <w:drawing>
              <wp:anchor distT="0" distB="46990" distL="114935" distR="114935" simplePos="0" relativeHeight="251688960" behindDoc="0" locked="0" layoutInCell="1" allowOverlap="0" wp14:anchorId="12D7CF63" wp14:editId="37937D6D">
                <wp:simplePos x="0" y="0"/>
                <wp:positionH relativeFrom="margin">
                  <wp:posOffset>3243943</wp:posOffset>
                </wp:positionH>
                <wp:positionV relativeFrom="paragraph">
                  <wp:posOffset>1948180</wp:posOffset>
                </wp:positionV>
                <wp:extent cx="3053080" cy="4330065"/>
                <wp:effectExtent l="0" t="0" r="0" b="0"/>
                <wp:wrapSquare wrapText="bothSides"/>
                <wp:docPr id="448"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3080" cy="433006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9BF13D4" w14:textId="28A256FC" w:rsidR="00A0212B" w:rsidRPr="00EB0CF6" w:rsidRDefault="00A0212B" w:rsidP="00301A4D">
                            <w:pPr>
                              <w:tabs>
                                <w:tab w:val="left" w:pos="4494"/>
                              </w:tabs>
                              <w:spacing w:line="300" w:lineRule="exact"/>
                              <w:ind w:left="573" w:hangingChars="275" w:hanging="573"/>
                              <w:jc w:val="center"/>
                              <w:rPr>
                                <w:rFonts w:ascii="標楷體" w:eastAsia="標楷體" w:hAnsi="標楷體"/>
                                <w:b/>
                                <w:sz w:val="20"/>
                              </w:rPr>
                            </w:pPr>
                            <w:r w:rsidRPr="00423947">
                              <w:rPr>
                                <w:rFonts w:ascii="標楷體" w:eastAsia="標楷體" w:hAnsi="標楷體" w:hint="eastAsia"/>
                                <w:b/>
                                <w:spacing w:val="-16"/>
                              </w:rPr>
                              <w:t>表1</w:t>
                            </w:r>
                            <w:r>
                              <w:rPr>
                                <w:rFonts w:ascii="標楷體" w:eastAsia="標楷體" w:hAnsi="標楷體"/>
                                <w:b/>
                                <w:spacing w:val="-16"/>
                              </w:rPr>
                              <w:t>4</w:t>
                            </w:r>
                            <w:r w:rsidRPr="00423947">
                              <w:rPr>
                                <w:rFonts w:ascii="標楷體" w:eastAsia="標楷體" w:hAnsi="標楷體" w:hint="eastAsia"/>
                                <w:b/>
                                <w:spacing w:val="-16"/>
                              </w:rPr>
                              <w:t xml:space="preserve">　</w:t>
                            </w:r>
                            <w:r w:rsidRPr="00423947">
                              <w:rPr>
                                <w:rFonts w:ascii="標楷體" w:eastAsia="標楷體" w:hAnsi="標楷體" w:hint="eastAsia"/>
                                <w:b/>
                              </w:rPr>
                              <w:t>超高齡對策方案</w:t>
                            </w:r>
                            <w:r>
                              <w:rPr>
                                <w:rFonts w:ascii="標楷體" w:eastAsia="標楷體" w:hAnsi="標楷體" w:hint="eastAsia"/>
                                <w:b/>
                              </w:rPr>
                              <w:t>總</w:t>
                            </w:r>
                            <w:r w:rsidRPr="00423947">
                              <w:rPr>
                                <w:rFonts w:ascii="標楷體" w:eastAsia="標楷體" w:hAnsi="標楷體" w:hint="eastAsia"/>
                                <w:b/>
                              </w:rPr>
                              <w:t>經費需求</w:t>
                            </w:r>
                          </w:p>
                          <w:p w14:paraId="226870CD" w14:textId="77777777" w:rsidR="00A0212B" w:rsidRPr="00B97483" w:rsidRDefault="00A0212B" w:rsidP="00301A4D">
                            <w:pPr>
                              <w:tabs>
                                <w:tab w:val="left" w:pos="4494"/>
                              </w:tabs>
                              <w:spacing w:line="300" w:lineRule="exact"/>
                              <w:ind w:left="550" w:hangingChars="275" w:hanging="550"/>
                              <w:jc w:val="right"/>
                              <w:rPr>
                                <w:rFonts w:ascii="標楷體" w:eastAsia="標楷體" w:hAnsi="標楷體"/>
                                <w:color w:val="000000"/>
                                <w:sz w:val="20"/>
                              </w:rPr>
                            </w:pPr>
                            <w:r w:rsidRPr="00042129">
                              <w:rPr>
                                <w:rFonts w:ascii="標楷體" w:eastAsia="標楷體" w:hAnsi="標楷體" w:hint="eastAsia"/>
                                <w:color w:val="000000"/>
                                <w:sz w:val="20"/>
                              </w:rPr>
                              <w:t>單位：新臺幣千元、％</w:t>
                            </w:r>
                          </w:p>
                          <w:tbl>
                            <w:tblPr>
                              <w:tblW w:w="4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319"/>
                              <w:gridCol w:w="920"/>
                            </w:tblGrid>
                            <w:tr w:rsidR="00A0212B" w:rsidRPr="00E63D96" w14:paraId="2387E7E7" w14:textId="77777777" w:rsidTr="00693D1C">
                              <w:trPr>
                                <w:trHeight w:val="280"/>
                                <w:tblHeader/>
                              </w:trPr>
                              <w:tc>
                                <w:tcPr>
                                  <w:tcW w:w="2362" w:type="dxa"/>
                                  <w:vMerge w:val="restart"/>
                                  <w:vAlign w:val="center"/>
                                </w:tcPr>
                                <w:p w14:paraId="1BBC3893" w14:textId="77777777" w:rsidR="00A0212B" w:rsidRPr="00E63D96" w:rsidRDefault="00A0212B" w:rsidP="00693D1C">
                                  <w:pPr>
                                    <w:overflowPunct w:val="0"/>
                                    <w:spacing w:line="240" w:lineRule="exact"/>
                                    <w:jc w:val="center"/>
                                    <w:rPr>
                                      <w:rFonts w:ascii="標楷體" w:eastAsia="標楷體" w:hAnsi="標楷體"/>
                                      <w:color w:val="000000"/>
                                      <w:sz w:val="20"/>
                                    </w:rPr>
                                  </w:pPr>
                                  <w:r>
                                    <w:rPr>
                                      <w:rFonts w:ascii="標楷體" w:eastAsia="標楷體" w:hAnsi="標楷體" w:hint="eastAsia"/>
                                      <w:color w:val="000000"/>
                                      <w:sz w:val="20"/>
                                    </w:rPr>
                                    <w:t>主管</w:t>
                                  </w:r>
                                  <w:r w:rsidRPr="00E63D96">
                                    <w:rPr>
                                      <w:rFonts w:ascii="標楷體" w:eastAsia="標楷體" w:hAnsi="標楷體"/>
                                      <w:color w:val="000000"/>
                                      <w:sz w:val="20"/>
                                    </w:rPr>
                                    <w:t>別</w:t>
                                  </w:r>
                                </w:p>
                              </w:tc>
                              <w:tc>
                                <w:tcPr>
                                  <w:tcW w:w="2212" w:type="dxa"/>
                                  <w:gridSpan w:val="2"/>
                                </w:tcPr>
                                <w:p w14:paraId="1ED3198D" w14:textId="77777777" w:rsidR="00A0212B" w:rsidRPr="00E63D96" w:rsidRDefault="00A0212B" w:rsidP="00693D1C">
                                  <w:pPr>
                                    <w:overflowPunct w:val="0"/>
                                    <w:spacing w:line="240" w:lineRule="exact"/>
                                    <w:jc w:val="center"/>
                                    <w:rPr>
                                      <w:rFonts w:ascii="標楷體" w:eastAsia="標楷體" w:hAnsi="標楷體"/>
                                      <w:color w:val="000000"/>
                                      <w:sz w:val="20"/>
                                    </w:rPr>
                                  </w:pPr>
                                  <w:r w:rsidRPr="00042129">
                                    <w:rPr>
                                      <w:rFonts w:ascii="標楷體" w:eastAsia="標楷體" w:hAnsi="標楷體" w:hint="eastAsia"/>
                                      <w:color w:val="000000"/>
                                      <w:sz w:val="20"/>
                                    </w:rPr>
                                    <w:t>總經費需求</w:t>
                                  </w:r>
                                </w:p>
                              </w:tc>
                            </w:tr>
                            <w:tr w:rsidR="00A0212B" w:rsidRPr="00E63D96" w14:paraId="0A1CEDFB" w14:textId="77777777" w:rsidTr="00693D1C">
                              <w:trPr>
                                <w:trHeight w:val="52"/>
                                <w:tblHeader/>
                              </w:trPr>
                              <w:tc>
                                <w:tcPr>
                                  <w:tcW w:w="2362" w:type="dxa"/>
                                  <w:vMerge/>
                                </w:tcPr>
                                <w:p w14:paraId="2FD84CCE" w14:textId="77777777" w:rsidR="00A0212B" w:rsidRPr="00E63D96" w:rsidRDefault="00A0212B" w:rsidP="00693D1C">
                                  <w:pPr>
                                    <w:overflowPunct w:val="0"/>
                                    <w:spacing w:line="240" w:lineRule="exact"/>
                                    <w:rPr>
                                      <w:rFonts w:ascii="標楷體" w:eastAsia="標楷體" w:hAnsi="標楷體"/>
                                      <w:color w:val="000000"/>
                                      <w:spacing w:val="-8"/>
                                      <w:sz w:val="20"/>
                                    </w:rPr>
                                  </w:pPr>
                                </w:p>
                              </w:tc>
                              <w:tc>
                                <w:tcPr>
                                  <w:tcW w:w="1290" w:type="dxa"/>
                                  <w:vAlign w:val="center"/>
                                </w:tcPr>
                                <w:p w14:paraId="1807440B" w14:textId="77777777" w:rsidR="00A0212B" w:rsidRPr="00042129" w:rsidRDefault="00A0212B" w:rsidP="00693D1C">
                                  <w:pPr>
                                    <w:overflowPunct w:val="0"/>
                                    <w:spacing w:line="240" w:lineRule="exact"/>
                                    <w:jc w:val="center"/>
                                    <w:rPr>
                                      <w:rFonts w:ascii="標楷體" w:eastAsia="標楷體" w:hAnsi="標楷體"/>
                                      <w:color w:val="000000"/>
                                      <w:sz w:val="20"/>
                                    </w:rPr>
                                  </w:pPr>
                                  <w:r w:rsidRPr="00042129">
                                    <w:rPr>
                                      <w:rFonts w:ascii="標楷體" w:eastAsia="標楷體" w:hAnsi="標楷體" w:hint="eastAsia"/>
                                      <w:color w:val="000000"/>
                                      <w:sz w:val="20"/>
                                    </w:rPr>
                                    <w:t>金額</w:t>
                                  </w:r>
                                </w:p>
                              </w:tc>
                              <w:tc>
                                <w:tcPr>
                                  <w:tcW w:w="922" w:type="dxa"/>
                                  <w:vAlign w:val="center"/>
                                </w:tcPr>
                                <w:p w14:paraId="69CA1F3A" w14:textId="77777777" w:rsidR="00A0212B" w:rsidRPr="00042129" w:rsidRDefault="00A0212B" w:rsidP="00693D1C">
                                  <w:pPr>
                                    <w:overflowPunct w:val="0"/>
                                    <w:spacing w:line="240" w:lineRule="exact"/>
                                    <w:jc w:val="center"/>
                                    <w:rPr>
                                      <w:rFonts w:ascii="標楷體" w:eastAsia="標楷體" w:hAnsi="標楷體"/>
                                      <w:color w:val="000000"/>
                                      <w:sz w:val="20"/>
                                    </w:rPr>
                                  </w:pPr>
                                  <w:r w:rsidRPr="00042129">
                                    <w:rPr>
                                      <w:rFonts w:ascii="標楷體" w:eastAsia="標楷體" w:hAnsi="標楷體"/>
                                      <w:color w:val="000000"/>
                                      <w:sz w:val="20"/>
                                    </w:rPr>
                                    <w:t>占比</w:t>
                                  </w:r>
                                </w:p>
                              </w:tc>
                            </w:tr>
                            <w:tr w:rsidR="00A0212B" w:rsidRPr="00E63D96" w14:paraId="17393ADA" w14:textId="77777777" w:rsidTr="00693D1C">
                              <w:trPr>
                                <w:trHeight w:val="280"/>
                                <w:tblHeader/>
                              </w:trPr>
                              <w:tc>
                                <w:tcPr>
                                  <w:tcW w:w="2362" w:type="dxa"/>
                                  <w:vAlign w:val="center"/>
                                </w:tcPr>
                                <w:p w14:paraId="12E27DF8" w14:textId="77777777" w:rsidR="00A0212B" w:rsidRPr="003C034B" w:rsidRDefault="00A0212B" w:rsidP="00693D1C">
                                  <w:pPr>
                                    <w:overflowPunct w:val="0"/>
                                    <w:spacing w:line="300" w:lineRule="exact"/>
                                    <w:jc w:val="center"/>
                                    <w:rPr>
                                      <w:rFonts w:ascii="標楷體" w:eastAsia="標楷體" w:hAnsi="標楷體" w:cs="標楷體"/>
                                      <w:b/>
                                      <w:sz w:val="20"/>
                                    </w:rPr>
                                  </w:pPr>
                                  <w:r w:rsidRPr="003C034B">
                                    <w:rPr>
                                      <w:rFonts w:ascii="標楷體" w:eastAsia="標楷體" w:hAnsi="標楷體" w:cs="標楷體" w:hint="eastAsia"/>
                                      <w:b/>
                                      <w:sz w:val="20"/>
                                    </w:rPr>
                                    <w:t>合計</w:t>
                                  </w:r>
                                </w:p>
                              </w:tc>
                              <w:tc>
                                <w:tcPr>
                                  <w:tcW w:w="1290" w:type="dxa"/>
                                  <w:vAlign w:val="center"/>
                                </w:tcPr>
                                <w:p w14:paraId="16074706" w14:textId="77777777" w:rsidR="00A0212B" w:rsidRPr="003C034B" w:rsidRDefault="00A0212B" w:rsidP="00693D1C">
                                  <w:pPr>
                                    <w:overflowPunct w:val="0"/>
                                    <w:spacing w:line="300" w:lineRule="exact"/>
                                    <w:jc w:val="right"/>
                                    <w:rPr>
                                      <w:rFonts w:ascii="標楷體" w:eastAsia="標楷體" w:hAnsi="標楷體" w:cs="標楷體"/>
                                      <w:b/>
                                      <w:sz w:val="20"/>
                                    </w:rPr>
                                  </w:pPr>
                                  <w:r w:rsidRPr="003C034B">
                                    <w:rPr>
                                      <w:rFonts w:ascii="標楷體" w:eastAsia="標楷體" w:hAnsi="標楷體" w:cs="標楷體"/>
                                      <w:b/>
                                      <w:sz w:val="20"/>
                                    </w:rPr>
                                    <w:t>120</w:t>
                                  </w:r>
                                  <w:r w:rsidRPr="003C034B">
                                    <w:rPr>
                                      <w:rFonts w:ascii="標楷體" w:eastAsia="標楷體" w:hAnsi="標楷體" w:cs="標楷體" w:hint="eastAsia"/>
                                      <w:b/>
                                      <w:sz w:val="20"/>
                                    </w:rPr>
                                    <w:t>,</w:t>
                                  </w:r>
                                  <w:r w:rsidRPr="003C034B">
                                    <w:rPr>
                                      <w:rFonts w:ascii="標楷體" w:eastAsia="標楷體" w:hAnsi="標楷體" w:cs="標楷體"/>
                                      <w:b/>
                                      <w:sz w:val="20"/>
                                    </w:rPr>
                                    <w:t>699</w:t>
                                  </w:r>
                                  <w:r w:rsidRPr="003C034B">
                                    <w:rPr>
                                      <w:rFonts w:ascii="標楷體" w:eastAsia="標楷體" w:hAnsi="標楷體" w:cs="標楷體" w:hint="eastAsia"/>
                                      <w:b/>
                                      <w:sz w:val="20"/>
                                    </w:rPr>
                                    <w:t>,</w:t>
                                  </w:r>
                                  <w:r w:rsidRPr="003C034B">
                                    <w:rPr>
                                      <w:rFonts w:ascii="標楷體" w:eastAsia="標楷體" w:hAnsi="標楷體" w:cs="標楷體"/>
                                      <w:b/>
                                      <w:sz w:val="20"/>
                                    </w:rPr>
                                    <w:t>859</w:t>
                                  </w:r>
                                </w:p>
                              </w:tc>
                              <w:tc>
                                <w:tcPr>
                                  <w:tcW w:w="922" w:type="dxa"/>
                                  <w:vAlign w:val="center"/>
                                </w:tcPr>
                                <w:p w14:paraId="303C5FF0" w14:textId="77777777" w:rsidR="00A0212B" w:rsidRPr="003C034B" w:rsidRDefault="00A0212B" w:rsidP="00693D1C">
                                  <w:pPr>
                                    <w:overflowPunct w:val="0"/>
                                    <w:spacing w:line="300" w:lineRule="exact"/>
                                    <w:jc w:val="right"/>
                                    <w:rPr>
                                      <w:rFonts w:ascii="標楷體" w:eastAsia="標楷體" w:hAnsi="標楷體" w:cs="標楷體"/>
                                      <w:b/>
                                      <w:sz w:val="20"/>
                                    </w:rPr>
                                  </w:pPr>
                                  <w:r w:rsidRPr="003C034B">
                                    <w:rPr>
                                      <w:rFonts w:ascii="標楷體" w:eastAsia="標楷體" w:hAnsi="標楷體" w:cs="標楷體" w:hint="eastAsia"/>
                                      <w:b/>
                                      <w:sz w:val="20"/>
                                    </w:rPr>
                                    <w:t>1</w:t>
                                  </w:r>
                                  <w:r w:rsidRPr="003C034B">
                                    <w:rPr>
                                      <w:rFonts w:ascii="標楷體" w:eastAsia="標楷體" w:hAnsi="標楷體" w:cs="標楷體"/>
                                      <w:b/>
                                      <w:sz w:val="20"/>
                                    </w:rPr>
                                    <w:t>00.00</w:t>
                                  </w:r>
                                </w:p>
                              </w:tc>
                            </w:tr>
                            <w:tr w:rsidR="00A0212B" w:rsidRPr="00E63D96" w14:paraId="20360D6F" w14:textId="77777777" w:rsidTr="00693D1C">
                              <w:trPr>
                                <w:trHeight w:val="280"/>
                                <w:tblHeader/>
                              </w:trPr>
                              <w:tc>
                                <w:tcPr>
                                  <w:tcW w:w="2362" w:type="dxa"/>
                                  <w:vAlign w:val="center"/>
                                </w:tcPr>
                                <w:p w14:paraId="09938DAC" w14:textId="77777777" w:rsidR="00A0212B" w:rsidRPr="003C034B" w:rsidRDefault="00A0212B" w:rsidP="00693D1C">
                                  <w:pPr>
                                    <w:overflowPunct w:val="0"/>
                                    <w:spacing w:line="300" w:lineRule="exact"/>
                                    <w:jc w:val="both"/>
                                    <w:rPr>
                                      <w:rFonts w:ascii="標楷體" w:eastAsia="標楷體" w:hAnsi="標楷體" w:cs="標楷體"/>
                                      <w:sz w:val="20"/>
                                    </w:rPr>
                                  </w:pPr>
                                  <w:r>
                                    <w:rPr>
                                      <w:rFonts w:ascii="標楷體" w:eastAsia="標楷體" w:hAnsi="標楷體" w:cs="標楷體" w:hint="eastAsia"/>
                                      <w:sz w:val="20"/>
                                    </w:rPr>
                                    <w:t>衛生福利</w:t>
                                  </w:r>
                                  <w:r w:rsidRPr="003C034B">
                                    <w:rPr>
                                      <w:rFonts w:ascii="標楷體" w:eastAsia="標楷體" w:hAnsi="標楷體" w:cs="標楷體" w:hint="eastAsia"/>
                                      <w:sz w:val="20"/>
                                    </w:rPr>
                                    <w:t>部</w:t>
                                  </w:r>
                                </w:p>
                              </w:tc>
                              <w:tc>
                                <w:tcPr>
                                  <w:tcW w:w="1290" w:type="dxa"/>
                                  <w:vAlign w:val="center"/>
                                </w:tcPr>
                                <w:p w14:paraId="7CAEB61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sz w:val="20"/>
                                    </w:rPr>
                                    <w:t>92</w:t>
                                  </w:r>
                                  <w:r w:rsidRPr="003C034B">
                                    <w:rPr>
                                      <w:rFonts w:ascii="標楷體" w:eastAsia="標楷體" w:hAnsi="標楷體" w:cs="標楷體" w:hint="eastAsia"/>
                                      <w:sz w:val="20"/>
                                    </w:rPr>
                                    <w:t>,</w:t>
                                  </w:r>
                                  <w:r w:rsidRPr="003C034B">
                                    <w:rPr>
                                      <w:rFonts w:ascii="標楷體" w:eastAsia="標楷體" w:hAnsi="標楷體" w:cs="標楷體"/>
                                      <w:sz w:val="20"/>
                                    </w:rPr>
                                    <w:t>898</w:t>
                                  </w:r>
                                  <w:r w:rsidRPr="003C034B">
                                    <w:rPr>
                                      <w:rFonts w:ascii="標楷體" w:eastAsia="標楷體" w:hAnsi="標楷體" w:cs="標楷體" w:hint="eastAsia"/>
                                      <w:sz w:val="20"/>
                                    </w:rPr>
                                    <w:t>,</w:t>
                                  </w:r>
                                  <w:r w:rsidRPr="003C034B">
                                    <w:rPr>
                                      <w:rFonts w:ascii="標楷體" w:eastAsia="標楷體" w:hAnsi="標楷體" w:cs="標楷體"/>
                                      <w:sz w:val="20"/>
                                    </w:rPr>
                                    <w:t>399</w:t>
                                  </w:r>
                                </w:p>
                              </w:tc>
                              <w:tc>
                                <w:tcPr>
                                  <w:tcW w:w="922" w:type="dxa"/>
                                  <w:vAlign w:val="center"/>
                                </w:tcPr>
                                <w:p w14:paraId="558D139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76.</w:t>
                                  </w:r>
                                  <w:r w:rsidRPr="003C034B">
                                    <w:rPr>
                                      <w:rFonts w:ascii="標楷體" w:eastAsia="標楷體" w:hAnsi="標楷體" w:cs="標楷體"/>
                                      <w:sz w:val="20"/>
                                    </w:rPr>
                                    <w:t>97</w:t>
                                  </w:r>
                                </w:p>
                              </w:tc>
                            </w:tr>
                            <w:tr w:rsidR="00A0212B" w:rsidRPr="00E63D96" w14:paraId="7D7FE8C1" w14:textId="77777777" w:rsidTr="00693D1C">
                              <w:trPr>
                                <w:trHeight w:val="280"/>
                                <w:tblHeader/>
                              </w:trPr>
                              <w:tc>
                                <w:tcPr>
                                  <w:tcW w:w="2362" w:type="dxa"/>
                                  <w:vAlign w:val="center"/>
                                </w:tcPr>
                                <w:p w14:paraId="54AE12EC"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內政部</w:t>
                                  </w:r>
                                </w:p>
                              </w:tc>
                              <w:tc>
                                <w:tcPr>
                                  <w:tcW w:w="1290" w:type="dxa"/>
                                  <w:vAlign w:val="center"/>
                                </w:tcPr>
                                <w:p w14:paraId="3518B908"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13</w:t>
                                  </w:r>
                                  <w:r w:rsidRPr="003C034B">
                                    <w:rPr>
                                      <w:rFonts w:ascii="標楷體" w:eastAsia="標楷體" w:hAnsi="標楷體" w:cs="標楷體"/>
                                      <w:sz w:val="20"/>
                                    </w:rPr>
                                    <w:t>,</w:t>
                                  </w:r>
                                  <w:r w:rsidRPr="003C034B">
                                    <w:rPr>
                                      <w:rFonts w:ascii="標楷體" w:eastAsia="標楷體" w:hAnsi="標楷體" w:cs="標楷體" w:hint="eastAsia"/>
                                      <w:sz w:val="20"/>
                                    </w:rPr>
                                    <w:t>126</w:t>
                                  </w:r>
                                  <w:r w:rsidRPr="003C034B">
                                    <w:rPr>
                                      <w:rFonts w:ascii="標楷體" w:eastAsia="標楷體" w:hAnsi="標楷體" w:cs="標楷體"/>
                                      <w:sz w:val="20"/>
                                    </w:rPr>
                                    <w:t>,</w:t>
                                  </w:r>
                                  <w:r w:rsidRPr="003C034B">
                                    <w:rPr>
                                      <w:rFonts w:ascii="標楷體" w:eastAsia="標楷體" w:hAnsi="標楷體" w:cs="標楷體" w:hint="eastAsia"/>
                                      <w:sz w:val="20"/>
                                    </w:rPr>
                                    <w:t>643</w:t>
                                  </w:r>
                                </w:p>
                              </w:tc>
                              <w:tc>
                                <w:tcPr>
                                  <w:tcW w:w="922" w:type="dxa"/>
                                  <w:vAlign w:val="center"/>
                                </w:tcPr>
                                <w:p w14:paraId="107F44D2"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10.88</w:t>
                                  </w:r>
                                </w:p>
                              </w:tc>
                            </w:tr>
                            <w:tr w:rsidR="00A0212B" w:rsidRPr="00E63D96" w14:paraId="3B33A1C6" w14:textId="77777777" w:rsidTr="00693D1C">
                              <w:trPr>
                                <w:trHeight w:val="280"/>
                                <w:tblHeader/>
                              </w:trPr>
                              <w:tc>
                                <w:tcPr>
                                  <w:tcW w:w="2362" w:type="dxa"/>
                                  <w:vAlign w:val="center"/>
                                </w:tcPr>
                                <w:p w14:paraId="2F11245B"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原住民族委員會</w:t>
                                  </w:r>
                                </w:p>
                              </w:tc>
                              <w:tc>
                                <w:tcPr>
                                  <w:tcW w:w="1290" w:type="dxa"/>
                                  <w:vAlign w:val="center"/>
                                </w:tcPr>
                                <w:p w14:paraId="3FAC94C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5,179,000</w:t>
                                  </w:r>
                                </w:p>
                              </w:tc>
                              <w:tc>
                                <w:tcPr>
                                  <w:tcW w:w="922" w:type="dxa"/>
                                  <w:vAlign w:val="center"/>
                                </w:tcPr>
                                <w:p w14:paraId="5AD51280"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4.29</w:t>
                                  </w:r>
                                </w:p>
                              </w:tc>
                            </w:tr>
                            <w:tr w:rsidR="00A0212B" w:rsidRPr="00E63D96" w14:paraId="291D16BE" w14:textId="77777777" w:rsidTr="00693D1C">
                              <w:trPr>
                                <w:trHeight w:val="280"/>
                                <w:tblHeader/>
                              </w:trPr>
                              <w:tc>
                                <w:tcPr>
                                  <w:tcW w:w="2362" w:type="dxa"/>
                                  <w:vAlign w:val="center"/>
                                </w:tcPr>
                                <w:p w14:paraId="46D20AA3"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勞動部</w:t>
                                  </w:r>
                                </w:p>
                              </w:tc>
                              <w:tc>
                                <w:tcPr>
                                  <w:tcW w:w="1290" w:type="dxa"/>
                                  <w:vAlign w:val="center"/>
                                </w:tcPr>
                                <w:p w14:paraId="02EEE3AA"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3,076,084</w:t>
                                  </w:r>
                                </w:p>
                              </w:tc>
                              <w:tc>
                                <w:tcPr>
                                  <w:tcW w:w="922" w:type="dxa"/>
                                  <w:vAlign w:val="center"/>
                                </w:tcPr>
                                <w:p w14:paraId="21A09912"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2.55</w:t>
                                  </w:r>
                                </w:p>
                              </w:tc>
                            </w:tr>
                            <w:tr w:rsidR="00A0212B" w:rsidRPr="00E63D96" w14:paraId="25774DBE" w14:textId="77777777" w:rsidTr="00693D1C">
                              <w:trPr>
                                <w:trHeight w:val="280"/>
                                <w:tblHeader/>
                              </w:trPr>
                              <w:tc>
                                <w:tcPr>
                                  <w:tcW w:w="2362" w:type="dxa"/>
                                  <w:vAlign w:val="center"/>
                                </w:tcPr>
                                <w:p w14:paraId="5BFE4147"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教育部</w:t>
                                  </w:r>
                                </w:p>
                              </w:tc>
                              <w:tc>
                                <w:tcPr>
                                  <w:tcW w:w="1290" w:type="dxa"/>
                                  <w:vAlign w:val="center"/>
                                </w:tcPr>
                                <w:p w14:paraId="441B1AD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3</w:t>
                                  </w:r>
                                  <w:r w:rsidRPr="003C034B">
                                    <w:rPr>
                                      <w:rFonts w:ascii="標楷體" w:eastAsia="標楷體" w:hAnsi="標楷體" w:cs="標楷體"/>
                                      <w:sz w:val="20"/>
                                    </w:rPr>
                                    <w:t>,</w:t>
                                  </w:r>
                                  <w:r w:rsidRPr="003C034B">
                                    <w:rPr>
                                      <w:rFonts w:ascii="標楷體" w:eastAsia="標楷體" w:hAnsi="標楷體" w:cs="標楷體" w:hint="eastAsia"/>
                                      <w:sz w:val="20"/>
                                    </w:rPr>
                                    <w:t>0</w:t>
                                  </w:r>
                                  <w:r w:rsidRPr="003C034B">
                                    <w:rPr>
                                      <w:rFonts w:ascii="標楷體" w:eastAsia="標楷體" w:hAnsi="標楷體" w:cs="標楷體"/>
                                      <w:sz w:val="20"/>
                                    </w:rPr>
                                    <w:t>73,585</w:t>
                                  </w:r>
                                </w:p>
                              </w:tc>
                              <w:tc>
                                <w:tcPr>
                                  <w:tcW w:w="922" w:type="dxa"/>
                                  <w:vAlign w:val="center"/>
                                </w:tcPr>
                                <w:p w14:paraId="5EE22A22"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2.55</w:t>
                                  </w:r>
                                </w:p>
                              </w:tc>
                            </w:tr>
                            <w:tr w:rsidR="00A0212B" w:rsidRPr="00E63D96" w14:paraId="378A4245" w14:textId="77777777" w:rsidTr="00693D1C">
                              <w:trPr>
                                <w:trHeight w:val="280"/>
                                <w:tblHeader/>
                              </w:trPr>
                              <w:tc>
                                <w:tcPr>
                                  <w:tcW w:w="2362" w:type="dxa"/>
                                  <w:vAlign w:val="center"/>
                                </w:tcPr>
                                <w:p w14:paraId="6CEE415F"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交通部</w:t>
                                  </w:r>
                                </w:p>
                              </w:tc>
                              <w:tc>
                                <w:tcPr>
                                  <w:tcW w:w="1290" w:type="dxa"/>
                                  <w:vAlign w:val="center"/>
                                </w:tcPr>
                                <w:p w14:paraId="0B4EC111"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2</w:t>
                                  </w:r>
                                  <w:r w:rsidRPr="003C034B">
                                    <w:rPr>
                                      <w:rFonts w:ascii="標楷體" w:eastAsia="標楷體" w:hAnsi="標楷體" w:cs="標楷體"/>
                                      <w:sz w:val="20"/>
                                    </w:rPr>
                                    <w:t>,312,874</w:t>
                                  </w:r>
                                </w:p>
                              </w:tc>
                              <w:tc>
                                <w:tcPr>
                                  <w:tcW w:w="922" w:type="dxa"/>
                                  <w:vAlign w:val="center"/>
                                </w:tcPr>
                                <w:p w14:paraId="67515DD9"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1.92</w:t>
                                  </w:r>
                                </w:p>
                              </w:tc>
                            </w:tr>
                            <w:tr w:rsidR="00A0212B" w:rsidRPr="00E63D96" w14:paraId="2A9F8E1D" w14:textId="77777777" w:rsidTr="00693D1C">
                              <w:trPr>
                                <w:trHeight w:val="280"/>
                                <w:tblHeader/>
                              </w:trPr>
                              <w:tc>
                                <w:tcPr>
                                  <w:tcW w:w="2362" w:type="dxa"/>
                                  <w:vAlign w:val="center"/>
                                </w:tcPr>
                                <w:p w14:paraId="4E1D353F" w14:textId="77777777" w:rsidR="00A0212B" w:rsidRPr="003C034B" w:rsidRDefault="00A0212B" w:rsidP="00693D1C">
                                  <w:pPr>
                                    <w:overflowPunct w:val="0"/>
                                    <w:spacing w:line="300" w:lineRule="exact"/>
                                    <w:jc w:val="both"/>
                                    <w:rPr>
                                      <w:rFonts w:ascii="標楷體" w:eastAsia="標楷體" w:hAnsi="標楷體" w:cs="標楷體"/>
                                      <w:sz w:val="20"/>
                                    </w:rPr>
                                  </w:pPr>
                                  <w:r w:rsidRPr="00AE73DA">
                                    <w:rPr>
                                      <w:rFonts w:ascii="標楷體" w:eastAsia="標楷體" w:hAnsi="標楷體" w:cs="標楷體" w:hint="eastAsia"/>
                                      <w:sz w:val="20"/>
                                    </w:rPr>
                                    <w:t>農業委員會（農業部）</w:t>
                                  </w:r>
                                </w:p>
                              </w:tc>
                              <w:tc>
                                <w:tcPr>
                                  <w:tcW w:w="1290" w:type="dxa"/>
                                  <w:vAlign w:val="center"/>
                                </w:tcPr>
                                <w:p w14:paraId="5190861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512,640</w:t>
                                  </w:r>
                                </w:p>
                              </w:tc>
                              <w:tc>
                                <w:tcPr>
                                  <w:tcW w:w="922" w:type="dxa"/>
                                  <w:vAlign w:val="center"/>
                                </w:tcPr>
                                <w:p w14:paraId="307599F1"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0.42</w:t>
                                  </w:r>
                                </w:p>
                              </w:tc>
                            </w:tr>
                            <w:tr w:rsidR="00A0212B" w:rsidRPr="00E63D96" w14:paraId="550581D3" w14:textId="77777777" w:rsidTr="00693D1C">
                              <w:trPr>
                                <w:trHeight w:val="280"/>
                                <w:tblHeader/>
                              </w:trPr>
                              <w:tc>
                                <w:tcPr>
                                  <w:tcW w:w="2362" w:type="dxa"/>
                                  <w:vAlign w:val="center"/>
                                </w:tcPr>
                                <w:p w14:paraId="461BC707" w14:textId="77777777" w:rsidR="00A0212B" w:rsidRPr="00EB0CF6" w:rsidRDefault="00A0212B" w:rsidP="00693D1C">
                                  <w:pPr>
                                    <w:overflowPunct w:val="0"/>
                                    <w:spacing w:line="300" w:lineRule="exact"/>
                                    <w:jc w:val="both"/>
                                    <w:rPr>
                                      <w:rFonts w:ascii="標楷體" w:eastAsia="標楷體" w:hAnsi="標楷體" w:cs="標楷體"/>
                                      <w:spacing w:val="-14"/>
                                      <w:sz w:val="20"/>
                                    </w:rPr>
                                  </w:pPr>
                                  <w:r w:rsidRPr="00EB0CF6">
                                    <w:rPr>
                                      <w:rFonts w:ascii="標楷體" w:eastAsia="標楷體" w:hAnsi="標楷體" w:cs="標楷體" w:hint="eastAsia"/>
                                      <w:spacing w:val="-14"/>
                                      <w:sz w:val="20"/>
                                    </w:rPr>
                                    <w:t>國軍退除役官兵輔導委員會</w:t>
                                  </w:r>
                                </w:p>
                              </w:tc>
                              <w:tc>
                                <w:tcPr>
                                  <w:tcW w:w="1290" w:type="dxa"/>
                                  <w:vAlign w:val="center"/>
                                </w:tcPr>
                                <w:p w14:paraId="32AF1EE0"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185,710</w:t>
                                  </w:r>
                                </w:p>
                              </w:tc>
                              <w:tc>
                                <w:tcPr>
                                  <w:tcW w:w="922" w:type="dxa"/>
                                  <w:vAlign w:val="center"/>
                                </w:tcPr>
                                <w:p w14:paraId="03404E39"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0.15</w:t>
                                  </w:r>
                                </w:p>
                              </w:tc>
                            </w:tr>
                            <w:tr w:rsidR="00A0212B" w:rsidRPr="00E63D96" w14:paraId="34641119" w14:textId="77777777" w:rsidTr="00693D1C">
                              <w:trPr>
                                <w:trHeight w:val="280"/>
                                <w:tblHeader/>
                              </w:trPr>
                              <w:tc>
                                <w:tcPr>
                                  <w:tcW w:w="2362" w:type="dxa"/>
                                  <w:vAlign w:val="center"/>
                                </w:tcPr>
                                <w:p w14:paraId="4F52606F" w14:textId="77777777" w:rsidR="00A0212B" w:rsidRPr="003C034B" w:rsidRDefault="00A0212B" w:rsidP="00AE73DA">
                                  <w:pPr>
                                    <w:overflowPunct w:val="0"/>
                                    <w:spacing w:line="300" w:lineRule="exact"/>
                                    <w:jc w:val="both"/>
                                    <w:rPr>
                                      <w:rFonts w:ascii="標楷體" w:eastAsia="標楷體" w:hAnsi="標楷體" w:cs="標楷體"/>
                                      <w:spacing w:val="-6"/>
                                      <w:sz w:val="20"/>
                                    </w:rPr>
                                  </w:pPr>
                                  <w:r>
                                    <w:rPr>
                                      <w:rFonts w:ascii="標楷體" w:eastAsia="標楷體" w:hAnsi="標楷體" w:cs="標楷體" w:hint="eastAsia"/>
                                      <w:spacing w:val="-6"/>
                                      <w:sz w:val="20"/>
                                    </w:rPr>
                                    <w:t>國家科學</w:t>
                                  </w:r>
                                  <w:r>
                                    <w:rPr>
                                      <w:rFonts w:ascii="標楷體" w:eastAsia="標楷體" w:hAnsi="標楷體" w:cs="標楷體"/>
                                      <w:spacing w:val="-6"/>
                                      <w:sz w:val="20"/>
                                    </w:rPr>
                                    <w:t>及技術委員會</w:t>
                                  </w:r>
                                </w:p>
                              </w:tc>
                              <w:tc>
                                <w:tcPr>
                                  <w:tcW w:w="1290" w:type="dxa"/>
                                  <w:vAlign w:val="center"/>
                                </w:tcPr>
                                <w:p w14:paraId="264A5892"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168,800</w:t>
                                  </w:r>
                                </w:p>
                              </w:tc>
                              <w:tc>
                                <w:tcPr>
                                  <w:tcW w:w="922" w:type="dxa"/>
                                  <w:vAlign w:val="center"/>
                                </w:tcPr>
                                <w:p w14:paraId="0D348F24"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0.14</w:t>
                                  </w:r>
                                </w:p>
                              </w:tc>
                            </w:tr>
                            <w:tr w:rsidR="00A0212B" w:rsidRPr="00E63D96" w14:paraId="19E900CE" w14:textId="77777777" w:rsidTr="00693D1C">
                              <w:trPr>
                                <w:trHeight w:val="280"/>
                                <w:tblHeader/>
                              </w:trPr>
                              <w:tc>
                                <w:tcPr>
                                  <w:tcW w:w="2362" w:type="dxa"/>
                                  <w:vAlign w:val="center"/>
                                </w:tcPr>
                                <w:p w14:paraId="7DF0CEAF"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客家委員會</w:t>
                                  </w:r>
                                </w:p>
                              </w:tc>
                              <w:tc>
                                <w:tcPr>
                                  <w:tcW w:w="1290" w:type="dxa"/>
                                  <w:vAlign w:val="center"/>
                                </w:tcPr>
                                <w:p w14:paraId="1A361147"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109,000</w:t>
                                  </w:r>
                                </w:p>
                              </w:tc>
                              <w:tc>
                                <w:tcPr>
                                  <w:tcW w:w="922" w:type="dxa"/>
                                  <w:vAlign w:val="center"/>
                                </w:tcPr>
                                <w:p w14:paraId="27419474"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0.09</w:t>
                                  </w:r>
                                </w:p>
                              </w:tc>
                            </w:tr>
                            <w:tr w:rsidR="00A0212B" w:rsidRPr="00E63D96" w14:paraId="545488AC" w14:textId="77777777" w:rsidTr="00693D1C">
                              <w:trPr>
                                <w:trHeight w:val="280"/>
                                <w:tblHeader/>
                              </w:trPr>
                              <w:tc>
                                <w:tcPr>
                                  <w:tcW w:w="2362" w:type="dxa"/>
                                  <w:vAlign w:val="center"/>
                                </w:tcPr>
                                <w:p w14:paraId="1AD0B06F"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經濟部</w:t>
                                  </w:r>
                                </w:p>
                              </w:tc>
                              <w:tc>
                                <w:tcPr>
                                  <w:tcW w:w="1290" w:type="dxa"/>
                                  <w:vAlign w:val="center"/>
                                </w:tcPr>
                                <w:p w14:paraId="530D64BF"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47,650</w:t>
                                  </w:r>
                                </w:p>
                              </w:tc>
                              <w:tc>
                                <w:tcPr>
                                  <w:tcW w:w="922" w:type="dxa"/>
                                  <w:vAlign w:val="center"/>
                                </w:tcPr>
                                <w:p w14:paraId="43DEC5BC"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0.04</w:t>
                                  </w:r>
                                </w:p>
                              </w:tc>
                            </w:tr>
                            <w:tr w:rsidR="00A0212B" w:rsidRPr="00E63D96" w14:paraId="40D0690E" w14:textId="77777777" w:rsidTr="00693D1C">
                              <w:trPr>
                                <w:trHeight w:val="280"/>
                                <w:tblHeader/>
                              </w:trPr>
                              <w:tc>
                                <w:tcPr>
                                  <w:tcW w:w="2362" w:type="dxa"/>
                                  <w:vAlign w:val="center"/>
                                </w:tcPr>
                                <w:p w14:paraId="4A0C2459"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文化部</w:t>
                                  </w:r>
                                </w:p>
                              </w:tc>
                              <w:tc>
                                <w:tcPr>
                                  <w:tcW w:w="1290" w:type="dxa"/>
                                  <w:vAlign w:val="center"/>
                                </w:tcPr>
                                <w:p w14:paraId="4EDB3975"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6,600</w:t>
                                  </w:r>
                                </w:p>
                              </w:tc>
                              <w:tc>
                                <w:tcPr>
                                  <w:tcW w:w="922" w:type="dxa"/>
                                  <w:vAlign w:val="center"/>
                                </w:tcPr>
                                <w:p w14:paraId="4B381026"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0.01</w:t>
                                  </w:r>
                                </w:p>
                              </w:tc>
                            </w:tr>
                            <w:tr w:rsidR="00A0212B" w:rsidRPr="00E63D96" w14:paraId="40E51A75" w14:textId="77777777" w:rsidTr="00693D1C">
                              <w:trPr>
                                <w:trHeight w:val="280"/>
                                <w:tblHeader/>
                              </w:trPr>
                              <w:tc>
                                <w:tcPr>
                                  <w:tcW w:w="2362" w:type="dxa"/>
                                  <w:vAlign w:val="center"/>
                                </w:tcPr>
                                <w:p w14:paraId="165B2377" w14:textId="77777777" w:rsidR="00A0212B" w:rsidRPr="003C034B" w:rsidRDefault="00A0212B" w:rsidP="00693D1C">
                                  <w:pPr>
                                    <w:overflowPunct w:val="0"/>
                                    <w:spacing w:line="300" w:lineRule="exact"/>
                                    <w:jc w:val="both"/>
                                    <w:rPr>
                                      <w:rFonts w:ascii="標楷體" w:eastAsia="標楷體" w:hAnsi="標楷體" w:cs="標楷體"/>
                                      <w:sz w:val="20"/>
                                    </w:rPr>
                                  </w:pPr>
                                  <w:r w:rsidRPr="00AE73DA">
                                    <w:rPr>
                                      <w:rFonts w:ascii="標楷體" w:eastAsia="標楷體" w:hAnsi="標楷體" w:cs="標楷體" w:hint="eastAsia"/>
                                      <w:sz w:val="20"/>
                                    </w:rPr>
                                    <w:t>環境保護署（環境部）</w:t>
                                  </w:r>
                                </w:p>
                              </w:tc>
                              <w:tc>
                                <w:tcPr>
                                  <w:tcW w:w="1290" w:type="dxa"/>
                                  <w:vAlign w:val="center"/>
                                </w:tcPr>
                                <w:p w14:paraId="416C5CD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2</w:t>
                                  </w:r>
                                  <w:r w:rsidRPr="003C034B">
                                    <w:rPr>
                                      <w:rFonts w:ascii="標楷體" w:eastAsia="標楷體" w:hAnsi="標楷體" w:cs="標楷體"/>
                                      <w:sz w:val="20"/>
                                    </w:rPr>
                                    <w:t>,</w:t>
                                  </w:r>
                                  <w:r w:rsidRPr="003C034B">
                                    <w:rPr>
                                      <w:rFonts w:ascii="標楷體" w:eastAsia="標楷體" w:hAnsi="標楷體" w:cs="標楷體" w:hint="eastAsia"/>
                                      <w:sz w:val="20"/>
                                    </w:rPr>
                                    <w:t>6</w:t>
                                  </w:r>
                                  <w:r w:rsidRPr="003C034B">
                                    <w:rPr>
                                      <w:rFonts w:ascii="標楷體" w:eastAsia="標楷體" w:hAnsi="標楷體" w:cs="標楷體"/>
                                      <w:sz w:val="20"/>
                                    </w:rPr>
                                    <w:t>00</w:t>
                                  </w:r>
                                </w:p>
                              </w:tc>
                              <w:tc>
                                <w:tcPr>
                                  <w:tcW w:w="922" w:type="dxa"/>
                                  <w:vAlign w:val="center"/>
                                </w:tcPr>
                                <w:p w14:paraId="7533021D"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0.00</w:t>
                                  </w:r>
                                </w:p>
                              </w:tc>
                            </w:tr>
                            <w:tr w:rsidR="00A0212B" w:rsidRPr="00E63D96" w14:paraId="6551ED7C" w14:textId="77777777" w:rsidTr="00693D1C">
                              <w:trPr>
                                <w:trHeight w:val="280"/>
                                <w:tblHeader/>
                              </w:trPr>
                              <w:tc>
                                <w:tcPr>
                                  <w:tcW w:w="2362" w:type="dxa"/>
                                  <w:vAlign w:val="center"/>
                                </w:tcPr>
                                <w:p w14:paraId="3034C12A"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法務部</w:t>
                                  </w:r>
                                </w:p>
                              </w:tc>
                              <w:tc>
                                <w:tcPr>
                                  <w:tcW w:w="1290" w:type="dxa"/>
                                  <w:vAlign w:val="center"/>
                                </w:tcPr>
                                <w:p w14:paraId="72E326BF"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150</w:t>
                                  </w:r>
                                </w:p>
                              </w:tc>
                              <w:tc>
                                <w:tcPr>
                                  <w:tcW w:w="922" w:type="dxa"/>
                                  <w:vAlign w:val="center"/>
                                </w:tcPr>
                                <w:p w14:paraId="0F5259F6"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0.00</w:t>
                                  </w:r>
                                </w:p>
                              </w:tc>
                            </w:tr>
                            <w:tr w:rsidR="00A0212B" w:rsidRPr="00E63D96" w14:paraId="56C0ABD4" w14:textId="77777777" w:rsidTr="00693D1C">
                              <w:trPr>
                                <w:trHeight w:val="280"/>
                                <w:tblHeader/>
                              </w:trPr>
                              <w:tc>
                                <w:tcPr>
                                  <w:tcW w:w="2362" w:type="dxa"/>
                                  <w:vAlign w:val="center"/>
                                </w:tcPr>
                                <w:p w14:paraId="131093F4"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金融監督管理委員會</w:t>
                                  </w:r>
                                </w:p>
                              </w:tc>
                              <w:tc>
                                <w:tcPr>
                                  <w:tcW w:w="1290" w:type="dxa"/>
                                  <w:vAlign w:val="center"/>
                                </w:tcPr>
                                <w:p w14:paraId="7E08AC50"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124</w:t>
                                  </w:r>
                                </w:p>
                              </w:tc>
                              <w:tc>
                                <w:tcPr>
                                  <w:tcW w:w="922" w:type="dxa"/>
                                  <w:vAlign w:val="center"/>
                                </w:tcPr>
                                <w:p w14:paraId="2DC76D81"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0.00</w:t>
                                  </w:r>
                                </w:p>
                              </w:tc>
                            </w:tr>
                          </w:tbl>
                          <w:p w14:paraId="388CC62C" w14:textId="51F61A29" w:rsidR="00A0212B" w:rsidRDefault="00A0212B" w:rsidP="00301A4D">
                            <w:pPr>
                              <w:tabs>
                                <w:tab w:val="left" w:pos="6120"/>
                              </w:tabs>
                              <w:autoSpaceDE w:val="0"/>
                              <w:autoSpaceDN w:val="0"/>
                              <w:spacing w:line="260" w:lineRule="exact"/>
                              <w:ind w:left="935" w:right="34" w:hanging="924"/>
                              <w:jc w:val="both"/>
                              <w:rPr>
                                <w:rFonts w:ascii="標楷體" w:eastAsia="標楷體" w:hAnsi="標楷體"/>
                                <w:color w:val="000000"/>
                                <w:sz w:val="18"/>
                              </w:rPr>
                            </w:pPr>
                            <w:r w:rsidRPr="00E63D96">
                              <w:rPr>
                                <w:rFonts w:ascii="標楷體" w:eastAsia="標楷體" w:hAnsi="標楷體" w:cs="標楷體" w:hint="eastAsia"/>
                                <w:color w:val="000000"/>
                                <w:sz w:val="18"/>
                                <w:szCs w:val="18"/>
                              </w:rPr>
                              <w:t>資料來源：整理自</w:t>
                            </w:r>
                            <w:r w:rsidRPr="00042129">
                              <w:rPr>
                                <w:rFonts w:ascii="標楷體" w:eastAsia="標楷體" w:hAnsi="標楷體" w:cs="標楷體" w:hint="eastAsia"/>
                                <w:color w:val="000000"/>
                                <w:sz w:val="18"/>
                                <w:szCs w:val="18"/>
                              </w:rPr>
                              <w:t>「因應超高齡社會對策方案（</w:t>
                            </w:r>
                            <w:r w:rsidRPr="00042129">
                              <w:rPr>
                                <w:rFonts w:ascii="標楷體" w:eastAsia="標楷體" w:hAnsi="標楷體" w:cs="標楷體"/>
                                <w:color w:val="000000"/>
                                <w:sz w:val="18"/>
                                <w:szCs w:val="18"/>
                              </w:rPr>
                              <w:t>112</w:t>
                            </w:r>
                            <w:r w:rsidR="00DC4AE2" w:rsidRPr="00DC4AE2">
                              <w:rPr>
                                <w:rFonts w:ascii="標楷體" w:eastAsia="標楷體" w:hAnsi="標楷體" w:cs="標楷體" w:hint="eastAsia"/>
                                <w:color w:val="000000"/>
                                <w:sz w:val="18"/>
                                <w:szCs w:val="18"/>
                              </w:rPr>
                              <w:t>－</w:t>
                            </w:r>
                            <w:r w:rsidRPr="00042129">
                              <w:rPr>
                                <w:rFonts w:ascii="標楷體" w:eastAsia="標楷體" w:hAnsi="標楷體" w:cs="標楷體"/>
                                <w:color w:val="000000"/>
                                <w:sz w:val="18"/>
                                <w:szCs w:val="18"/>
                              </w:rPr>
                              <w:t>115年）」核定本</w:t>
                            </w:r>
                            <w:r w:rsidRPr="00E63D96">
                              <w:rPr>
                                <w:rFonts w:ascii="標楷體" w:eastAsia="標楷體" w:hAnsi="標楷體" w:cs="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D7CF63" id="文字方塊 4" o:spid="_x0000_s1052" type="#_x0000_t202" style="position:absolute;left:0;text-align:left;margin-left:255.45pt;margin-top:153.4pt;width:240.4pt;height:340.95pt;z-index:251688960;visibility:visible;mso-wrap-style:square;mso-width-percent:0;mso-height-percent:0;mso-wrap-distance-left:9.05pt;mso-wrap-distance-top:0;mso-wrap-distance-right:9.05pt;mso-wrap-distance-bottom:3.7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" o:allowoverlap="f" stroked="f" strokeweight=".5pt">
                <v:textbox>
                  <w:txbxContent>
                    <w:p w14:paraId="29BF13D4" w14:textId="28A256FC" w:rsidR="00A0212B" w:rsidRPr="00EB0CF6" w:rsidRDefault="00A0212B" w:rsidP="00301A4D">
                      <w:pPr>
                        <w:tabs>
                          <w:tab w:val="left" w:pos="4494"/>
                        </w:tabs>
                        <w:spacing w:line="300" w:lineRule="exact"/>
                        <w:ind w:left="573" w:hangingChars="275" w:hanging="573"/>
                        <w:jc w:val="center"/>
                        <w:rPr>
                          <w:rFonts w:ascii="標楷體" w:eastAsia="標楷體" w:hAnsi="標楷體"/>
                          <w:b/>
                          <w:sz w:val="20"/>
                        </w:rPr>
                      </w:pPr>
                      <w:r w:rsidRPr="00423947">
                        <w:rPr>
                          <w:rFonts w:ascii="標楷體" w:eastAsia="標楷體" w:hAnsi="標楷體" w:hint="eastAsia"/>
                          <w:b/>
                          <w:spacing w:val="-16"/>
                        </w:rPr>
                        <w:t>表1</w:t>
                      </w:r>
                      <w:r>
                        <w:rPr>
                          <w:rFonts w:ascii="標楷體" w:eastAsia="標楷體" w:hAnsi="標楷體"/>
                          <w:b/>
                          <w:spacing w:val="-16"/>
                        </w:rPr>
                        <w:t>4</w:t>
                      </w:r>
                      <w:r w:rsidRPr="00423947">
                        <w:rPr>
                          <w:rFonts w:ascii="標楷體" w:eastAsia="標楷體" w:hAnsi="標楷體" w:hint="eastAsia"/>
                          <w:b/>
                          <w:spacing w:val="-16"/>
                        </w:rPr>
                        <w:t xml:space="preserve">　</w:t>
                      </w:r>
                      <w:r w:rsidRPr="00423947">
                        <w:rPr>
                          <w:rFonts w:ascii="標楷體" w:eastAsia="標楷體" w:hAnsi="標楷體" w:hint="eastAsia"/>
                          <w:b/>
                        </w:rPr>
                        <w:t>超高齡對策方案</w:t>
                      </w:r>
                      <w:r>
                        <w:rPr>
                          <w:rFonts w:ascii="標楷體" w:eastAsia="標楷體" w:hAnsi="標楷體" w:hint="eastAsia"/>
                          <w:b/>
                        </w:rPr>
                        <w:t>總</w:t>
                      </w:r>
                      <w:r w:rsidRPr="00423947">
                        <w:rPr>
                          <w:rFonts w:ascii="標楷體" w:eastAsia="標楷體" w:hAnsi="標楷體" w:hint="eastAsia"/>
                          <w:b/>
                        </w:rPr>
                        <w:t>經費需求</w:t>
                      </w:r>
                    </w:p>
                    <w:p w14:paraId="226870CD" w14:textId="77777777" w:rsidR="00A0212B" w:rsidRPr="00B97483" w:rsidRDefault="00A0212B" w:rsidP="00301A4D">
                      <w:pPr>
                        <w:tabs>
                          <w:tab w:val="left" w:pos="4494"/>
                        </w:tabs>
                        <w:spacing w:line="300" w:lineRule="exact"/>
                        <w:ind w:left="550" w:hangingChars="275" w:hanging="550"/>
                        <w:jc w:val="right"/>
                        <w:rPr>
                          <w:rFonts w:ascii="標楷體" w:eastAsia="標楷體" w:hAnsi="標楷體"/>
                          <w:color w:val="000000"/>
                          <w:sz w:val="20"/>
                        </w:rPr>
                      </w:pPr>
                      <w:r w:rsidRPr="00042129">
                        <w:rPr>
                          <w:rFonts w:ascii="標楷體" w:eastAsia="標楷體" w:hAnsi="標楷體" w:hint="eastAsia"/>
                          <w:color w:val="000000"/>
                          <w:sz w:val="20"/>
                        </w:rPr>
                        <w:t>單位：新臺幣千元、％</w:t>
                      </w:r>
                    </w:p>
                    <w:tbl>
                      <w:tblPr>
                        <w:tblW w:w="45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1319"/>
                        <w:gridCol w:w="920"/>
                      </w:tblGrid>
                      <w:tr w:rsidR="00A0212B" w:rsidRPr="00E63D96" w14:paraId="2387E7E7" w14:textId="77777777" w:rsidTr="00693D1C">
                        <w:trPr>
                          <w:trHeight w:val="280"/>
                          <w:tblHeader/>
                        </w:trPr>
                        <w:tc>
                          <w:tcPr>
                            <w:tcW w:w="2362" w:type="dxa"/>
                            <w:vMerge w:val="restart"/>
                            <w:vAlign w:val="center"/>
                          </w:tcPr>
                          <w:p w14:paraId="1BBC3893" w14:textId="77777777" w:rsidR="00A0212B" w:rsidRPr="00E63D96" w:rsidRDefault="00A0212B" w:rsidP="00693D1C">
                            <w:pPr>
                              <w:overflowPunct w:val="0"/>
                              <w:spacing w:line="240" w:lineRule="exact"/>
                              <w:jc w:val="center"/>
                              <w:rPr>
                                <w:rFonts w:ascii="標楷體" w:eastAsia="標楷體" w:hAnsi="標楷體"/>
                                <w:color w:val="000000"/>
                                <w:sz w:val="20"/>
                              </w:rPr>
                            </w:pPr>
                            <w:r>
                              <w:rPr>
                                <w:rFonts w:ascii="標楷體" w:eastAsia="標楷體" w:hAnsi="標楷體" w:hint="eastAsia"/>
                                <w:color w:val="000000"/>
                                <w:sz w:val="20"/>
                              </w:rPr>
                              <w:t>主管</w:t>
                            </w:r>
                            <w:r w:rsidRPr="00E63D96">
                              <w:rPr>
                                <w:rFonts w:ascii="標楷體" w:eastAsia="標楷體" w:hAnsi="標楷體"/>
                                <w:color w:val="000000"/>
                                <w:sz w:val="20"/>
                              </w:rPr>
                              <w:t>別</w:t>
                            </w:r>
                          </w:p>
                        </w:tc>
                        <w:tc>
                          <w:tcPr>
                            <w:tcW w:w="2212" w:type="dxa"/>
                            <w:gridSpan w:val="2"/>
                          </w:tcPr>
                          <w:p w14:paraId="1ED3198D" w14:textId="77777777" w:rsidR="00A0212B" w:rsidRPr="00E63D96" w:rsidRDefault="00A0212B" w:rsidP="00693D1C">
                            <w:pPr>
                              <w:overflowPunct w:val="0"/>
                              <w:spacing w:line="240" w:lineRule="exact"/>
                              <w:jc w:val="center"/>
                              <w:rPr>
                                <w:rFonts w:ascii="標楷體" w:eastAsia="標楷體" w:hAnsi="標楷體"/>
                                <w:color w:val="000000"/>
                                <w:sz w:val="20"/>
                              </w:rPr>
                            </w:pPr>
                            <w:r w:rsidRPr="00042129">
                              <w:rPr>
                                <w:rFonts w:ascii="標楷體" w:eastAsia="標楷體" w:hAnsi="標楷體" w:hint="eastAsia"/>
                                <w:color w:val="000000"/>
                                <w:sz w:val="20"/>
                              </w:rPr>
                              <w:t>總經費需求</w:t>
                            </w:r>
                          </w:p>
                        </w:tc>
                      </w:tr>
                      <w:tr w:rsidR="00A0212B" w:rsidRPr="00E63D96" w14:paraId="0A1CEDFB" w14:textId="77777777" w:rsidTr="00693D1C">
                        <w:trPr>
                          <w:trHeight w:val="52"/>
                          <w:tblHeader/>
                        </w:trPr>
                        <w:tc>
                          <w:tcPr>
                            <w:tcW w:w="2362" w:type="dxa"/>
                            <w:vMerge/>
                          </w:tcPr>
                          <w:p w14:paraId="2FD84CCE" w14:textId="77777777" w:rsidR="00A0212B" w:rsidRPr="00E63D96" w:rsidRDefault="00A0212B" w:rsidP="00693D1C">
                            <w:pPr>
                              <w:overflowPunct w:val="0"/>
                              <w:spacing w:line="240" w:lineRule="exact"/>
                              <w:rPr>
                                <w:rFonts w:ascii="標楷體" w:eastAsia="標楷體" w:hAnsi="標楷體"/>
                                <w:color w:val="000000"/>
                                <w:spacing w:val="-8"/>
                                <w:sz w:val="20"/>
                              </w:rPr>
                            </w:pPr>
                          </w:p>
                        </w:tc>
                        <w:tc>
                          <w:tcPr>
                            <w:tcW w:w="1290" w:type="dxa"/>
                            <w:vAlign w:val="center"/>
                          </w:tcPr>
                          <w:p w14:paraId="1807440B" w14:textId="77777777" w:rsidR="00A0212B" w:rsidRPr="00042129" w:rsidRDefault="00A0212B" w:rsidP="00693D1C">
                            <w:pPr>
                              <w:overflowPunct w:val="0"/>
                              <w:spacing w:line="240" w:lineRule="exact"/>
                              <w:jc w:val="center"/>
                              <w:rPr>
                                <w:rFonts w:ascii="標楷體" w:eastAsia="標楷體" w:hAnsi="標楷體"/>
                                <w:color w:val="000000"/>
                                <w:sz w:val="20"/>
                              </w:rPr>
                            </w:pPr>
                            <w:r w:rsidRPr="00042129">
                              <w:rPr>
                                <w:rFonts w:ascii="標楷體" w:eastAsia="標楷體" w:hAnsi="標楷體" w:hint="eastAsia"/>
                                <w:color w:val="000000"/>
                                <w:sz w:val="20"/>
                              </w:rPr>
                              <w:t>金額</w:t>
                            </w:r>
                          </w:p>
                        </w:tc>
                        <w:tc>
                          <w:tcPr>
                            <w:tcW w:w="922" w:type="dxa"/>
                            <w:vAlign w:val="center"/>
                          </w:tcPr>
                          <w:p w14:paraId="69CA1F3A" w14:textId="77777777" w:rsidR="00A0212B" w:rsidRPr="00042129" w:rsidRDefault="00A0212B" w:rsidP="00693D1C">
                            <w:pPr>
                              <w:overflowPunct w:val="0"/>
                              <w:spacing w:line="240" w:lineRule="exact"/>
                              <w:jc w:val="center"/>
                              <w:rPr>
                                <w:rFonts w:ascii="標楷體" w:eastAsia="標楷體" w:hAnsi="標楷體"/>
                                <w:color w:val="000000"/>
                                <w:sz w:val="20"/>
                              </w:rPr>
                            </w:pPr>
                            <w:r w:rsidRPr="00042129">
                              <w:rPr>
                                <w:rFonts w:ascii="標楷體" w:eastAsia="標楷體" w:hAnsi="標楷體"/>
                                <w:color w:val="000000"/>
                                <w:sz w:val="20"/>
                              </w:rPr>
                              <w:t>占比</w:t>
                            </w:r>
                          </w:p>
                        </w:tc>
                      </w:tr>
                      <w:tr w:rsidR="00A0212B" w:rsidRPr="00E63D96" w14:paraId="17393ADA" w14:textId="77777777" w:rsidTr="00693D1C">
                        <w:trPr>
                          <w:trHeight w:val="280"/>
                          <w:tblHeader/>
                        </w:trPr>
                        <w:tc>
                          <w:tcPr>
                            <w:tcW w:w="2362" w:type="dxa"/>
                            <w:vAlign w:val="center"/>
                          </w:tcPr>
                          <w:p w14:paraId="12E27DF8" w14:textId="77777777" w:rsidR="00A0212B" w:rsidRPr="003C034B" w:rsidRDefault="00A0212B" w:rsidP="00693D1C">
                            <w:pPr>
                              <w:overflowPunct w:val="0"/>
                              <w:spacing w:line="300" w:lineRule="exact"/>
                              <w:jc w:val="center"/>
                              <w:rPr>
                                <w:rFonts w:ascii="標楷體" w:eastAsia="標楷體" w:hAnsi="標楷體" w:cs="標楷體"/>
                                <w:b/>
                                <w:sz w:val="20"/>
                              </w:rPr>
                            </w:pPr>
                            <w:r w:rsidRPr="003C034B">
                              <w:rPr>
                                <w:rFonts w:ascii="標楷體" w:eastAsia="標楷體" w:hAnsi="標楷體" w:cs="標楷體" w:hint="eastAsia"/>
                                <w:b/>
                                <w:sz w:val="20"/>
                              </w:rPr>
                              <w:t>合計</w:t>
                            </w:r>
                          </w:p>
                        </w:tc>
                        <w:tc>
                          <w:tcPr>
                            <w:tcW w:w="1290" w:type="dxa"/>
                            <w:vAlign w:val="center"/>
                          </w:tcPr>
                          <w:p w14:paraId="16074706" w14:textId="77777777" w:rsidR="00A0212B" w:rsidRPr="003C034B" w:rsidRDefault="00A0212B" w:rsidP="00693D1C">
                            <w:pPr>
                              <w:overflowPunct w:val="0"/>
                              <w:spacing w:line="300" w:lineRule="exact"/>
                              <w:jc w:val="right"/>
                              <w:rPr>
                                <w:rFonts w:ascii="標楷體" w:eastAsia="標楷體" w:hAnsi="標楷體" w:cs="標楷體"/>
                                <w:b/>
                                <w:sz w:val="20"/>
                              </w:rPr>
                            </w:pPr>
                            <w:r w:rsidRPr="003C034B">
                              <w:rPr>
                                <w:rFonts w:ascii="標楷體" w:eastAsia="標楷體" w:hAnsi="標楷體" w:cs="標楷體"/>
                                <w:b/>
                                <w:sz w:val="20"/>
                              </w:rPr>
                              <w:t>120</w:t>
                            </w:r>
                            <w:r w:rsidRPr="003C034B">
                              <w:rPr>
                                <w:rFonts w:ascii="標楷體" w:eastAsia="標楷體" w:hAnsi="標楷體" w:cs="標楷體" w:hint="eastAsia"/>
                                <w:b/>
                                <w:sz w:val="20"/>
                              </w:rPr>
                              <w:t>,</w:t>
                            </w:r>
                            <w:r w:rsidRPr="003C034B">
                              <w:rPr>
                                <w:rFonts w:ascii="標楷體" w:eastAsia="標楷體" w:hAnsi="標楷體" w:cs="標楷體"/>
                                <w:b/>
                                <w:sz w:val="20"/>
                              </w:rPr>
                              <w:t>699</w:t>
                            </w:r>
                            <w:r w:rsidRPr="003C034B">
                              <w:rPr>
                                <w:rFonts w:ascii="標楷體" w:eastAsia="標楷體" w:hAnsi="標楷體" w:cs="標楷體" w:hint="eastAsia"/>
                                <w:b/>
                                <w:sz w:val="20"/>
                              </w:rPr>
                              <w:t>,</w:t>
                            </w:r>
                            <w:r w:rsidRPr="003C034B">
                              <w:rPr>
                                <w:rFonts w:ascii="標楷體" w:eastAsia="標楷體" w:hAnsi="標楷體" w:cs="標楷體"/>
                                <w:b/>
                                <w:sz w:val="20"/>
                              </w:rPr>
                              <w:t>859</w:t>
                            </w:r>
                          </w:p>
                        </w:tc>
                        <w:tc>
                          <w:tcPr>
                            <w:tcW w:w="922" w:type="dxa"/>
                            <w:vAlign w:val="center"/>
                          </w:tcPr>
                          <w:p w14:paraId="303C5FF0" w14:textId="77777777" w:rsidR="00A0212B" w:rsidRPr="003C034B" w:rsidRDefault="00A0212B" w:rsidP="00693D1C">
                            <w:pPr>
                              <w:overflowPunct w:val="0"/>
                              <w:spacing w:line="300" w:lineRule="exact"/>
                              <w:jc w:val="right"/>
                              <w:rPr>
                                <w:rFonts w:ascii="標楷體" w:eastAsia="標楷體" w:hAnsi="標楷體" w:cs="標楷體"/>
                                <w:b/>
                                <w:sz w:val="20"/>
                              </w:rPr>
                            </w:pPr>
                            <w:r w:rsidRPr="003C034B">
                              <w:rPr>
                                <w:rFonts w:ascii="標楷體" w:eastAsia="標楷體" w:hAnsi="標楷體" w:cs="標楷體" w:hint="eastAsia"/>
                                <w:b/>
                                <w:sz w:val="20"/>
                              </w:rPr>
                              <w:t>1</w:t>
                            </w:r>
                            <w:r w:rsidRPr="003C034B">
                              <w:rPr>
                                <w:rFonts w:ascii="標楷體" w:eastAsia="標楷體" w:hAnsi="標楷體" w:cs="標楷體"/>
                                <w:b/>
                                <w:sz w:val="20"/>
                              </w:rPr>
                              <w:t>00.00</w:t>
                            </w:r>
                          </w:p>
                        </w:tc>
                      </w:tr>
                      <w:tr w:rsidR="00A0212B" w:rsidRPr="00E63D96" w14:paraId="20360D6F" w14:textId="77777777" w:rsidTr="00693D1C">
                        <w:trPr>
                          <w:trHeight w:val="280"/>
                          <w:tblHeader/>
                        </w:trPr>
                        <w:tc>
                          <w:tcPr>
                            <w:tcW w:w="2362" w:type="dxa"/>
                            <w:vAlign w:val="center"/>
                          </w:tcPr>
                          <w:p w14:paraId="09938DAC" w14:textId="77777777" w:rsidR="00A0212B" w:rsidRPr="003C034B" w:rsidRDefault="00A0212B" w:rsidP="00693D1C">
                            <w:pPr>
                              <w:overflowPunct w:val="0"/>
                              <w:spacing w:line="300" w:lineRule="exact"/>
                              <w:jc w:val="both"/>
                              <w:rPr>
                                <w:rFonts w:ascii="標楷體" w:eastAsia="標楷體" w:hAnsi="標楷體" w:cs="標楷體"/>
                                <w:sz w:val="20"/>
                              </w:rPr>
                            </w:pPr>
                            <w:r>
                              <w:rPr>
                                <w:rFonts w:ascii="標楷體" w:eastAsia="標楷體" w:hAnsi="標楷體" w:cs="標楷體" w:hint="eastAsia"/>
                                <w:sz w:val="20"/>
                              </w:rPr>
                              <w:t>衛生福利</w:t>
                            </w:r>
                            <w:r w:rsidRPr="003C034B">
                              <w:rPr>
                                <w:rFonts w:ascii="標楷體" w:eastAsia="標楷體" w:hAnsi="標楷體" w:cs="標楷體" w:hint="eastAsia"/>
                                <w:sz w:val="20"/>
                              </w:rPr>
                              <w:t>部</w:t>
                            </w:r>
                          </w:p>
                        </w:tc>
                        <w:tc>
                          <w:tcPr>
                            <w:tcW w:w="1290" w:type="dxa"/>
                            <w:vAlign w:val="center"/>
                          </w:tcPr>
                          <w:p w14:paraId="7CAEB61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sz w:val="20"/>
                              </w:rPr>
                              <w:t>92</w:t>
                            </w:r>
                            <w:r w:rsidRPr="003C034B">
                              <w:rPr>
                                <w:rFonts w:ascii="標楷體" w:eastAsia="標楷體" w:hAnsi="標楷體" w:cs="標楷體" w:hint="eastAsia"/>
                                <w:sz w:val="20"/>
                              </w:rPr>
                              <w:t>,</w:t>
                            </w:r>
                            <w:r w:rsidRPr="003C034B">
                              <w:rPr>
                                <w:rFonts w:ascii="標楷體" w:eastAsia="標楷體" w:hAnsi="標楷體" w:cs="標楷體"/>
                                <w:sz w:val="20"/>
                              </w:rPr>
                              <w:t>898</w:t>
                            </w:r>
                            <w:r w:rsidRPr="003C034B">
                              <w:rPr>
                                <w:rFonts w:ascii="標楷體" w:eastAsia="標楷體" w:hAnsi="標楷體" w:cs="標楷體" w:hint="eastAsia"/>
                                <w:sz w:val="20"/>
                              </w:rPr>
                              <w:t>,</w:t>
                            </w:r>
                            <w:r w:rsidRPr="003C034B">
                              <w:rPr>
                                <w:rFonts w:ascii="標楷體" w:eastAsia="標楷體" w:hAnsi="標楷體" w:cs="標楷體"/>
                                <w:sz w:val="20"/>
                              </w:rPr>
                              <w:t>399</w:t>
                            </w:r>
                          </w:p>
                        </w:tc>
                        <w:tc>
                          <w:tcPr>
                            <w:tcW w:w="922" w:type="dxa"/>
                            <w:vAlign w:val="center"/>
                          </w:tcPr>
                          <w:p w14:paraId="558D139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76.</w:t>
                            </w:r>
                            <w:r w:rsidRPr="003C034B">
                              <w:rPr>
                                <w:rFonts w:ascii="標楷體" w:eastAsia="標楷體" w:hAnsi="標楷體" w:cs="標楷體"/>
                                <w:sz w:val="20"/>
                              </w:rPr>
                              <w:t>97</w:t>
                            </w:r>
                          </w:p>
                        </w:tc>
                      </w:tr>
                      <w:tr w:rsidR="00A0212B" w:rsidRPr="00E63D96" w14:paraId="7D7FE8C1" w14:textId="77777777" w:rsidTr="00693D1C">
                        <w:trPr>
                          <w:trHeight w:val="280"/>
                          <w:tblHeader/>
                        </w:trPr>
                        <w:tc>
                          <w:tcPr>
                            <w:tcW w:w="2362" w:type="dxa"/>
                            <w:vAlign w:val="center"/>
                          </w:tcPr>
                          <w:p w14:paraId="54AE12EC"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內政部</w:t>
                            </w:r>
                          </w:p>
                        </w:tc>
                        <w:tc>
                          <w:tcPr>
                            <w:tcW w:w="1290" w:type="dxa"/>
                            <w:vAlign w:val="center"/>
                          </w:tcPr>
                          <w:p w14:paraId="3518B908"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13</w:t>
                            </w:r>
                            <w:r w:rsidRPr="003C034B">
                              <w:rPr>
                                <w:rFonts w:ascii="標楷體" w:eastAsia="標楷體" w:hAnsi="標楷體" w:cs="標楷體"/>
                                <w:sz w:val="20"/>
                              </w:rPr>
                              <w:t>,</w:t>
                            </w:r>
                            <w:r w:rsidRPr="003C034B">
                              <w:rPr>
                                <w:rFonts w:ascii="標楷體" w:eastAsia="標楷體" w:hAnsi="標楷體" w:cs="標楷體" w:hint="eastAsia"/>
                                <w:sz w:val="20"/>
                              </w:rPr>
                              <w:t>126</w:t>
                            </w:r>
                            <w:r w:rsidRPr="003C034B">
                              <w:rPr>
                                <w:rFonts w:ascii="標楷體" w:eastAsia="標楷體" w:hAnsi="標楷體" w:cs="標楷體"/>
                                <w:sz w:val="20"/>
                              </w:rPr>
                              <w:t>,</w:t>
                            </w:r>
                            <w:r w:rsidRPr="003C034B">
                              <w:rPr>
                                <w:rFonts w:ascii="標楷體" w:eastAsia="標楷體" w:hAnsi="標楷體" w:cs="標楷體" w:hint="eastAsia"/>
                                <w:sz w:val="20"/>
                              </w:rPr>
                              <w:t>643</w:t>
                            </w:r>
                          </w:p>
                        </w:tc>
                        <w:tc>
                          <w:tcPr>
                            <w:tcW w:w="922" w:type="dxa"/>
                            <w:vAlign w:val="center"/>
                          </w:tcPr>
                          <w:p w14:paraId="107F44D2"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10.88</w:t>
                            </w:r>
                          </w:p>
                        </w:tc>
                      </w:tr>
                      <w:tr w:rsidR="00A0212B" w:rsidRPr="00E63D96" w14:paraId="3B33A1C6" w14:textId="77777777" w:rsidTr="00693D1C">
                        <w:trPr>
                          <w:trHeight w:val="280"/>
                          <w:tblHeader/>
                        </w:trPr>
                        <w:tc>
                          <w:tcPr>
                            <w:tcW w:w="2362" w:type="dxa"/>
                            <w:vAlign w:val="center"/>
                          </w:tcPr>
                          <w:p w14:paraId="2F11245B"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原住民族委員會</w:t>
                            </w:r>
                          </w:p>
                        </w:tc>
                        <w:tc>
                          <w:tcPr>
                            <w:tcW w:w="1290" w:type="dxa"/>
                            <w:vAlign w:val="center"/>
                          </w:tcPr>
                          <w:p w14:paraId="3FAC94C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5,179,000</w:t>
                            </w:r>
                          </w:p>
                        </w:tc>
                        <w:tc>
                          <w:tcPr>
                            <w:tcW w:w="922" w:type="dxa"/>
                            <w:vAlign w:val="center"/>
                          </w:tcPr>
                          <w:p w14:paraId="5AD51280"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4.29</w:t>
                            </w:r>
                          </w:p>
                        </w:tc>
                      </w:tr>
                      <w:tr w:rsidR="00A0212B" w:rsidRPr="00E63D96" w14:paraId="291D16BE" w14:textId="77777777" w:rsidTr="00693D1C">
                        <w:trPr>
                          <w:trHeight w:val="280"/>
                          <w:tblHeader/>
                        </w:trPr>
                        <w:tc>
                          <w:tcPr>
                            <w:tcW w:w="2362" w:type="dxa"/>
                            <w:vAlign w:val="center"/>
                          </w:tcPr>
                          <w:p w14:paraId="46D20AA3"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勞動部</w:t>
                            </w:r>
                          </w:p>
                        </w:tc>
                        <w:tc>
                          <w:tcPr>
                            <w:tcW w:w="1290" w:type="dxa"/>
                            <w:vAlign w:val="center"/>
                          </w:tcPr>
                          <w:p w14:paraId="02EEE3AA"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3,076,084</w:t>
                            </w:r>
                          </w:p>
                        </w:tc>
                        <w:tc>
                          <w:tcPr>
                            <w:tcW w:w="922" w:type="dxa"/>
                            <w:vAlign w:val="center"/>
                          </w:tcPr>
                          <w:p w14:paraId="21A09912"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2.55</w:t>
                            </w:r>
                          </w:p>
                        </w:tc>
                      </w:tr>
                      <w:tr w:rsidR="00A0212B" w:rsidRPr="00E63D96" w14:paraId="25774DBE" w14:textId="77777777" w:rsidTr="00693D1C">
                        <w:trPr>
                          <w:trHeight w:val="280"/>
                          <w:tblHeader/>
                        </w:trPr>
                        <w:tc>
                          <w:tcPr>
                            <w:tcW w:w="2362" w:type="dxa"/>
                            <w:vAlign w:val="center"/>
                          </w:tcPr>
                          <w:p w14:paraId="5BFE4147"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教育部</w:t>
                            </w:r>
                          </w:p>
                        </w:tc>
                        <w:tc>
                          <w:tcPr>
                            <w:tcW w:w="1290" w:type="dxa"/>
                            <w:vAlign w:val="center"/>
                          </w:tcPr>
                          <w:p w14:paraId="441B1AD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3</w:t>
                            </w:r>
                            <w:r w:rsidRPr="003C034B">
                              <w:rPr>
                                <w:rFonts w:ascii="標楷體" w:eastAsia="標楷體" w:hAnsi="標楷體" w:cs="標楷體"/>
                                <w:sz w:val="20"/>
                              </w:rPr>
                              <w:t>,</w:t>
                            </w:r>
                            <w:r w:rsidRPr="003C034B">
                              <w:rPr>
                                <w:rFonts w:ascii="標楷體" w:eastAsia="標楷體" w:hAnsi="標楷體" w:cs="標楷體" w:hint="eastAsia"/>
                                <w:sz w:val="20"/>
                              </w:rPr>
                              <w:t>0</w:t>
                            </w:r>
                            <w:r w:rsidRPr="003C034B">
                              <w:rPr>
                                <w:rFonts w:ascii="標楷體" w:eastAsia="標楷體" w:hAnsi="標楷體" w:cs="標楷體"/>
                                <w:sz w:val="20"/>
                              </w:rPr>
                              <w:t>73,585</w:t>
                            </w:r>
                          </w:p>
                        </w:tc>
                        <w:tc>
                          <w:tcPr>
                            <w:tcW w:w="922" w:type="dxa"/>
                            <w:vAlign w:val="center"/>
                          </w:tcPr>
                          <w:p w14:paraId="5EE22A22"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2.55</w:t>
                            </w:r>
                          </w:p>
                        </w:tc>
                      </w:tr>
                      <w:tr w:rsidR="00A0212B" w:rsidRPr="00E63D96" w14:paraId="378A4245" w14:textId="77777777" w:rsidTr="00693D1C">
                        <w:trPr>
                          <w:trHeight w:val="280"/>
                          <w:tblHeader/>
                        </w:trPr>
                        <w:tc>
                          <w:tcPr>
                            <w:tcW w:w="2362" w:type="dxa"/>
                            <w:vAlign w:val="center"/>
                          </w:tcPr>
                          <w:p w14:paraId="6CEE415F"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交通部</w:t>
                            </w:r>
                          </w:p>
                        </w:tc>
                        <w:tc>
                          <w:tcPr>
                            <w:tcW w:w="1290" w:type="dxa"/>
                            <w:vAlign w:val="center"/>
                          </w:tcPr>
                          <w:p w14:paraId="0B4EC111"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2</w:t>
                            </w:r>
                            <w:r w:rsidRPr="003C034B">
                              <w:rPr>
                                <w:rFonts w:ascii="標楷體" w:eastAsia="標楷體" w:hAnsi="標楷體" w:cs="標楷體"/>
                                <w:sz w:val="20"/>
                              </w:rPr>
                              <w:t>,312,874</w:t>
                            </w:r>
                          </w:p>
                        </w:tc>
                        <w:tc>
                          <w:tcPr>
                            <w:tcW w:w="922" w:type="dxa"/>
                            <w:vAlign w:val="center"/>
                          </w:tcPr>
                          <w:p w14:paraId="67515DD9"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1.92</w:t>
                            </w:r>
                          </w:p>
                        </w:tc>
                      </w:tr>
                      <w:tr w:rsidR="00A0212B" w:rsidRPr="00E63D96" w14:paraId="2A9F8E1D" w14:textId="77777777" w:rsidTr="00693D1C">
                        <w:trPr>
                          <w:trHeight w:val="280"/>
                          <w:tblHeader/>
                        </w:trPr>
                        <w:tc>
                          <w:tcPr>
                            <w:tcW w:w="2362" w:type="dxa"/>
                            <w:vAlign w:val="center"/>
                          </w:tcPr>
                          <w:p w14:paraId="4E1D353F" w14:textId="77777777" w:rsidR="00A0212B" w:rsidRPr="003C034B" w:rsidRDefault="00A0212B" w:rsidP="00693D1C">
                            <w:pPr>
                              <w:overflowPunct w:val="0"/>
                              <w:spacing w:line="300" w:lineRule="exact"/>
                              <w:jc w:val="both"/>
                              <w:rPr>
                                <w:rFonts w:ascii="標楷體" w:eastAsia="標楷體" w:hAnsi="標楷體" w:cs="標楷體"/>
                                <w:sz w:val="20"/>
                              </w:rPr>
                            </w:pPr>
                            <w:r w:rsidRPr="00AE73DA">
                              <w:rPr>
                                <w:rFonts w:ascii="標楷體" w:eastAsia="標楷體" w:hAnsi="標楷體" w:cs="標楷體" w:hint="eastAsia"/>
                                <w:sz w:val="20"/>
                              </w:rPr>
                              <w:t>農業委員會（農業部）</w:t>
                            </w:r>
                          </w:p>
                        </w:tc>
                        <w:tc>
                          <w:tcPr>
                            <w:tcW w:w="1290" w:type="dxa"/>
                            <w:vAlign w:val="center"/>
                          </w:tcPr>
                          <w:p w14:paraId="5190861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512,640</w:t>
                            </w:r>
                          </w:p>
                        </w:tc>
                        <w:tc>
                          <w:tcPr>
                            <w:tcW w:w="922" w:type="dxa"/>
                            <w:vAlign w:val="center"/>
                          </w:tcPr>
                          <w:p w14:paraId="307599F1"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0.42</w:t>
                            </w:r>
                          </w:p>
                        </w:tc>
                      </w:tr>
                      <w:tr w:rsidR="00A0212B" w:rsidRPr="00E63D96" w14:paraId="550581D3" w14:textId="77777777" w:rsidTr="00693D1C">
                        <w:trPr>
                          <w:trHeight w:val="280"/>
                          <w:tblHeader/>
                        </w:trPr>
                        <w:tc>
                          <w:tcPr>
                            <w:tcW w:w="2362" w:type="dxa"/>
                            <w:vAlign w:val="center"/>
                          </w:tcPr>
                          <w:p w14:paraId="461BC707" w14:textId="77777777" w:rsidR="00A0212B" w:rsidRPr="00EB0CF6" w:rsidRDefault="00A0212B" w:rsidP="00693D1C">
                            <w:pPr>
                              <w:overflowPunct w:val="0"/>
                              <w:spacing w:line="300" w:lineRule="exact"/>
                              <w:jc w:val="both"/>
                              <w:rPr>
                                <w:rFonts w:ascii="標楷體" w:eastAsia="標楷體" w:hAnsi="標楷體" w:cs="標楷體"/>
                                <w:spacing w:val="-14"/>
                                <w:sz w:val="20"/>
                              </w:rPr>
                            </w:pPr>
                            <w:r w:rsidRPr="00EB0CF6">
                              <w:rPr>
                                <w:rFonts w:ascii="標楷體" w:eastAsia="標楷體" w:hAnsi="標楷體" w:cs="標楷體" w:hint="eastAsia"/>
                                <w:spacing w:val="-14"/>
                                <w:sz w:val="20"/>
                              </w:rPr>
                              <w:t>國軍退除役官兵輔導委員會</w:t>
                            </w:r>
                          </w:p>
                        </w:tc>
                        <w:tc>
                          <w:tcPr>
                            <w:tcW w:w="1290" w:type="dxa"/>
                            <w:vAlign w:val="center"/>
                          </w:tcPr>
                          <w:p w14:paraId="32AF1EE0"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185,710</w:t>
                            </w:r>
                          </w:p>
                        </w:tc>
                        <w:tc>
                          <w:tcPr>
                            <w:tcW w:w="922" w:type="dxa"/>
                            <w:vAlign w:val="center"/>
                          </w:tcPr>
                          <w:p w14:paraId="03404E39"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0.15</w:t>
                            </w:r>
                          </w:p>
                        </w:tc>
                      </w:tr>
                      <w:tr w:rsidR="00A0212B" w:rsidRPr="00E63D96" w14:paraId="34641119" w14:textId="77777777" w:rsidTr="00693D1C">
                        <w:trPr>
                          <w:trHeight w:val="280"/>
                          <w:tblHeader/>
                        </w:trPr>
                        <w:tc>
                          <w:tcPr>
                            <w:tcW w:w="2362" w:type="dxa"/>
                            <w:vAlign w:val="center"/>
                          </w:tcPr>
                          <w:p w14:paraId="4F52606F" w14:textId="77777777" w:rsidR="00A0212B" w:rsidRPr="003C034B" w:rsidRDefault="00A0212B" w:rsidP="00AE73DA">
                            <w:pPr>
                              <w:overflowPunct w:val="0"/>
                              <w:spacing w:line="300" w:lineRule="exact"/>
                              <w:jc w:val="both"/>
                              <w:rPr>
                                <w:rFonts w:ascii="標楷體" w:eastAsia="標楷體" w:hAnsi="標楷體" w:cs="標楷體"/>
                                <w:spacing w:val="-6"/>
                                <w:sz w:val="20"/>
                              </w:rPr>
                            </w:pPr>
                            <w:r>
                              <w:rPr>
                                <w:rFonts w:ascii="標楷體" w:eastAsia="標楷體" w:hAnsi="標楷體" w:cs="標楷體" w:hint="eastAsia"/>
                                <w:spacing w:val="-6"/>
                                <w:sz w:val="20"/>
                              </w:rPr>
                              <w:t>國家科學</w:t>
                            </w:r>
                            <w:r>
                              <w:rPr>
                                <w:rFonts w:ascii="標楷體" w:eastAsia="標楷體" w:hAnsi="標楷體" w:cs="標楷體"/>
                                <w:spacing w:val="-6"/>
                                <w:sz w:val="20"/>
                              </w:rPr>
                              <w:t>及技術委員會</w:t>
                            </w:r>
                          </w:p>
                        </w:tc>
                        <w:tc>
                          <w:tcPr>
                            <w:tcW w:w="1290" w:type="dxa"/>
                            <w:vAlign w:val="center"/>
                          </w:tcPr>
                          <w:p w14:paraId="264A5892"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168,800</w:t>
                            </w:r>
                          </w:p>
                        </w:tc>
                        <w:tc>
                          <w:tcPr>
                            <w:tcW w:w="922" w:type="dxa"/>
                            <w:vAlign w:val="center"/>
                          </w:tcPr>
                          <w:p w14:paraId="0D348F24"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0.14</w:t>
                            </w:r>
                          </w:p>
                        </w:tc>
                      </w:tr>
                      <w:tr w:rsidR="00A0212B" w:rsidRPr="00E63D96" w14:paraId="19E900CE" w14:textId="77777777" w:rsidTr="00693D1C">
                        <w:trPr>
                          <w:trHeight w:val="280"/>
                          <w:tblHeader/>
                        </w:trPr>
                        <w:tc>
                          <w:tcPr>
                            <w:tcW w:w="2362" w:type="dxa"/>
                            <w:vAlign w:val="center"/>
                          </w:tcPr>
                          <w:p w14:paraId="7DF0CEAF"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客家委員會</w:t>
                            </w:r>
                          </w:p>
                        </w:tc>
                        <w:tc>
                          <w:tcPr>
                            <w:tcW w:w="1290" w:type="dxa"/>
                            <w:vAlign w:val="center"/>
                          </w:tcPr>
                          <w:p w14:paraId="1A361147"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109,000</w:t>
                            </w:r>
                          </w:p>
                        </w:tc>
                        <w:tc>
                          <w:tcPr>
                            <w:tcW w:w="922" w:type="dxa"/>
                            <w:vAlign w:val="center"/>
                          </w:tcPr>
                          <w:p w14:paraId="27419474"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0.09</w:t>
                            </w:r>
                          </w:p>
                        </w:tc>
                      </w:tr>
                      <w:tr w:rsidR="00A0212B" w:rsidRPr="00E63D96" w14:paraId="545488AC" w14:textId="77777777" w:rsidTr="00693D1C">
                        <w:trPr>
                          <w:trHeight w:val="280"/>
                          <w:tblHeader/>
                        </w:trPr>
                        <w:tc>
                          <w:tcPr>
                            <w:tcW w:w="2362" w:type="dxa"/>
                            <w:vAlign w:val="center"/>
                          </w:tcPr>
                          <w:p w14:paraId="1AD0B06F"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經濟部</w:t>
                            </w:r>
                          </w:p>
                        </w:tc>
                        <w:tc>
                          <w:tcPr>
                            <w:tcW w:w="1290" w:type="dxa"/>
                            <w:vAlign w:val="center"/>
                          </w:tcPr>
                          <w:p w14:paraId="530D64BF"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47,650</w:t>
                            </w:r>
                          </w:p>
                        </w:tc>
                        <w:tc>
                          <w:tcPr>
                            <w:tcW w:w="922" w:type="dxa"/>
                            <w:vAlign w:val="center"/>
                          </w:tcPr>
                          <w:p w14:paraId="43DEC5BC"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0.04</w:t>
                            </w:r>
                          </w:p>
                        </w:tc>
                      </w:tr>
                      <w:tr w:rsidR="00A0212B" w:rsidRPr="00E63D96" w14:paraId="40D0690E" w14:textId="77777777" w:rsidTr="00693D1C">
                        <w:trPr>
                          <w:trHeight w:val="280"/>
                          <w:tblHeader/>
                        </w:trPr>
                        <w:tc>
                          <w:tcPr>
                            <w:tcW w:w="2362" w:type="dxa"/>
                            <w:vAlign w:val="center"/>
                          </w:tcPr>
                          <w:p w14:paraId="4A0C2459"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文化部</w:t>
                            </w:r>
                          </w:p>
                        </w:tc>
                        <w:tc>
                          <w:tcPr>
                            <w:tcW w:w="1290" w:type="dxa"/>
                            <w:vAlign w:val="center"/>
                          </w:tcPr>
                          <w:p w14:paraId="4EDB3975"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6,600</w:t>
                            </w:r>
                          </w:p>
                        </w:tc>
                        <w:tc>
                          <w:tcPr>
                            <w:tcW w:w="922" w:type="dxa"/>
                            <w:vAlign w:val="center"/>
                          </w:tcPr>
                          <w:p w14:paraId="4B381026"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0.01</w:t>
                            </w:r>
                          </w:p>
                        </w:tc>
                      </w:tr>
                      <w:tr w:rsidR="00A0212B" w:rsidRPr="00E63D96" w14:paraId="40E51A75" w14:textId="77777777" w:rsidTr="00693D1C">
                        <w:trPr>
                          <w:trHeight w:val="280"/>
                          <w:tblHeader/>
                        </w:trPr>
                        <w:tc>
                          <w:tcPr>
                            <w:tcW w:w="2362" w:type="dxa"/>
                            <w:vAlign w:val="center"/>
                          </w:tcPr>
                          <w:p w14:paraId="165B2377" w14:textId="77777777" w:rsidR="00A0212B" w:rsidRPr="003C034B" w:rsidRDefault="00A0212B" w:rsidP="00693D1C">
                            <w:pPr>
                              <w:overflowPunct w:val="0"/>
                              <w:spacing w:line="300" w:lineRule="exact"/>
                              <w:jc w:val="both"/>
                              <w:rPr>
                                <w:rFonts w:ascii="標楷體" w:eastAsia="標楷體" w:hAnsi="標楷體" w:cs="標楷體"/>
                                <w:sz w:val="20"/>
                              </w:rPr>
                            </w:pPr>
                            <w:r w:rsidRPr="00AE73DA">
                              <w:rPr>
                                <w:rFonts w:ascii="標楷體" w:eastAsia="標楷體" w:hAnsi="標楷體" w:cs="標楷體" w:hint="eastAsia"/>
                                <w:sz w:val="20"/>
                              </w:rPr>
                              <w:t>環境保護署（環境部）</w:t>
                            </w:r>
                          </w:p>
                        </w:tc>
                        <w:tc>
                          <w:tcPr>
                            <w:tcW w:w="1290" w:type="dxa"/>
                            <w:vAlign w:val="center"/>
                          </w:tcPr>
                          <w:p w14:paraId="416C5CDB"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2</w:t>
                            </w:r>
                            <w:r w:rsidRPr="003C034B">
                              <w:rPr>
                                <w:rFonts w:ascii="標楷體" w:eastAsia="標楷體" w:hAnsi="標楷體" w:cs="標楷體"/>
                                <w:sz w:val="20"/>
                              </w:rPr>
                              <w:t>,</w:t>
                            </w:r>
                            <w:r w:rsidRPr="003C034B">
                              <w:rPr>
                                <w:rFonts w:ascii="標楷體" w:eastAsia="標楷體" w:hAnsi="標楷體" w:cs="標楷體" w:hint="eastAsia"/>
                                <w:sz w:val="20"/>
                              </w:rPr>
                              <w:t>6</w:t>
                            </w:r>
                            <w:r w:rsidRPr="003C034B">
                              <w:rPr>
                                <w:rFonts w:ascii="標楷體" w:eastAsia="標楷體" w:hAnsi="標楷體" w:cs="標楷體"/>
                                <w:sz w:val="20"/>
                              </w:rPr>
                              <w:t>00</w:t>
                            </w:r>
                          </w:p>
                        </w:tc>
                        <w:tc>
                          <w:tcPr>
                            <w:tcW w:w="922" w:type="dxa"/>
                            <w:vAlign w:val="center"/>
                          </w:tcPr>
                          <w:p w14:paraId="7533021D"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0.00</w:t>
                            </w:r>
                          </w:p>
                        </w:tc>
                      </w:tr>
                      <w:tr w:rsidR="00A0212B" w:rsidRPr="00E63D96" w14:paraId="6551ED7C" w14:textId="77777777" w:rsidTr="00693D1C">
                        <w:trPr>
                          <w:trHeight w:val="280"/>
                          <w:tblHeader/>
                        </w:trPr>
                        <w:tc>
                          <w:tcPr>
                            <w:tcW w:w="2362" w:type="dxa"/>
                            <w:vAlign w:val="center"/>
                          </w:tcPr>
                          <w:p w14:paraId="3034C12A"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法務部</w:t>
                            </w:r>
                          </w:p>
                        </w:tc>
                        <w:tc>
                          <w:tcPr>
                            <w:tcW w:w="1290" w:type="dxa"/>
                            <w:vAlign w:val="center"/>
                          </w:tcPr>
                          <w:p w14:paraId="72E326BF"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150</w:t>
                            </w:r>
                          </w:p>
                        </w:tc>
                        <w:tc>
                          <w:tcPr>
                            <w:tcW w:w="922" w:type="dxa"/>
                            <w:vAlign w:val="center"/>
                          </w:tcPr>
                          <w:p w14:paraId="0F5259F6"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0.00</w:t>
                            </w:r>
                          </w:p>
                        </w:tc>
                      </w:tr>
                      <w:tr w:rsidR="00A0212B" w:rsidRPr="00E63D96" w14:paraId="56C0ABD4" w14:textId="77777777" w:rsidTr="00693D1C">
                        <w:trPr>
                          <w:trHeight w:val="280"/>
                          <w:tblHeader/>
                        </w:trPr>
                        <w:tc>
                          <w:tcPr>
                            <w:tcW w:w="2362" w:type="dxa"/>
                            <w:vAlign w:val="center"/>
                          </w:tcPr>
                          <w:p w14:paraId="131093F4" w14:textId="77777777" w:rsidR="00A0212B" w:rsidRPr="003C034B" w:rsidRDefault="00A0212B" w:rsidP="00693D1C">
                            <w:pPr>
                              <w:overflowPunct w:val="0"/>
                              <w:spacing w:line="300" w:lineRule="exact"/>
                              <w:jc w:val="both"/>
                              <w:rPr>
                                <w:rFonts w:ascii="標楷體" w:eastAsia="標楷體" w:hAnsi="標楷體" w:cs="標楷體"/>
                                <w:sz w:val="20"/>
                              </w:rPr>
                            </w:pPr>
                            <w:r w:rsidRPr="003C034B">
                              <w:rPr>
                                <w:rFonts w:ascii="標楷體" w:eastAsia="標楷體" w:hAnsi="標楷體" w:cs="標楷體" w:hint="eastAsia"/>
                                <w:sz w:val="20"/>
                              </w:rPr>
                              <w:t>金融監督管理委員會</w:t>
                            </w:r>
                          </w:p>
                        </w:tc>
                        <w:tc>
                          <w:tcPr>
                            <w:tcW w:w="1290" w:type="dxa"/>
                            <w:vAlign w:val="center"/>
                          </w:tcPr>
                          <w:p w14:paraId="7E08AC50"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124</w:t>
                            </w:r>
                          </w:p>
                        </w:tc>
                        <w:tc>
                          <w:tcPr>
                            <w:tcW w:w="922" w:type="dxa"/>
                            <w:vAlign w:val="center"/>
                          </w:tcPr>
                          <w:p w14:paraId="2DC76D81" w14:textId="77777777" w:rsidR="00A0212B" w:rsidRPr="003C034B" w:rsidRDefault="00A0212B" w:rsidP="00693D1C">
                            <w:pPr>
                              <w:overflowPunct w:val="0"/>
                              <w:spacing w:line="300" w:lineRule="exact"/>
                              <w:jc w:val="right"/>
                              <w:rPr>
                                <w:rFonts w:ascii="標楷體" w:eastAsia="標楷體" w:hAnsi="標楷體" w:cs="標楷體"/>
                                <w:sz w:val="20"/>
                              </w:rPr>
                            </w:pPr>
                            <w:r w:rsidRPr="003C034B">
                              <w:rPr>
                                <w:rFonts w:ascii="標楷體" w:eastAsia="標楷體" w:hAnsi="標楷體" w:cs="標楷體" w:hint="eastAsia"/>
                                <w:sz w:val="20"/>
                              </w:rPr>
                              <w:t>0.00</w:t>
                            </w:r>
                          </w:p>
                        </w:tc>
                      </w:tr>
                    </w:tbl>
                    <w:p w14:paraId="388CC62C" w14:textId="51F61A29" w:rsidR="00A0212B" w:rsidRDefault="00A0212B" w:rsidP="00301A4D">
                      <w:pPr>
                        <w:tabs>
                          <w:tab w:val="left" w:pos="6120"/>
                        </w:tabs>
                        <w:autoSpaceDE w:val="0"/>
                        <w:autoSpaceDN w:val="0"/>
                        <w:spacing w:line="260" w:lineRule="exact"/>
                        <w:ind w:left="935" w:right="34" w:hanging="924"/>
                        <w:jc w:val="both"/>
                        <w:rPr>
                          <w:rFonts w:ascii="標楷體" w:eastAsia="標楷體" w:hAnsi="標楷體"/>
                          <w:color w:val="000000"/>
                          <w:sz w:val="18"/>
                        </w:rPr>
                      </w:pPr>
                      <w:r w:rsidRPr="00E63D96">
                        <w:rPr>
                          <w:rFonts w:ascii="標楷體" w:eastAsia="標楷體" w:hAnsi="標楷體" w:cs="標楷體" w:hint="eastAsia"/>
                          <w:color w:val="000000"/>
                          <w:sz w:val="18"/>
                          <w:szCs w:val="18"/>
                        </w:rPr>
                        <w:t>資料來源：整理自</w:t>
                      </w:r>
                      <w:r w:rsidRPr="00042129">
                        <w:rPr>
                          <w:rFonts w:ascii="標楷體" w:eastAsia="標楷體" w:hAnsi="標楷體" w:cs="標楷體" w:hint="eastAsia"/>
                          <w:color w:val="000000"/>
                          <w:sz w:val="18"/>
                          <w:szCs w:val="18"/>
                        </w:rPr>
                        <w:t>「因應超高齡社會對策方案（</w:t>
                      </w:r>
                      <w:r w:rsidRPr="00042129">
                        <w:rPr>
                          <w:rFonts w:ascii="標楷體" w:eastAsia="標楷體" w:hAnsi="標楷體" w:cs="標楷體"/>
                          <w:color w:val="000000"/>
                          <w:sz w:val="18"/>
                          <w:szCs w:val="18"/>
                        </w:rPr>
                        <w:t>112</w:t>
                      </w:r>
                      <w:r w:rsidR="00DC4AE2" w:rsidRPr="00DC4AE2">
                        <w:rPr>
                          <w:rFonts w:ascii="標楷體" w:eastAsia="標楷體" w:hAnsi="標楷體" w:cs="標楷體" w:hint="eastAsia"/>
                          <w:color w:val="000000"/>
                          <w:sz w:val="18"/>
                          <w:szCs w:val="18"/>
                        </w:rPr>
                        <w:t>－</w:t>
                      </w:r>
                      <w:r w:rsidRPr="00042129">
                        <w:rPr>
                          <w:rFonts w:ascii="標楷體" w:eastAsia="標楷體" w:hAnsi="標楷體" w:cs="標楷體"/>
                          <w:color w:val="000000"/>
                          <w:sz w:val="18"/>
                          <w:szCs w:val="18"/>
                        </w:rPr>
                        <w:t>115年）」核定本</w:t>
                      </w:r>
                      <w:r w:rsidRPr="00E63D96">
                        <w:rPr>
                          <w:rFonts w:ascii="標楷體" w:eastAsia="標楷體" w:hAnsi="標楷體" w:cs="標楷體" w:hint="eastAsia"/>
                          <w:color w:val="000000"/>
                          <w:sz w:val="18"/>
                          <w:szCs w:val="18"/>
                        </w:rPr>
                        <w:t>。</w:t>
                      </w:r>
                    </w:p>
                  </w:txbxContent>
                </v:textbox>
                <w10:wrap type="square" anchorx="margin"/>
              </v:shape>
            </w:pict>
          </mc:Fallback>
        </mc:AlternateContent>
      </w:r>
      <w:r w:rsidR="00693D1C" w:rsidRPr="00693D1C">
        <w:rPr>
          <w:rFonts w:ascii="標楷體" w:eastAsia="標楷體" w:hAnsi="標楷體" w:cs="新細明體"/>
          <w:color w:val="000000" w:themeColor="text1"/>
          <w:szCs w:val="24"/>
        </w:rPr>
        <w:t>行政院為因應高齡者多元需求，於110年9月27日核定修正高齡社會白皮書，</w:t>
      </w:r>
      <w:r w:rsidR="00693D1C" w:rsidRPr="00693D1C">
        <w:rPr>
          <w:rFonts w:ascii="標楷體" w:eastAsia="標楷體" w:hAnsi="標楷體" w:cs="新細明體" w:hint="eastAsia"/>
          <w:color w:val="000000" w:themeColor="text1"/>
          <w:szCs w:val="24"/>
        </w:rPr>
        <w:t>揭示相關政策發展應以「提升長者支持」與「強化社會能力」為指導原則，</w:t>
      </w:r>
      <w:r w:rsidR="00693D1C" w:rsidRPr="00693D1C">
        <w:rPr>
          <w:rFonts w:ascii="標楷體" w:eastAsia="標楷體" w:hAnsi="標楷體" w:cs="新細明體"/>
          <w:color w:val="000000" w:themeColor="text1"/>
          <w:szCs w:val="24"/>
        </w:rPr>
        <w:t>政策規劃思維包括高齡者不應被單純視為社會之依賴者、高齡社會</w:t>
      </w:r>
      <w:r w:rsidR="00693D1C" w:rsidRPr="00693D1C">
        <w:rPr>
          <w:rFonts w:ascii="標楷體" w:eastAsia="標楷體" w:hAnsi="標楷體"/>
          <w:noProof/>
          <w:color w:val="000000" w:themeColor="text1"/>
          <w:szCs w:val="24"/>
        </w:rPr>
        <w:t>產業</w:t>
      </w:r>
      <w:r w:rsidR="00693D1C" w:rsidRPr="00693D1C">
        <w:rPr>
          <w:rFonts w:ascii="標楷體" w:eastAsia="標楷體" w:hAnsi="標楷體" w:cs="新細明體"/>
          <w:color w:val="000000" w:themeColor="text1"/>
          <w:szCs w:val="24"/>
        </w:rPr>
        <w:t>及政策發展應有前瞻思考等，</w:t>
      </w:r>
      <w:r w:rsidR="00693D1C" w:rsidRPr="00693D1C">
        <w:rPr>
          <w:rFonts w:ascii="標楷體" w:eastAsia="標楷體" w:hAnsi="標楷體" w:cs="新細明體" w:hint="eastAsia"/>
          <w:color w:val="000000" w:themeColor="text1"/>
          <w:szCs w:val="24"/>
        </w:rPr>
        <w:t>並以「自主」、「自立」、「共融」、「永續」為</w:t>
      </w:r>
      <w:r w:rsidR="00693D1C" w:rsidRPr="00693D1C">
        <w:rPr>
          <w:rFonts w:ascii="標楷體" w:eastAsia="標楷體" w:hAnsi="標楷體" w:cs="新細明體"/>
          <w:color w:val="000000" w:themeColor="text1"/>
          <w:szCs w:val="24"/>
        </w:rPr>
        <w:t>4大發展願景，訂定「增進高齡者健康與自主」、「提升高齡者社會連結」、「促進世代和諧共融」、「建構高齡友善及安全環境」、「強化社會永續發展」5大目標及37項執行策略。嗣行政院為落實高齡社會白皮書各項具體工作，於111年11月10日核定「因應超高齡社會對策方案（112</w:t>
      </w:r>
      <w:r w:rsidR="00DC4AE2" w:rsidRPr="00DC4AE2">
        <w:rPr>
          <w:rFonts w:ascii="標楷體" w:eastAsia="標楷體" w:hAnsi="標楷體" w:cs="新細明體" w:hint="eastAsia"/>
          <w:color w:val="000000" w:themeColor="text1"/>
          <w:szCs w:val="24"/>
        </w:rPr>
        <w:t>－</w:t>
      </w:r>
      <w:r w:rsidR="00693D1C" w:rsidRPr="00693D1C">
        <w:rPr>
          <w:rFonts w:ascii="標楷體" w:eastAsia="標楷體" w:hAnsi="標楷體" w:cs="新細明體"/>
          <w:color w:val="000000" w:themeColor="text1"/>
          <w:szCs w:val="24"/>
        </w:rPr>
        <w:t>115年）」（下稱超高齡對策方案），由衛生福利部（下稱衛福部）等15個部會編列預算推動各項工作，執行期程為112至115年，總經費需求為1,206億餘元</w:t>
      </w:r>
      <w:r w:rsidR="00693D1C" w:rsidRPr="00693D1C">
        <w:rPr>
          <w:rFonts w:ascii="標楷體" w:eastAsia="標楷體" w:hAnsi="標楷體" w:cs="新細明體" w:hint="eastAsia"/>
          <w:color w:val="000000" w:themeColor="text1"/>
          <w:szCs w:val="24"/>
        </w:rPr>
        <w:t>。經查</w:t>
      </w:r>
      <w:r w:rsidR="00693D1C" w:rsidRPr="00693D1C">
        <w:rPr>
          <w:rFonts w:ascii="標楷體" w:eastAsia="標楷體" w:hAnsi="標楷體" w:cs="新細明體"/>
          <w:color w:val="000000" w:themeColor="text1"/>
          <w:szCs w:val="24"/>
        </w:rPr>
        <w:t>其中衛福部主管經費需求數928億餘元，約占76.97％為最大宗（</w:t>
      </w:r>
      <w:r w:rsidR="00693D1C" w:rsidRPr="006678C5">
        <w:rPr>
          <w:rFonts w:ascii="標楷體" w:eastAsia="標楷體" w:hAnsi="標楷體" w:cs="新細明體"/>
          <w:color w:val="000000" w:themeColor="text1"/>
          <w:szCs w:val="24"/>
        </w:rPr>
        <w:t>表1</w:t>
      </w:r>
      <w:r w:rsidR="00891AAE" w:rsidRPr="006678C5">
        <w:rPr>
          <w:rFonts w:ascii="標楷體" w:eastAsia="標楷體" w:hAnsi="標楷體" w:cs="新細明體" w:hint="eastAsia"/>
          <w:color w:val="000000" w:themeColor="text1"/>
          <w:szCs w:val="24"/>
        </w:rPr>
        <w:t>4</w:t>
      </w:r>
      <w:r w:rsidR="00693D1C" w:rsidRPr="00693D1C">
        <w:rPr>
          <w:rFonts w:ascii="標楷體" w:eastAsia="標楷體" w:hAnsi="標楷體" w:cs="新細明體"/>
          <w:color w:val="000000" w:themeColor="text1"/>
          <w:szCs w:val="24"/>
        </w:rPr>
        <w:t>），主要係編列於全民健康保險基金及長照服務發展基金預算相關經費，顯示現行方案匡列經費偏重於醫療及長照服務。</w:t>
      </w:r>
      <w:r w:rsidR="00693D1C" w:rsidRPr="00693D1C">
        <w:rPr>
          <w:rFonts w:ascii="標楷體" w:eastAsia="標楷體" w:hAnsi="標楷體" w:cs="新細明體" w:hint="eastAsia"/>
          <w:color w:val="000000" w:themeColor="text1"/>
          <w:szCs w:val="24"/>
        </w:rPr>
        <w:t>另據衛福部於</w:t>
      </w:r>
      <w:r w:rsidR="00693D1C" w:rsidRPr="00693D1C">
        <w:rPr>
          <w:rFonts w:ascii="標楷體" w:eastAsia="標楷體" w:hAnsi="標楷體" w:cs="新細明體"/>
          <w:color w:val="000000" w:themeColor="text1"/>
          <w:szCs w:val="24"/>
        </w:rPr>
        <w:t>113年1月發布之老人狀況調查報告列述，國內65歲以上者自評健康良好之比率約為55.31％，而自述日常生活活動需他人協助之比率約為11.86％，顯示除醫療及照顧服務外，多數65歲以上民眾對於高齡政策相關服務或輔導措施之需求面向更趨多元。</w:t>
      </w:r>
      <w:r w:rsidR="00693D1C" w:rsidRPr="00693D1C">
        <w:rPr>
          <w:rFonts w:ascii="標楷體" w:eastAsia="標楷體" w:hAnsi="標楷體" w:cs="新細明體" w:hint="eastAsia"/>
          <w:color w:val="000000" w:themeColor="text1"/>
          <w:szCs w:val="24"/>
        </w:rPr>
        <w:t>復</w:t>
      </w:r>
      <w:r w:rsidR="00693D1C" w:rsidRPr="00693D1C">
        <w:rPr>
          <w:rFonts w:ascii="標楷體" w:eastAsia="標楷體" w:hAnsi="標楷體" w:cs="新細明體"/>
          <w:color w:val="000000" w:themeColor="text1"/>
          <w:szCs w:val="24"/>
        </w:rPr>
        <w:t>查超高齡對策方案訂有105項具體措施，規劃由相關部會推動345項工作</w:t>
      </w:r>
      <w:r w:rsidR="00693D1C" w:rsidRPr="00693D1C">
        <w:rPr>
          <w:rFonts w:ascii="標楷體" w:eastAsia="標楷體" w:hAnsi="標楷體" w:cs="新細明體" w:hint="eastAsia"/>
          <w:color w:val="000000" w:themeColor="text1"/>
          <w:szCs w:val="24"/>
        </w:rPr>
        <w:t>項目</w:t>
      </w:r>
      <w:r w:rsidR="00693D1C" w:rsidRPr="00693D1C">
        <w:rPr>
          <w:rFonts w:ascii="標楷體" w:eastAsia="標楷體" w:hAnsi="標楷體" w:cs="新細明體"/>
          <w:color w:val="000000" w:themeColor="text1"/>
          <w:szCs w:val="24"/>
        </w:rPr>
        <w:t>，</w:t>
      </w:r>
      <w:r w:rsidR="00693D1C" w:rsidRPr="00693D1C">
        <w:rPr>
          <w:rFonts w:ascii="標楷體" w:eastAsia="標楷體" w:hAnsi="標楷體" w:cs="新細明體" w:hint="eastAsia"/>
          <w:color w:val="000000" w:themeColor="text1"/>
          <w:szCs w:val="24"/>
        </w:rPr>
        <w:t>1</w:t>
      </w:r>
      <w:r w:rsidR="00693D1C" w:rsidRPr="00693D1C">
        <w:rPr>
          <w:rFonts w:ascii="標楷體" w:eastAsia="標楷體" w:hAnsi="標楷體" w:cs="新細明體"/>
          <w:color w:val="000000" w:themeColor="text1"/>
          <w:szCs w:val="24"/>
        </w:rPr>
        <w:t>12</w:t>
      </w:r>
      <w:r w:rsidR="00693D1C" w:rsidRPr="00693D1C">
        <w:rPr>
          <w:rFonts w:ascii="標楷體" w:eastAsia="標楷體" w:hAnsi="標楷體" w:cs="新細明體" w:hint="eastAsia"/>
          <w:color w:val="000000" w:themeColor="text1"/>
          <w:szCs w:val="24"/>
        </w:rPr>
        <w:t>年度執行結果，達成年度目標者計326項，達成率約94.49</w:t>
      </w:r>
      <w:r w:rsidR="00693D1C" w:rsidRPr="00693D1C">
        <w:rPr>
          <w:rFonts w:ascii="標楷體" w:eastAsia="標楷體" w:hAnsi="標楷體" w:cs="新細明體"/>
          <w:color w:val="000000" w:themeColor="text1"/>
          <w:szCs w:val="24"/>
        </w:rPr>
        <w:t>％</w:t>
      </w:r>
      <w:r w:rsidR="00693D1C" w:rsidRPr="00693D1C">
        <w:rPr>
          <w:rFonts w:ascii="標楷體" w:eastAsia="標楷體" w:hAnsi="標楷體" w:cs="新細明體" w:hint="eastAsia"/>
          <w:color w:val="000000" w:themeColor="text1"/>
          <w:szCs w:val="24"/>
        </w:rPr>
        <w:t>，惟查方案所列</w:t>
      </w:r>
      <w:r w:rsidR="00693D1C" w:rsidRPr="00693D1C">
        <w:rPr>
          <w:rFonts w:ascii="標楷體" w:eastAsia="標楷體" w:hAnsi="標楷體" w:cs="新細明體"/>
          <w:color w:val="000000" w:themeColor="text1"/>
          <w:szCs w:val="24"/>
        </w:rPr>
        <w:t>工作項目配置情形，係以衛福部主管之134項、約占38.84％為最多；教育部主管之66項、約占19.13％居次；勞動部等8個部會主管項目計7</w:t>
      </w:r>
      <w:r w:rsidR="00693D1C" w:rsidRPr="00693D1C">
        <w:rPr>
          <w:rFonts w:ascii="標楷體" w:eastAsia="標楷體" w:hAnsi="標楷體" w:cs="新細明體" w:hint="eastAsia"/>
          <w:color w:val="000000" w:themeColor="text1"/>
          <w:szCs w:val="24"/>
        </w:rPr>
        <w:t>至</w:t>
      </w:r>
      <w:r w:rsidR="00693D1C" w:rsidRPr="00693D1C">
        <w:rPr>
          <w:rFonts w:ascii="標楷體" w:eastAsia="標楷體" w:hAnsi="標楷體" w:cs="新細明體"/>
          <w:color w:val="000000" w:themeColor="text1"/>
          <w:szCs w:val="24"/>
        </w:rPr>
        <w:t>30項，約占2.03％至8.70％不等；其餘國家科學及技術委員會（下稱國科會）等5個部會主管項目分別計2或3項，占比均未及1％（</w:t>
      </w:r>
      <w:r w:rsidR="00693D1C" w:rsidRPr="006678C5">
        <w:rPr>
          <w:rFonts w:ascii="標楷體" w:eastAsia="標楷體" w:hAnsi="標楷體" w:cs="新細明體"/>
          <w:color w:val="000000" w:themeColor="text1"/>
          <w:szCs w:val="24"/>
        </w:rPr>
        <w:t>表</w:t>
      </w:r>
      <w:r w:rsidR="00891AAE" w:rsidRPr="006678C5">
        <w:rPr>
          <w:rFonts w:ascii="標楷體" w:eastAsia="標楷體" w:hAnsi="標楷體" w:cs="新細明體" w:hint="eastAsia"/>
          <w:color w:val="000000" w:themeColor="text1"/>
          <w:szCs w:val="24"/>
        </w:rPr>
        <w:t>15</w:t>
      </w:r>
      <w:r w:rsidR="00693D1C" w:rsidRPr="00693D1C">
        <w:rPr>
          <w:rFonts w:ascii="標楷體" w:eastAsia="標楷體" w:hAnsi="標楷體" w:cs="新細明體"/>
          <w:color w:val="000000" w:themeColor="text1"/>
          <w:szCs w:val="24"/>
        </w:rPr>
        <w:t>），顯示各面向規劃工作比重差異頗大，其中衛生福利及教育類工作即逾5成，恐不易透由推動方案滿足高齡者多元需求。</w:t>
      </w:r>
      <w:r w:rsidR="00693D1C" w:rsidRPr="00693D1C">
        <w:rPr>
          <w:rFonts w:ascii="標楷體" w:eastAsia="標楷體" w:hAnsi="標楷體" w:cs="新細明體" w:hint="eastAsia"/>
          <w:color w:val="000000" w:themeColor="text1"/>
          <w:szCs w:val="24"/>
        </w:rPr>
        <w:t>又查現行超高齡對策方案對於部分高齡施政議題，尚未納</w:t>
      </w:r>
      <w:r w:rsidR="00693D1C" w:rsidRPr="00693D1C">
        <w:rPr>
          <w:rFonts w:ascii="標楷體" w:eastAsia="標楷體" w:hAnsi="標楷體" w:cs="新細明體" w:hint="eastAsia"/>
          <w:color w:val="000000" w:themeColor="text1"/>
          <w:szCs w:val="24"/>
        </w:rPr>
        <w:lastRenderedPageBreak/>
        <w:t>入對應之權責機關及政策措施，舉如：數位發展部</w:t>
      </w:r>
      <w:r w:rsidR="00693D1C" w:rsidRPr="00693D1C">
        <w:rPr>
          <w:rFonts w:ascii="標楷體" w:eastAsia="標楷體" w:hAnsi="標楷體" w:cs="新細明體"/>
          <w:color w:val="000000" w:themeColor="text1"/>
          <w:szCs w:val="24"/>
        </w:rPr>
        <w:t>對於提升高齡者數位學習能力相關措施</w:t>
      </w:r>
      <w:r w:rsidR="00693D1C" w:rsidRPr="00693D1C">
        <w:rPr>
          <w:rFonts w:ascii="標楷體" w:eastAsia="標楷體" w:hAnsi="標楷體" w:cs="新細明體" w:hint="eastAsia"/>
          <w:color w:val="000000" w:themeColor="text1"/>
          <w:szCs w:val="24"/>
        </w:rPr>
        <w:t>、</w:t>
      </w:r>
      <w:r w:rsidR="00693D1C" w:rsidRPr="00693D1C">
        <w:rPr>
          <w:rFonts w:ascii="標楷體" w:eastAsia="標楷體" w:hAnsi="標楷體" w:cs="新細明體"/>
          <w:color w:val="000000" w:themeColor="text1"/>
          <w:szCs w:val="24"/>
        </w:rPr>
        <w:t>金融監督管理委員會鼓勵金融機構創新研發金融商品及服務</w:t>
      </w:r>
      <w:r w:rsidR="00693D1C" w:rsidRPr="00693D1C">
        <w:rPr>
          <w:rFonts w:ascii="標楷體" w:eastAsia="標楷體" w:hAnsi="標楷體" w:cs="新細明體" w:hint="eastAsia"/>
          <w:color w:val="000000" w:themeColor="text1"/>
          <w:szCs w:val="24"/>
        </w:rPr>
        <w:t>等</w:t>
      </w:r>
      <w:r w:rsidR="00693D1C" w:rsidRPr="00693D1C">
        <w:rPr>
          <w:rFonts w:ascii="標楷體" w:eastAsia="標楷體" w:hAnsi="標楷體" w:cs="新細明體"/>
          <w:color w:val="000000" w:themeColor="text1"/>
          <w:szCs w:val="24"/>
        </w:rPr>
        <w:t>，顯示現行方案部分執行策略對應</w:t>
      </w:r>
      <w:r w:rsidR="00693D1C" w:rsidRPr="00693D1C">
        <w:rPr>
          <w:rFonts w:ascii="標楷體" w:eastAsia="標楷體" w:hAnsi="標楷體" w:cs="新細明體" w:hint="eastAsia"/>
          <w:color w:val="000000" w:themeColor="text1"/>
          <w:szCs w:val="24"/>
        </w:rPr>
        <w:t>之</w:t>
      </w:r>
      <w:r w:rsidR="00693D1C" w:rsidRPr="00693D1C">
        <w:rPr>
          <w:rFonts w:ascii="標楷體" w:eastAsia="標楷體" w:hAnsi="標楷體" w:cs="新細明體"/>
          <w:color w:val="000000" w:themeColor="text1"/>
          <w:szCs w:val="24"/>
        </w:rPr>
        <w:t>權責機關及政策措施仍有擴增空間。</w:t>
      </w:r>
      <w:r w:rsidR="00693D1C" w:rsidRPr="00693D1C">
        <w:rPr>
          <w:rFonts w:ascii="標楷體" w:eastAsia="標楷體" w:hAnsi="標楷體" w:cs="新細明體" w:hint="eastAsia"/>
          <w:color w:val="000000" w:themeColor="text1"/>
          <w:szCs w:val="24"/>
        </w:rPr>
        <w:t>另</w:t>
      </w:r>
      <w:r w:rsidR="00693D1C" w:rsidRPr="00693D1C">
        <w:rPr>
          <w:rFonts w:ascii="標楷體" w:eastAsia="標楷體" w:hAnsi="標楷體" w:cs="新細明體"/>
          <w:color w:val="000000" w:themeColor="text1"/>
          <w:szCs w:val="24"/>
        </w:rPr>
        <w:t>超高齡對策方案所訂「引導銀髮產業發展」1項執行策略，僅列有經濟部提供企業創新研發補助及技術輔導機制、國科會補助學研界進行跨域技術研發及辦理技術交流與成果媒合論壇等3項工作，惟行政院為促進高齡科技產業發展，已於112年9月核定「高齡科技產業行動計畫」，規劃由國科會等8個部會推動各項措施，預計</w:t>
      </w:r>
      <w:r w:rsidR="00693D1C" w:rsidRPr="00693D1C">
        <w:rPr>
          <w:rFonts w:ascii="標楷體" w:eastAsia="標楷體" w:hAnsi="標楷體" w:cs="新細明體" w:hint="eastAsia"/>
          <w:color w:val="000000" w:themeColor="text1"/>
          <w:szCs w:val="24"/>
        </w:rPr>
        <w:t>於</w:t>
      </w:r>
      <w:r w:rsidR="00693D1C" w:rsidRPr="00693D1C">
        <w:rPr>
          <w:rFonts w:ascii="標楷體" w:eastAsia="標楷體" w:hAnsi="標楷體" w:cs="新細明體"/>
          <w:color w:val="000000" w:themeColor="text1"/>
          <w:szCs w:val="24"/>
        </w:rPr>
        <w:t>113至116年</w:t>
      </w:r>
      <w:r w:rsidR="00693D1C" w:rsidRPr="00693D1C">
        <w:rPr>
          <w:rFonts w:ascii="標楷體" w:eastAsia="標楷體" w:hAnsi="標楷體" w:cs="新細明體" w:hint="eastAsia"/>
          <w:color w:val="000000" w:themeColor="text1"/>
          <w:szCs w:val="24"/>
        </w:rPr>
        <w:t>度</w:t>
      </w:r>
      <w:r w:rsidR="00693D1C" w:rsidRPr="00693D1C">
        <w:rPr>
          <w:rFonts w:ascii="標楷體" w:eastAsia="標楷體" w:hAnsi="標楷體" w:cs="新細明體"/>
          <w:color w:val="000000" w:themeColor="text1"/>
          <w:szCs w:val="24"/>
        </w:rPr>
        <w:t>投入經費94億餘元，顯示超高齡對策方案與其他重大計畫之執行，亟需強化跨部會整合及協調機制，始能完整評核高齡社會白皮書所列各項策略之實際推動成效</w:t>
      </w:r>
      <w:r w:rsidR="00693D1C" w:rsidRPr="00693D1C">
        <w:rPr>
          <w:rFonts w:ascii="標楷體" w:eastAsia="標楷體" w:hAnsi="標楷體" w:cs="新細明體" w:hint="eastAsia"/>
          <w:color w:val="000000" w:themeColor="text1"/>
          <w:szCs w:val="24"/>
        </w:rPr>
        <w:t>等情</w:t>
      </w:r>
      <w:r w:rsidR="00693D1C" w:rsidRPr="00693D1C">
        <w:rPr>
          <w:rFonts w:ascii="標楷體" w:eastAsia="標楷體" w:hAnsi="標楷體" w:cs="新細明體"/>
          <w:color w:val="000000" w:themeColor="text1"/>
          <w:szCs w:val="24"/>
        </w:rPr>
        <w:t>。</w:t>
      </w:r>
      <w:r w:rsidR="00693D1C" w:rsidRPr="00693D1C">
        <w:rPr>
          <w:rFonts w:ascii="標楷體" w:eastAsia="標楷體" w:hAnsi="標楷體" w:cs="新細明體" w:hint="eastAsia"/>
          <w:color w:val="000000" w:themeColor="text1"/>
          <w:szCs w:val="24"/>
        </w:rPr>
        <w:t>經函請行政院</w:t>
      </w:r>
      <w:r w:rsidR="00693D1C" w:rsidRPr="00693D1C">
        <w:rPr>
          <w:rFonts w:ascii="標楷體" w:eastAsia="標楷體" w:hAnsi="標楷體" w:cs="新細明體"/>
          <w:color w:val="000000" w:themeColor="text1"/>
          <w:szCs w:val="24"/>
        </w:rPr>
        <w:t>滾動檢討方案經費配置及工作項目，並強化方案與其他重大計畫間之跨部會整合及協調機制，以完善高齡政策發展。</w:t>
      </w:r>
      <w:r w:rsidR="00DF45C3" w:rsidRPr="004D7C92">
        <w:rPr>
          <w:rFonts w:ascii="標楷體" w:eastAsia="標楷體" w:hAnsi="標楷體" w:hint="eastAsia"/>
          <w:color w:val="000000" w:themeColor="text1"/>
          <w:szCs w:val="24"/>
        </w:rPr>
        <w:t>據復：於該院社會福利推動委員會成立高齡社會白皮書專案小組，持續就高齡社會重要議題，邀集專家學者、民間團體代表，及相關部會積極會商研討，整合跨部會量能，推動服務方案、創新實驗計畫等，精進高齡政策之推展，並透過跨部會協調適時滾動檢討，由相關部會配合提報政策措施，俾使高齡政策能契合民眾需求。</w:t>
      </w:r>
      <w:r w:rsidRPr="00693D1C">
        <w:rPr>
          <w:rFonts w:ascii="新細明體" w:hAnsi="標楷體" w:cs="新細明體"/>
          <w:noProof/>
          <w:color w:val="000000" w:themeColor="text1"/>
          <w:kern w:val="0"/>
          <w:szCs w:val="24"/>
        </w:rPr>
        <mc:AlternateContent>
          <mc:Choice Requires="wps">
            <w:drawing>
              <wp:anchor distT="0" distB="46990" distL="114935" distR="114935" simplePos="0" relativeHeight="251689984" behindDoc="0" locked="0" layoutInCell="1" allowOverlap="0" wp14:anchorId="4CE1D775" wp14:editId="303F948B">
                <wp:simplePos x="0" y="0"/>
                <wp:positionH relativeFrom="page">
                  <wp:posOffset>720090</wp:posOffset>
                </wp:positionH>
                <wp:positionV relativeFrom="page">
                  <wp:posOffset>900430</wp:posOffset>
                </wp:positionV>
                <wp:extent cx="6346800" cy="4118400"/>
                <wp:effectExtent l="0" t="0" r="0" b="0"/>
                <wp:wrapSquare wrapText="bothSides"/>
                <wp:docPr id="468"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6800" cy="41184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737D37A" w14:textId="58FB615C" w:rsidR="00A0212B" w:rsidRDefault="00A0212B" w:rsidP="00301A4D">
                            <w:pPr>
                              <w:tabs>
                                <w:tab w:val="left" w:pos="4494"/>
                              </w:tabs>
                              <w:spacing w:line="300" w:lineRule="exact"/>
                              <w:ind w:left="573" w:hangingChars="275" w:hanging="573"/>
                              <w:jc w:val="center"/>
                              <w:rPr>
                                <w:rFonts w:ascii="標楷體" w:eastAsia="標楷體" w:hAnsi="標楷體"/>
                                <w:b/>
                              </w:rPr>
                            </w:pPr>
                            <w:r w:rsidRPr="000A5F17">
                              <w:rPr>
                                <w:rFonts w:ascii="標楷體" w:eastAsia="標楷體" w:hAnsi="標楷體" w:hint="eastAsia"/>
                                <w:b/>
                                <w:spacing w:val="-16"/>
                              </w:rPr>
                              <w:t>表</w:t>
                            </w:r>
                            <w:r>
                              <w:rPr>
                                <w:rFonts w:ascii="標楷體" w:eastAsia="標楷體" w:hAnsi="標楷體"/>
                                <w:b/>
                                <w:spacing w:val="-16"/>
                              </w:rPr>
                              <w:t>15</w:t>
                            </w:r>
                            <w:r w:rsidRPr="000A5F17">
                              <w:rPr>
                                <w:rFonts w:ascii="標楷體" w:eastAsia="標楷體" w:hAnsi="標楷體" w:hint="eastAsia"/>
                                <w:b/>
                                <w:spacing w:val="-16"/>
                              </w:rPr>
                              <w:t xml:space="preserve">　</w:t>
                            </w:r>
                            <w:r w:rsidRPr="00807E4D">
                              <w:rPr>
                                <w:rFonts w:ascii="標楷體" w:eastAsia="標楷體" w:hAnsi="標楷體" w:hint="eastAsia"/>
                                <w:b/>
                              </w:rPr>
                              <w:t>超高齡對策方案</w:t>
                            </w:r>
                            <w:r w:rsidRPr="007D79E7">
                              <w:rPr>
                                <w:rFonts w:ascii="標楷體" w:eastAsia="標楷體" w:hAnsi="標楷體" w:hint="eastAsia"/>
                                <w:b/>
                              </w:rPr>
                              <w:t>各目標工作項數</w:t>
                            </w:r>
                          </w:p>
                          <w:p w14:paraId="13B8D66D" w14:textId="77777777" w:rsidR="00A0212B" w:rsidRPr="00B97483" w:rsidRDefault="00A0212B" w:rsidP="00301A4D">
                            <w:pPr>
                              <w:tabs>
                                <w:tab w:val="left" w:pos="4494"/>
                              </w:tabs>
                              <w:spacing w:line="300" w:lineRule="exact"/>
                              <w:ind w:left="550" w:rightChars="20" w:right="48" w:hangingChars="275" w:hanging="550"/>
                              <w:jc w:val="right"/>
                              <w:rPr>
                                <w:rFonts w:ascii="標楷體" w:eastAsia="標楷體" w:hAnsi="標楷體"/>
                                <w:color w:val="000000"/>
                                <w:sz w:val="20"/>
                              </w:rPr>
                            </w:pPr>
                            <w:r>
                              <w:rPr>
                                <w:rFonts w:ascii="標楷體" w:eastAsia="標楷體" w:hAnsi="標楷體" w:hint="eastAsia"/>
                                <w:color w:val="000000"/>
                                <w:sz w:val="20"/>
                              </w:rPr>
                              <w:t>單位：項</w:t>
                            </w:r>
                            <w:r w:rsidRPr="00042129">
                              <w:rPr>
                                <w:rFonts w:ascii="標楷體" w:eastAsia="標楷體" w:hAnsi="標楷體" w:hint="eastAsia"/>
                                <w:color w:val="000000"/>
                                <w:sz w:val="20"/>
                              </w:rPr>
                              <w:t>、％</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3"/>
                              <w:gridCol w:w="672"/>
                              <w:gridCol w:w="854"/>
                              <w:gridCol w:w="1246"/>
                              <w:gridCol w:w="1315"/>
                              <w:gridCol w:w="1050"/>
                              <w:gridCol w:w="1428"/>
                              <w:gridCol w:w="1022"/>
                            </w:tblGrid>
                            <w:tr w:rsidR="00A0212B" w:rsidRPr="00E63D96" w14:paraId="671FE865" w14:textId="77777777" w:rsidTr="0035644D">
                              <w:trPr>
                                <w:trHeight w:val="280"/>
                                <w:tblHeader/>
                                <w:jc w:val="center"/>
                              </w:trPr>
                              <w:tc>
                                <w:tcPr>
                                  <w:tcW w:w="2283" w:type="dxa"/>
                                  <w:vMerge w:val="restart"/>
                                  <w:vAlign w:val="center"/>
                                </w:tcPr>
                                <w:p w14:paraId="682FAEFB" w14:textId="77777777" w:rsidR="00A0212B" w:rsidRPr="00E63D96" w:rsidRDefault="00A0212B" w:rsidP="0035644D">
                                  <w:pPr>
                                    <w:overflowPunct w:val="0"/>
                                    <w:spacing w:line="320" w:lineRule="exact"/>
                                    <w:jc w:val="center"/>
                                    <w:rPr>
                                      <w:rFonts w:ascii="標楷體" w:eastAsia="標楷體" w:hAnsi="標楷體"/>
                                      <w:color w:val="000000"/>
                                      <w:sz w:val="20"/>
                                    </w:rPr>
                                  </w:pPr>
                                  <w:r>
                                    <w:rPr>
                                      <w:rFonts w:ascii="標楷體" w:eastAsia="標楷體" w:hAnsi="標楷體" w:hint="eastAsia"/>
                                      <w:color w:val="000000"/>
                                      <w:sz w:val="20"/>
                                    </w:rPr>
                                    <w:t>主管</w:t>
                                  </w:r>
                                  <w:r w:rsidRPr="00E63D96">
                                    <w:rPr>
                                      <w:rFonts w:ascii="標楷體" w:eastAsia="標楷體" w:hAnsi="標楷體"/>
                                      <w:color w:val="000000"/>
                                      <w:sz w:val="20"/>
                                    </w:rPr>
                                    <w:t>別</w:t>
                                  </w:r>
                                </w:p>
                              </w:tc>
                              <w:tc>
                                <w:tcPr>
                                  <w:tcW w:w="1526" w:type="dxa"/>
                                  <w:gridSpan w:val="2"/>
                                  <w:tcBorders>
                                    <w:bottom w:val="nil"/>
                                    <w:right w:val="nil"/>
                                  </w:tcBorders>
                                </w:tcPr>
                                <w:p w14:paraId="0858B9EA" w14:textId="77777777" w:rsidR="00A0212B" w:rsidRPr="00042129" w:rsidRDefault="00A0212B" w:rsidP="0035644D">
                                  <w:pPr>
                                    <w:overflowPunct w:val="0"/>
                                    <w:spacing w:line="320" w:lineRule="exact"/>
                                    <w:jc w:val="center"/>
                                    <w:rPr>
                                      <w:rFonts w:ascii="標楷體" w:eastAsia="標楷體" w:hAnsi="標楷體"/>
                                      <w:color w:val="000000"/>
                                      <w:sz w:val="20"/>
                                    </w:rPr>
                                  </w:pPr>
                                  <w:r>
                                    <w:rPr>
                                      <w:rFonts w:ascii="標楷體" w:eastAsia="標楷體" w:hAnsi="標楷體" w:hint="eastAsia"/>
                                      <w:color w:val="000000"/>
                                      <w:sz w:val="20"/>
                                    </w:rPr>
                                    <w:t>合計</w:t>
                                  </w:r>
                                </w:p>
                              </w:tc>
                              <w:tc>
                                <w:tcPr>
                                  <w:tcW w:w="1246" w:type="dxa"/>
                                  <w:tcBorders>
                                    <w:left w:val="nil"/>
                                    <w:right w:val="nil"/>
                                  </w:tcBorders>
                                </w:tcPr>
                                <w:p w14:paraId="4EE0FA9B" w14:textId="77777777" w:rsidR="00A0212B" w:rsidRPr="00042129" w:rsidRDefault="00A0212B" w:rsidP="0035644D">
                                  <w:pPr>
                                    <w:overflowPunct w:val="0"/>
                                    <w:spacing w:line="320" w:lineRule="exact"/>
                                    <w:jc w:val="center"/>
                                    <w:rPr>
                                      <w:rFonts w:ascii="標楷體" w:eastAsia="標楷體" w:hAnsi="標楷體"/>
                                      <w:color w:val="000000"/>
                                      <w:sz w:val="20"/>
                                    </w:rPr>
                                  </w:pPr>
                                </w:p>
                              </w:tc>
                              <w:tc>
                                <w:tcPr>
                                  <w:tcW w:w="1315" w:type="dxa"/>
                                  <w:tcBorders>
                                    <w:left w:val="nil"/>
                                    <w:right w:val="nil"/>
                                  </w:tcBorders>
                                </w:tcPr>
                                <w:p w14:paraId="27FAF9C8" w14:textId="77777777" w:rsidR="00A0212B" w:rsidRPr="00042129" w:rsidRDefault="00A0212B" w:rsidP="0035644D">
                                  <w:pPr>
                                    <w:overflowPunct w:val="0"/>
                                    <w:spacing w:line="320" w:lineRule="exact"/>
                                    <w:jc w:val="center"/>
                                    <w:rPr>
                                      <w:rFonts w:ascii="標楷體" w:eastAsia="標楷體" w:hAnsi="標楷體"/>
                                      <w:color w:val="000000"/>
                                      <w:sz w:val="20"/>
                                    </w:rPr>
                                  </w:pPr>
                                </w:p>
                              </w:tc>
                              <w:tc>
                                <w:tcPr>
                                  <w:tcW w:w="1050" w:type="dxa"/>
                                  <w:tcBorders>
                                    <w:left w:val="nil"/>
                                    <w:right w:val="nil"/>
                                  </w:tcBorders>
                                </w:tcPr>
                                <w:p w14:paraId="624D2F97" w14:textId="77777777" w:rsidR="00A0212B" w:rsidRPr="00042129" w:rsidRDefault="00A0212B" w:rsidP="0035644D">
                                  <w:pPr>
                                    <w:overflowPunct w:val="0"/>
                                    <w:spacing w:line="320" w:lineRule="exact"/>
                                    <w:jc w:val="center"/>
                                    <w:rPr>
                                      <w:rFonts w:ascii="標楷體" w:eastAsia="標楷體" w:hAnsi="標楷體"/>
                                      <w:color w:val="000000"/>
                                      <w:sz w:val="20"/>
                                    </w:rPr>
                                  </w:pPr>
                                </w:p>
                              </w:tc>
                              <w:tc>
                                <w:tcPr>
                                  <w:tcW w:w="1428" w:type="dxa"/>
                                  <w:tcBorders>
                                    <w:left w:val="nil"/>
                                    <w:right w:val="nil"/>
                                  </w:tcBorders>
                                </w:tcPr>
                                <w:p w14:paraId="4627AE10" w14:textId="77777777" w:rsidR="00A0212B" w:rsidRPr="00042129" w:rsidRDefault="00A0212B" w:rsidP="0035644D">
                                  <w:pPr>
                                    <w:overflowPunct w:val="0"/>
                                    <w:spacing w:line="320" w:lineRule="exact"/>
                                    <w:jc w:val="center"/>
                                    <w:rPr>
                                      <w:rFonts w:ascii="標楷體" w:eastAsia="標楷體" w:hAnsi="標楷體"/>
                                      <w:color w:val="000000"/>
                                      <w:sz w:val="20"/>
                                    </w:rPr>
                                  </w:pPr>
                                </w:p>
                              </w:tc>
                              <w:tc>
                                <w:tcPr>
                                  <w:tcW w:w="1022" w:type="dxa"/>
                                  <w:tcBorders>
                                    <w:left w:val="nil"/>
                                  </w:tcBorders>
                                </w:tcPr>
                                <w:p w14:paraId="7B4D7F77" w14:textId="77777777" w:rsidR="00A0212B" w:rsidRPr="00042129" w:rsidRDefault="00A0212B" w:rsidP="0035644D">
                                  <w:pPr>
                                    <w:overflowPunct w:val="0"/>
                                    <w:spacing w:line="320" w:lineRule="exact"/>
                                    <w:jc w:val="center"/>
                                    <w:rPr>
                                      <w:rFonts w:ascii="標楷體" w:eastAsia="標楷體" w:hAnsi="標楷體"/>
                                      <w:color w:val="000000"/>
                                      <w:sz w:val="20"/>
                                    </w:rPr>
                                  </w:pPr>
                                </w:p>
                              </w:tc>
                            </w:tr>
                            <w:tr w:rsidR="00A0212B" w:rsidRPr="00E63D96" w14:paraId="672331AC" w14:textId="77777777" w:rsidTr="0035644D">
                              <w:trPr>
                                <w:trHeight w:val="340"/>
                                <w:tblHeader/>
                                <w:jc w:val="center"/>
                              </w:trPr>
                              <w:tc>
                                <w:tcPr>
                                  <w:tcW w:w="2283" w:type="dxa"/>
                                  <w:vMerge/>
                                </w:tcPr>
                                <w:p w14:paraId="4E2367BF" w14:textId="77777777" w:rsidR="00A0212B" w:rsidRPr="00E63D96" w:rsidRDefault="00A0212B" w:rsidP="0035644D">
                                  <w:pPr>
                                    <w:overflowPunct w:val="0"/>
                                    <w:spacing w:line="320" w:lineRule="exact"/>
                                    <w:rPr>
                                      <w:rFonts w:ascii="標楷體" w:eastAsia="標楷體" w:hAnsi="標楷體"/>
                                      <w:color w:val="000000"/>
                                      <w:spacing w:val="-8"/>
                                      <w:sz w:val="20"/>
                                    </w:rPr>
                                  </w:pPr>
                                </w:p>
                              </w:tc>
                              <w:tc>
                                <w:tcPr>
                                  <w:tcW w:w="672" w:type="dxa"/>
                                  <w:tcBorders>
                                    <w:top w:val="nil"/>
                                  </w:tcBorders>
                                </w:tcPr>
                                <w:p w14:paraId="3F4FEA4C" w14:textId="77777777" w:rsidR="00A0212B" w:rsidRPr="00042129" w:rsidRDefault="00A0212B" w:rsidP="0035644D">
                                  <w:pPr>
                                    <w:overflowPunct w:val="0"/>
                                    <w:spacing w:line="240" w:lineRule="exact"/>
                                    <w:jc w:val="center"/>
                                    <w:rPr>
                                      <w:rFonts w:ascii="標楷體" w:eastAsia="標楷體" w:hAnsi="標楷體"/>
                                      <w:color w:val="000000"/>
                                      <w:sz w:val="20"/>
                                    </w:rPr>
                                  </w:pPr>
                                </w:p>
                              </w:tc>
                              <w:tc>
                                <w:tcPr>
                                  <w:tcW w:w="854" w:type="dxa"/>
                                  <w:tcBorders>
                                    <w:top w:val="single" w:sz="4" w:space="0" w:color="auto"/>
                                    <w:right w:val="double" w:sz="4" w:space="0" w:color="auto"/>
                                  </w:tcBorders>
                                  <w:vAlign w:val="center"/>
                                </w:tcPr>
                                <w:p w14:paraId="77DC2C44" w14:textId="77777777" w:rsidR="00A0212B" w:rsidRPr="00042129" w:rsidRDefault="00A0212B" w:rsidP="0035644D">
                                  <w:pPr>
                                    <w:overflowPunct w:val="0"/>
                                    <w:spacing w:line="240" w:lineRule="exact"/>
                                    <w:jc w:val="center"/>
                                    <w:rPr>
                                      <w:rFonts w:ascii="標楷體" w:eastAsia="標楷體" w:hAnsi="標楷體"/>
                                      <w:color w:val="000000"/>
                                      <w:sz w:val="20"/>
                                    </w:rPr>
                                  </w:pPr>
                                  <w:r w:rsidRPr="00042129">
                                    <w:rPr>
                                      <w:rFonts w:ascii="標楷體" w:eastAsia="標楷體" w:hAnsi="標楷體"/>
                                      <w:color w:val="000000"/>
                                      <w:sz w:val="20"/>
                                    </w:rPr>
                                    <w:t>占比</w:t>
                                  </w:r>
                                </w:p>
                              </w:tc>
                              <w:tc>
                                <w:tcPr>
                                  <w:tcW w:w="1246" w:type="dxa"/>
                                  <w:tcBorders>
                                    <w:left w:val="double" w:sz="4" w:space="0" w:color="auto"/>
                                  </w:tcBorders>
                                </w:tcPr>
                                <w:p w14:paraId="549B118E"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hint="eastAsia"/>
                                      <w:color w:val="000000"/>
                                      <w:sz w:val="20"/>
                                    </w:rPr>
                                    <w:t>增進高齡者健康與自主</w:t>
                                  </w:r>
                                </w:p>
                              </w:tc>
                              <w:tc>
                                <w:tcPr>
                                  <w:tcW w:w="1315" w:type="dxa"/>
                                </w:tcPr>
                                <w:p w14:paraId="5BFD614E"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color w:val="000000"/>
                                      <w:sz w:val="20"/>
                                    </w:rPr>
                                    <w:t>提升高齡者社會連結</w:t>
                                  </w:r>
                                </w:p>
                              </w:tc>
                              <w:tc>
                                <w:tcPr>
                                  <w:tcW w:w="1050" w:type="dxa"/>
                                </w:tcPr>
                                <w:p w14:paraId="228ADCAE"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color w:val="000000"/>
                                      <w:sz w:val="20"/>
                                    </w:rPr>
                                    <w:t>促進世代和諧共融</w:t>
                                  </w:r>
                                </w:p>
                              </w:tc>
                              <w:tc>
                                <w:tcPr>
                                  <w:tcW w:w="1428" w:type="dxa"/>
                                </w:tcPr>
                                <w:p w14:paraId="4440D5E7"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color w:val="000000"/>
                                      <w:sz w:val="20"/>
                                    </w:rPr>
                                    <w:t>建構高齡友善及安全環境</w:t>
                                  </w:r>
                                </w:p>
                              </w:tc>
                              <w:tc>
                                <w:tcPr>
                                  <w:tcW w:w="1022" w:type="dxa"/>
                                </w:tcPr>
                                <w:p w14:paraId="065ADED4"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color w:val="000000"/>
                                      <w:sz w:val="20"/>
                                    </w:rPr>
                                    <w:t>強化社會永續發展</w:t>
                                  </w:r>
                                </w:p>
                              </w:tc>
                            </w:tr>
                            <w:tr w:rsidR="00A0212B" w:rsidRPr="00E63D96" w14:paraId="02AE2250" w14:textId="77777777" w:rsidTr="0035644D">
                              <w:trPr>
                                <w:trHeight w:val="280"/>
                                <w:tblHeader/>
                                <w:jc w:val="center"/>
                              </w:trPr>
                              <w:tc>
                                <w:tcPr>
                                  <w:tcW w:w="2283" w:type="dxa"/>
                                  <w:vAlign w:val="center"/>
                                </w:tcPr>
                                <w:p w14:paraId="4C357856" w14:textId="77777777" w:rsidR="00A0212B" w:rsidRPr="003C034B" w:rsidRDefault="00A0212B" w:rsidP="0035644D">
                                  <w:pPr>
                                    <w:overflowPunct w:val="0"/>
                                    <w:spacing w:line="280" w:lineRule="exact"/>
                                    <w:jc w:val="center"/>
                                    <w:rPr>
                                      <w:rFonts w:ascii="標楷體" w:eastAsia="標楷體" w:hAnsi="標楷體" w:cs="標楷體"/>
                                      <w:b/>
                                      <w:sz w:val="20"/>
                                    </w:rPr>
                                  </w:pPr>
                                  <w:r w:rsidRPr="003C034B">
                                    <w:rPr>
                                      <w:rFonts w:ascii="標楷體" w:eastAsia="標楷體" w:hAnsi="標楷體" w:cs="標楷體" w:hint="eastAsia"/>
                                      <w:b/>
                                      <w:sz w:val="20"/>
                                    </w:rPr>
                                    <w:t>合計</w:t>
                                  </w:r>
                                </w:p>
                              </w:tc>
                              <w:tc>
                                <w:tcPr>
                                  <w:tcW w:w="672" w:type="dxa"/>
                                  <w:vAlign w:val="center"/>
                                </w:tcPr>
                                <w:p w14:paraId="3A5667D0"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345</w:t>
                                  </w:r>
                                </w:p>
                              </w:tc>
                              <w:tc>
                                <w:tcPr>
                                  <w:tcW w:w="854" w:type="dxa"/>
                                  <w:tcBorders>
                                    <w:right w:val="double" w:sz="4" w:space="0" w:color="auto"/>
                                  </w:tcBorders>
                                  <w:vAlign w:val="center"/>
                                </w:tcPr>
                                <w:p w14:paraId="1FD977F9"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100.00</w:t>
                                  </w:r>
                                </w:p>
                              </w:tc>
                              <w:tc>
                                <w:tcPr>
                                  <w:tcW w:w="1246" w:type="dxa"/>
                                  <w:tcBorders>
                                    <w:left w:val="double" w:sz="4" w:space="0" w:color="auto"/>
                                  </w:tcBorders>
                                  <w:vAlign w:val="center"/>
                                </w:tcPr>
                                <w:p w14:paraId="74DC4406"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131</w:t>
                                  </w:r>
                                </w:p>
                              </w:tc>
                              <w:tc>
                                <w:tcPr>
                                  <w:tcW w:w="1315" w:type="dxa"/>
                                  <w:vAlign w:val="center"/>
                                </w:tcPr>
                                <w:p w14:paraId="412A9FB4"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63</w:t>
                                  </w:r>
                                </w:p>
                              </w:tc>
                              <w:tc>
                                <w:tcPr>
                                  <w:tcW w:w="1050" w:type="dxa"/>
                                  <w:vAlign w:val="center"/>
                                </w:tcPr>
                                <w:p w14:paraId="1B3D8A3E"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53</w:t>
                                  </w:r>
                                </w:p>
                              </w:tc>
                              <w:tc>
                                <w:tcPr>
                                  <w:tcW w:w="1428" w:type="dxa"/>
                                  <w:vAlign w:val="center"/>
                                </w:tcPr>
                                <w:p w14:paraId="22ED3BCD"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73</w:t>
                                  </w:r>
                                </w:p>
                              </w:tc>
                              <w:tc>
                                <w:tcPr>
                                  <w:tcW w:w="1022" w:type="dxa"/>
                                </w:tcPr>
                                <w:p w14:paraId="021BE1B2"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25</w:t>
                                  </w:r>
                                </w:p>
                              </w:tc>
                            </w:tr>
                            <w:tr w:rsidR="00A0212B" w:rsidRPr="00E63D96" w14:paraId="76A29CF8" w14:textId="77777777" w:rsidTr="0035644D">
                              <w:trPr>
                                <w:trHeight w:val="280"/>
                                <w:tblHeader/>
                                <w:jc w:val="center"/>
                              </w:trPr>
                              <w:tc>
                                <w:tcPr>
                                  <w:tcW w:w="2283" w:type="dxa"/>
                                </w:tcPr>
                                <w:p w14:paraId="6D6716D4" w14:textId="77777777" w:rsidR="00A0212B" w:rsidRPr="000867F3" w:rsidRDefault="00A0212B" w:rsidP="0035644D">
                                  <w:pPr>
                                    <w:overflowPunct w:val="0"/>
                                    <w:spacing w:line="280" w:lineRule="exact"/>
                                    <w:jc w:val="both"/>
                                    <w:rPr>
                                      <w:rFonts w:ascii="標楷體" w:eastAsia="標楷體" w:hAnsi="標楷體" w:cs="標楷體"/>
                                      <w:sz w:val="20"/>
                                    </w:rPr>
                                  </w:pPr>
                                  <w:r>
                                    <w:rPr>
                                      <w:rFonts w:ascii="標楷體" w:eastAsia="標楷體" w:hAnsi="標楷體" w:cs="標楷體" w:hint="eastAsia"/>
                                      <w:sz w:val="20"/>
                                    </w:rPr>
                                    <w:t>衛生福利</w:t>
                                  </w:r>
                                  <w:r w:rsidRPr="000867F3">
                                    <w:rPr>
                                      <w:rFonts w:ascii="標楷體" w:eastAsia="標楷體" w:hAnsi="標楷體" w:cs="標楷體" w:hint="eastAsia"/>
                                      <w:sz w:val="20"/>
                                    </w:rPr>
                                    <w:t>部</w:t>
                                  </w:r>
                                </w:p>
                              </w:tc>
                              <w:tc>
                                <w:tcPr>
                                  <w:tcW w:w="672" w:type="dxa"/>
                                  <w:vAlign w:val="center"/>
                                </w:tcPr>
                                <w:p w14:paraId="26E3A398"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134</w:t>
                                  </w:r>
                                </w:p>
                              </w:tc>
                              <w:tc>
                                <w:tcPr>
                                  <w:tcW w:w="854" w:type="dxa"/>
                                  <w:tcBorders>
                                    <w:right w:val="double" w:sz="4" w:space="0" w:color="auto"/>
                                  </w:tcBorders>
                                  <w:vAlign w:val="center"/>
                                </w:tcPr>
                                <w:p w14:paraId="0607D5A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38.84</w:t>
                                  </w:r>
                                </w:p>
                              </w:tc>
                              <w:tc>
                                <w:tcPr>
                                  <w:tcW w:w="1246" w:type="dxa"/>
                                  <w:tcBorders>
                                    <w:left w:val="double" w:sz="4" w:space="0" w:color="auto"/>
                                  </w:tcBorders>
                                </w:tcPr>
                                <w:p w14:paraId="759C8D4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81</w:t>
                                  </w:r>
                                </w:p>
                              </w:tc>
                              <w:tc>
                                <w:tcPr>
                                  <w:tcW w:w="1315" w:type="dxa"/>
                                </w:tcPr>
                                <w:p w14:paraId="11E4072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11</w:t>
                                  </w:r>
                                </w:p>
                              </w:tc>
                              <w:tc>
                                <w:tcPr>
                                  <w:tcW w:w="1050" w:type="dxa"/>
                                </w:tcPr>
                                <w:p w14:paraId="73F3257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7</w:t>
                                  </w:r>
                                </w:p>
                              </w:tc>
                              <w:tc>
                                <w:tcPr>
                                  <w:tcW w:w="1428" w:type="dxa"/>
                                </w:tcPr>
                                <w:p w14:paraId="51F1B00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21</w:t>
                                  </w:r>
                                </w:p>
                              </w:tc>
                              <w:tc>
                                <w:tcPr>
                                  <w:tcW w:w="1022" w:type="dxa"/>
                                </w:tcPr>
                                <w:p w14:paraId="3FFA0BC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14</w:t>
                                  </w:r>
                                </w:p>
                              </w:tc>
                            </w:tr>
                            <w:tr w:rsidR="00A0212B" w:rsidRPr="00E63D96" w14:paraId="3BCA11A1" w14:textId="77777777" w:rsidTr="0035644D">
                              <w:trPr>
                                <w:trHeight w:val="280"/>
                                <w:tblHeader/>
                                <w:jc w:val="center"/>
                              </w:trPr>
                              <w:tc>
                                <w:tcPr>
                                  <w:tcW w:w="2283" w:type="dxa"/>
                                </w:tcPr>
                                <w:p w14:paraId="576CC177"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教育部</w:t>
                                  </w:r>
                                </w:p>
                              </w:tc>
                              <w:tc>
                                <w:tcPr>
                                  <w:tcW w:w="672" w:type="dxa"/>
                                  <w:vAlign w:val="center"/>
                                </w:tcPr>
                                <w:p w14:paraId="0246D750"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66</w:t>
                                  </w:r>
                                </w:p>
                              </w:tc>
                              <w:tc>
                                <w:tcPr>
                                  <w:tcW w:w="854" w:type="dxa"/>
                                  <w:tcBorders>
                                    <w:right w:val="double" w:sz="4" w:space="0" w:color="auto"/>
                                  </w:tcBorders>
                                  <w:vAlign w:val="center"/>
                                </w:tcPr>
                                <w:p w14:paraId="72BECCC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19.13</w:t>
                                  </w:r>
                                </w:p>
                              </w:tc>
                              <w:tc>
                                <w:tcPr>
                                  <w:tcW w:w="1246" w:type="dxa"/>
                                  <w:tcBorders>
                                    <w:left w:val="double" w:sz="4" w:space="0" w:color="auto"/>
                                  </w:tcBorders>
                                </w:tcPr>
                                <w:p w14:paraId="1CC41C9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13</w:t>
                                  </w:r>
                                </w:p>
                              </w:tc>
                              <w:tc>
                                <w:tcPr>
                                  <w:tcW w:w="1315" w:type="dxa"/>
                                </w:tcPr>
                                <w:p w14:paraId="2A8A5D5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18</w:t>
                                  </w:r>
                                </w:p>
                              </w:tc>
                              <w:tc>
                                <w:tcPr>
                                  <w:tcW w:w="1050" w:type="dxa"/>
                                </w:tcPr>
                                <w:p w14:paraId="192CD10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23</w:t>
                                  </w:r>
                                </w:p>
                              </w:tc>
                              <w:tc>
                                <w:tcPr>
                                  <w:tcW w:w="1428" w:type="dxa"/>
                                </w:tcPr>
                                <w:p w14:paraId="675C4A1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11</w:t>
                                  </w:r>
                                </w:p>
                              </w:tc>
                              <w:tc>
                                <w:tcPr>
                                  <w:tcW w:w="1022" w:type="dxa"/>
                                </w:tcPr>
                                <w:p w14:paraId="5A925B6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r>
                            <w:tr w:rsidR="00A0212B" w:rsidRPr="00E63D96" w14:paraId="12982E0A" w14:textId="77777777" w:rsidTr="0035644D">
                              <w:trPr>
                                <w:trHeight w:val="280"/>
                                <w:tblHeader/>
                                <w:jc w:val="center"/>
                              </w:trPr>
                              <w:tc>
                                <w:tcPr>
                                  <w:tcW w:w="2283" w:type="dxa"/>
                                </w:tcPr>
                                <w:p w14:paraId="52132DB2"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勞動部</w:t>
                                  </w:r>
                                </w:p>
                              </w:tc>
                              <w:tc>
                                <w:tcPr>
                                  <w:tcW w:w="672" w:type="dxa"/>
                                  <w:vAlign w:val="center"/>
                                </w:tcPr>
                                <w:p w14:paraId="44CCE832"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30</w:t>
                                  </w:r>
                                </w:p>
                              </w:tc>
                              <w:tc>
                                <w:tcPr>
                                  <w:tcW w:w="854" w:type="dxa"/>
                                  <w:tcBorders>
                                    <w:right w:val="double" w:sz="4" w:space="0" w:color="auto"/>
                                  </w:tcBorders>
                                  <w:vAlign w:val="center"/>
                                </w:tcPr>
                                <w:p w14:paraId="03F49A8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8.70</w:t>
                                  </w:r>
                                </w:p>
                              </w:tc>
                              <w:tc>
                                <w:tcPr>
                                  <w:tcW w:w="1246" w:type="dxa"/>
                                  <w:tcBorders>
                                    <w:left w:val="double" w:sz="4" w:space="0" w:color="auto"/>
                                  </w:tcBorders>
                                </w:tcPr>
                                <w:p w14:paraId="59D9417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315" w:type="dxa"/>
                                </w:tcPr>
                                <w:p w14:paraId="7EB1B8A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15</w:t>
                                  </w:r>
                                </w:p>
                              </w:tc>
                              <w:tc>
                                <w:tcPr>
                                  <w:tcW w:w="1050" w:type="dxa"/>
                                </w:tcPr>
                                <w:p w14:paraId="030544D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6</w:t>
                                  </w:r>
                                </w:p>
                              </w:tc>
                              <w:tc>
                                <w:tcPr>
                                  <w:tcW w:w="1428" w:type="dxa"/>
                                </w:tcPr>
                                <w:p w14:paraId="7C2DECA6"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22" w:type="dxa"/>
                                </w:tcPr>
                                <w:p w14:paraId="08DC9DA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7</w:t>
                                  </w:r>
                                </w:p>
                              </w:tc>
                            </w:tr>
                            <w:tr w:rsidR="00A0212B" w:rsidRPr="00E63D96" w14:paraId="18365E80" w14:textId="77777777" w:rsidTr="0035644D">
                              <w:trPr>
                                <w:trHeight w:val="280"/>
                                <w:tblHeader/>
                                <w:jc w:val="center"/>
                              </w:trPr>
                              <w:tc>
                                <w:tcPr>
                                  <w:tcW w:w="2283" w:type="dxa"/>
                                </w:tcPr>
                                <w:p w14:paraId="732AF578"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內政部</w:t>
                                  </w:r>
                                </w:p>
                              </w:tc>
                              <w:tc>
                                <w:tcPr>
                                  <w:tcW w:w="672" w:type="dxa"/>
                                  <w:vAlign w:val="center"/>
                                </w:tcPr>
                                <w:p w14:paraId="5217F381"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27</w:t>
                                  </w:r>
                                </w:p>
                              </w:tc>
                              <w:tc>
                                <w:tcPr>
                                  <w:tcW w:w="854" w:type="dxa"/>
                                  <w:tcBorders>
                                    <w:right w:val="double" w:sz="4" w:space="0" w:color="auto"/>
                                  </w:tcBorders>
                                  <w:vAlign w:val="center"/>
                                </w:tcPr>
                                <w:p w14:paraId="7BE57FE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7.83</w:t>
                                  </w:r>
                                </w:p>
                              </w:tc>
                              <w:tc>
                                <w:tcPr>
                                  <w:tcW w:w="1246" w:type="dxa"/>
                                  <w:tcBorders>
                                    <w:left w:val="double" w:sz="4" w:space="0" w:color="auto"/>
                                  </w:tcBorders>
                                </w:tcPr>
                                <w:p w14:paraId="2E683A7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315" w:type="dxa"/>
                                </w:tcPr>
                                <w:p w14:paraId="6F981C7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050" w:type="dxa"/>
                                </w:tcPr>
                                <w:p w14:paraId="3989836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428" w:type="dxa"/>
                                </w:tcPr>
                                <w:p w14:paraId="6B8410C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17</w:t>
                                  </w:r>
                                </w:p>
                              </w:tc>
                              <w:tc>
                                <w:tcPr>
                                  <w:tcW w:w="1022" w:type="dxa"/>
                                </w:tcPr>
                                <w:p w14:paraId="4484081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147F8848" w14:textId="77777777" w:rsidTr="0035644D">
                              <w:trPr>
                                <w:trHeight w:val="280"/>
                                <w:tblHeader/>
                                <w:jc w:val="center"/>
                              </w:trPr>
                              <w:tc>
                                <w:tcPr>
                                  <w:tcW w:w="2283" w:type="dxa"/>
                                </w:tcPr>
                                <w:p w14:paraId="78D424AC"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pacing w:val="-20"/>
                                      <w:sz w:val="20"/>
                                    </w:rPr>
                                    <w:t>國軍退除役官兵輔導委員會</w:t>
                                  </w:r>
                                </w:p>
                              </w:tc>
                              <w:tc>
                                <w:tcPr>
                                  <w:tcW w:w="672" w:type="dxa"/>
                                  <w:vAlign w:val="center"/>
                                </w:tcPr>
                                <w:p w14:paraId="7D8FC1F5"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19</w:t>
                                  </w:r>
                                </w:p>
                              </w:tc>
                              <w:tc>
                                <w:tcPr>
                                  <w:tcW w:w="854" w:type="dxa"/>
                                  <w:tcBorders>
                                    <w:right w:val="double" w:sz="4" w:space="0" w:color="auto"/>
                                  </w:tcBorders>
                                  <w:vAlign w:val="center"/>
                                </w:tcPr>
                                <w:p w14:paraId="0F10CE5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5.51</w:t>
                                  </w:r>
                                </w:p>
                              </w:tc>
                              <w:tc>
                                <w:tcPr>
                                  <w:tcW w:w="1246" w:type="dxa"/>
                                  <w:tcBorders>
                                    <w:left w:val="double" w:sz="4" w:space="0" w:color="auto"/>
                                  </w:tcBorders>
                                </w:tcPr>
                                <w:p w14:paraId="12C9911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13</w:t>
                                  </w:r>
                                </w:p>
                              </w:tc>
                              <w:tc>
                                <w:tcPr>
                                  <w:tcW w:w="1315" w:type="dxa"/>
                                </w:tcPr>
                                <w:p w14:paraId="59CFE7E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50" w:type="dxa"/>
                                </w:tcPr>
                                <w:p w14:paraId="17FFC2B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428" w:type="dxa"/>
                                </w:tcPr>
                                <w:p w14:paraId="49DD926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022" w:type="dxa"/>
                                </w:tcPr>
                                <w:p w14:paraId="5445CAB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426BFDE6" w14:textId="77777777" w:rsidTr="0035644D">
                              <w:trPr>
                                <w:trHeight w:val="280"/>
                                <w:tblHeader/>
                                <w:jc w:val="center"/>
                              </w:trPr>
                              <w:tc>
                                <w:tcPr>
                                  <w:tcW w:w="2283" w:type="dxa"/>
                                </w:tcPr>
                                <w:p w14:paraId="7B9C00E7"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交通部</w:t>
                                  </w:r>
                                </w:p>
                              </w:tc>
                              <w:tc>
                                <w:tcPr>
                                  <w:tcW w:w="672" w:type="dxa"/>
                                  <w:vAlign w:val="center"/>
                                </w:tcPr>
                                <w:p w14:paraId="2ADB9A73"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15</w:t>
                                  </w:r>
                                </w:p>
                              </w:tc>
                              <w:tc>
                                <w:tcPr>
                                  <w:tcW w:w="854" w:type="dxa"/>
                                  <w:tcBorders>
                                    <w:right w:val="double" w:sz="4" w:space="0" w:color="auto"/>
                                  </w:tcBorders>
                                  <w:vAlign w:val="center"/>
                                </w:tcPr>
                                <w:p w14:paraId="45C1036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4.35</w:t>
                                  </w:r>
                                </w:p>
                              </w:tc>
                              <w:tc>
                                <w:tcPr>
                                  <w:tcW w:w="1246" w:type="dxa"/>
                                  <w:tcBorders>
                                    <w:left w:val="double" w:sz="4" w:space="0" w:color="auto"/>
                                  </w:tcBorders>
                                </w:tcPr>
                                <w:p w14:paraId="18AD115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427E040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776E465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428" w:type="dxa"/>
                                </w:tcPr>
                                <w:p w14:paraId="5C8CFC06"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11</w:t>
                                  </w:r>
                                </w:p>
                              </w:tc>
                              <w:tc>
                                <w:tcPr>
                                  <w:tcW w:w="1022" w:type="dxa"/>
                                </w:tcPr>
                                <w:p w14:paraId="27AD679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1A82A26" w14:textId="77777777" w:rsidTr="0035644D">
                              <w:trPr>
                                <w:trHeight w:val="280"/>
                                <w:tblHeader/>
                                <w:jc w:val="center"/>
                              </w:trPr>
                              <w:tc>
                                <w:tcPr>
                                  <w:tcW w:w="2283" w:type="dxa"/>
                                </w:tcPr>
                                <w:p w14:paraId="43F82590"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經濟部</w:t>
                                  </w:r>
                                </w:p>
                              </w:tc>
                              <w:tc>
                                <w:tcPr>
                                  <w:tcW w:w="672" w:type="dxa"/>
                                  <w:vAlign w:val="center"/>
                                </w:tcPr>
                                <w:p w14:paraId="21C5EA51"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13</w:t>
                                  </w:r>
                                </w:p>
                              </w:tc>
                              <w:tc>
                                <w:tcPr>
                                  <w:tcW w:w="854" w:type="dxa"/>
                                  <w:tcBorders>
                                    <w:right w:val="double" w:sz="4" w:space="0" w:color="auto"/>
                                  </w:tcBorders>
                                  <w:vAlign w:val="center"/>
                                </w:tcPr>
                                <w:p w14:paraId="40BAF99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3.77</w:t>
                                  </w:r>
                                </w:p>
                              </w:tc>
                              <w:tc>
                                <w:tcPr>
                                  <w:tcW w:w="1246" w:type="dxa"/>
                                  <w:tcBorders>
                                    <w:left w:val="double" w:sz="4" w:space="0" w:color="auto"/>
                                  </w:tcBorders>
                                </w:tcPr>
                                <w:p w14:paraId="60052F3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315" w:type="dxa"/>
                                </w:tcPr>
                                <w:p w14:paraId="41F0BD9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6</w:t>
                                  </w:r>
                                </w:p>
                              </w:tc>
                              <w:tc>
                                <w:tcPr>
                                  <w:tcW w:w="1050" w:type="dxa"/>
                                </w:tcPr>
                                <w:p w14:paraId="4BA58885"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428" w:type="dxa"/>
                                </w:tcPr>
                                <w:p w14:paraId="2873212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022" w:type="dxa"/>
                                </w:tcPr>
                                <w:p w14:paraId="63CC5A1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r>
                            <w:tr w:rsidR="00A0212B" w:rsidRPr="00E63D96" w14:paraId="1067B9AE" w14:textId="77777777" w:rsidTr="0035644D">
                              <w:trPr>
                                <w:trHeight w:val="280"/>
                                <w:tblHeader/>
                                <w:jc w:val="center"/>
                              </w:trPr>
                              <w:tc>
                                <w:tcPr>
                                  <w:tcW w:w="2283" w:type="dxa"/>
                                </w:tcPr>
                                <w:p w14:paraId="1B65C3D5" w14:textId="77777777" w:rsidR="00A0212B" w:rsidRPr="000867F3" w:rsidRDefault="00A0212B" w:rsidP="0035644D">
                                  <w:pPr>
                                    <w:overflowPunct w:val="0"/>
                                    <w:spacing w:line="280" w:lineRule="exact"/>
                                    <w:jc w:val="both"/>
                                    <w:rPr>
                                      <w:rFonts w:ascii="標楷體" w:eastAsia="標楷體" w:hAnsi="標楷體" w:cs="標楷體"/>
                                      <w:sz w:val="20"/>
                                    </w:rPr>
                                  </w:pPr>
                                  <w:r w:rsidRPr="00E53D04">
                                    <w:rPr>
                                      <w:rFonts w:ascii="標楷體" w:eastAsia="標楷體" w:hAnsi="標楷體" w:cs="標楷體" w:hint="eastAsia"/>
                                      <w:sz w:val="20"/>
                                    </w:rPr>
                                    <w:t>農業委員會（農業部）</w:t>
                                  </w:r>
                                </w:p>
                              </w:tc>
                              <w:tc>
                                <w:tcPr>
                                  <w:tcW w:w="672" w:type="dxa"/>
                                  <w:vAlign w:val="center"/>
                                </w:tcPr>
                                <w:p w14:paraId="2A16758E"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11</w:t>
                                  </w:r>
                                </w:p>
                              </w:tc>
                              <w:tc>
                                <w:tcPr>
                                  <w:tcW w:w="854" w:type="dxa"/>
                                  <w:tcBorders>
                                    <w:right w:val="double" w:sz="4" w:space="0" w:color="auto"/>
                                  </w:tcBorders>
                                  <w:vAlign w:val="center"/>
                                </w:tcPr>
                                <w:p w14:paraId="3AA8A4C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3.19</w:t>
                                  </w:r>
                                </w:p>
                              </w:tc>
                              <w:tc>
                                <w:tcPr>
                                  <w:tcW w:w="1246" w:type="dxa"/>
                                  <w:tcBorders>
                                    <w:left w:val="double" w:sz="4" w:space="0" w:color="auto"/>
                                  </w:tcBorders>
                                </w:tcPr>
                                <w:p w14:paraId="72C51D4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6</w:t>
                                  </w:r>
                                </w:p>
                              </w:tc>
                              <w:tc>
                                <w:tcPr>
                                  <w:tcW w:w="1315" w:type="dxa"/>
                                </w:tcPr>
                                <w:p w14:paraId="0F00601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050" w:type="dxa"/>
                                </w:tcPr>
                                <w:p w14:paraId="1C72460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428" w:type="dxa"/>
                                </w:tcPr>
                                <w:p w14:paraId="66F4D91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22" w:type="dxa"/>
                                </w:tcPr>
                                <w:p w14:paraId="5A3A7A0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37BE511" w14:textId="77777777" w:rsidTr="0035644D">
                              <w:trPr>
                                <w:trHeight w:val="280"/>
                                <w:tblHeader/>
                                <w:jc w:val="center"/>
                              </w:trPr>
                              <w:tc>
                                <w:tcPr>
                                  <w:tcW w:w="2283" w:type="dxa"/>
                                </w:tcPr>
                                <w:p w14:paraId="764B13F6"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原住民族委員會</w:t>
                                  </w:r>
                                </w:p>
                              </w:tc>
                              <w:tc>
                                <w:tcPr>
                                  <w:tcW w:w="672" w:type="dxa"/>
                                  <w:vAlign w:val="center"/>
                                </w:tcPr>
                                <w:p w14:paraId="3949B6B5"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10</w:t>
                                  </w:r>
                                </w:p>
                              </w:tc>
                              <w:tc>
                                <w:tcPr>
                                  <w:tcW w:w="854" w:type="dxa"/>
                                  <w:tcBorders>
                                    <w:right w:val="double" w:sz="4" w:space="0" w:color="auto"/>
                                  </w:tcBorders>
                                  <w:vAlign w:val="center"/>
                                </w:tcPr>
                                <w:p w14:paraId="5BF31EC9"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2.90</w:t>
                                  </w:r>
                                </w:p>
                              </w:tc>
                              <w:tc>
                                <w:tcPr>
                                  <w:tcW w:w="1246" w:type="dxa"/>
                                  <w:tcBorders>
                                    <w:left w:val="double" w:sz="4" w:space="0" w:color="auto"/>
                                  </w:tcBorders>
                                </w:tcPr>
                                <w:p w14:paraId="18F0E77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7</w:t>
                                  </w:r>
                                </w:p>
                              </w:tc>
                              <w:tc>
                                <w:tcPr>
                                  <w:tcW w:w="1315" w:type="dxa"/>
                                </w:tcPr>
                                <w:p w14:paraId="6CED00B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050" w:type="dxa"/>
                                </w:tcPr>
                                <w:p w14:paraId="5B41850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7B997D36"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22" w:type="dxa"/>
                                </w:tcPr>
                                <w:p w14:paraId="4A6583BE"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77F44A4F" w14:textId="77777777" w:rsidTr="0035644D">
                              <w:trPr>
                                <w:trHeight w:val="280"/>
                                <w:tblHeader/>
                                <w:jc w:val="center"/>
                              </w:trPr>
                              <w:tc>
                                <w:tcPr>
                                  <w:tcW w:w="2283" w:type="dxa"/>
                                </w:tcPr>
                                <w:p w14:paraId="330F9D3C"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客家委員會</w:t>
                                  </w:r>
                                </w:p>
                              </w:tc>
                              <w:tc>
                                <w:tcPr>
                                  <w:tcW w:w="672" w:type="dxa"/>
                                  <w:vAlign w:val="center"/>
                                </w:tcPr>
                                <w:p w14:paraId="790FDB63"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7</w:t>
                                  </w:r>
                                </w:p>
                              </w:tc>
                              <w:tc>
                                <w:tcPr>
                                  <w:tcW w:w="854" w:type="dxa"/>
                                  <w:tcBorders>
                                    <w:right w:val="double" w:sz="4" w:space="0" w:color="auto"/>
                                  </w:tcBorders>
                                  <w:vAlign w:val="center"/>
                                </w:tcPr>
                                <w:p w14:paraId="706067F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2.03</w:t>
                                  </w:r>
                                </w:p>
                              </w:tc>
                              <w:tc>
                                <w:tcPr>
                                  <w:tcW w:w="1246" w:type="dxa"/>
                                  <w:tcBorders>
                                    <w:left w:val="double" w:sz="4" w:space="0" w:color="auto"/>
                                  </w:tcBorders>
                                </w:tcPr>
                                <w:p w14:paraId="3D804F8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315" w:type="dxa"/>
                                </w:tcPr>
                                <w:p w14:paraId="7E7708A9"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050" w:type="dxa"/>
                                </w:tcPr>
                                <w:p w14:paraId="379444D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4E20BE7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22" w:type="dxa"/>
                                </w:tcPr>
                                <w:p w14:paraId="5938ED4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781E80F" w14:textId="77777777" w:rsidTr="0035644D">
                              <w:trPr>
                                <w:trHeight w:val="280"/>
                                <w:tblHeader/>
                                <w:jc w:val="center"/>
                              </w:trPr>
                              <w:tc>
                                <w:tcPr>
                                  <w:tcW w:w="2283" w:type="dxa"/>
                                </w:tcPr>
                                <w:p w14:paraId="71D3A066" w14:textId="77777777" w:rsidR="00A0212B" w:rsidRPr="00E53D04" w:rsidRDefault="00A0212B" w:rsidP="0035644D">
                                  <w:pPr>
                                    <w:overflowPunct w:val="0"/>
                                    <w:spacing w:line="280" w:lineRule="exact"/>
                                    <w:jc w:val="both"/>
                                    <w:rPr>
                                      <w:rFonts w:ascii="標楷體" w:eastAsia="標楷體" w:hAnsi="標楷體" w:cs="標楷體"/>
                                      <w:spacing w:val="-4"/>
                                      <w:sz w:val="20"/>
                                    </w:rPr>
                                  </w:pPr>
                                  <w:r w:rsidRPr="00E53D04">
                                    <w:rPr>
                                      <w:rFonts w:ascii="標楷體" w:eastAsia="標楷體" w:hAnsi="標楷體" w:cs="標楷體" w:hint="eastAsia"/>
                                      <w:spacing w:val="-4"/>
                                      <w:sz w:val="20"/>
                                    </w:rPr>
                                    <w:t>國家科學及技術委員會</w:t>
                                  </w:r>
                                </w:p>
                              </w:tc>
                              <w:tc>
                                <w:tcPr>
                                  <w:tcW w:w="672" w:type="dxa"/>
                                  <w:vAlign w:val="center"/>
                                </w:tcPr>
                                <w:p w14:paraId="5EBD51E1"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3</w:t>
                                  </w:r>
                                </w:p>
                              </w:tc>
                              <w:tc>
                                <w:tcPr>
                                  <w:tcW w:w="854" w:type="dxa"/>
                                  <w:tcBorders>
                                    <w:right w:val="double" w:sz="4" w:space="0" w:color="auto"/>
                                  </w:tcBorders>
                                  <w:vAlign w:val="center"/>
                                </w:tcPr>
                                <w:p w14:paraId="1FFB031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0.87</w:t>
                                  </w:r>
                                </w:p>
                              </w:tc>
                              <w:tc>
                                <w:tcPr>
                                  <w:tcW w:w="1246" w:type="dxa"/>
                                  <w:tcBorders>
                                    <w:left w:val="double" w:sz="4" w:space="0" w:color="auto"/>
                                  </w:tcBorders>
                                </w:tcPr>
                                <w:p w14:paraId="7BB1BDA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6CC6848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16D6A0B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42E10B9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22" w:type="dxa"/>
                                </w:tcPr>
                                <w:p w14:paraId="4E874C2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r>
                            <w:tr w:rsidR="00A0212B" w:rsidRPr="00E63D96" w14:paraId="596ACD2C" w14:textId="77777777" w:rsidTr="0035644D">
                              <w:trPr>
                                <w:trHeight w:val="280"/>
                                <w:tblHeader/>
                                <w:jc w:val="center"/>
                              </w:trPr>
                              <w:tc>
                                <w:tcPr>
                                  <w:tcW w:w="2283" w:type="dxa"/>
                                </w:tcPr>
                                <w:p w14:paraId="0DB06A82"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法務部</w:t>
                                  </w:r>
                                </w:p>
                              </w:tc>
                              <w:tc>
                                <w:tcPr>
                                  <w:tcW w:w="672" w:type="dxa"/>
                                  <w:vAlign w:val="center"/>
                                </w:tcPr>
                                <w:p w14:paraId="43F2B5A6"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3</w:t>
                                  </w:r>
                                </w:p>
                              </w:tc>
                              <w:tc>
                                <w:tcPr>
                                  <w:tcW w:w="854" w:type="dxa"/>
                                  <w:tcBorders>
                                    <w:right w:val="double" w:sz="4" w:space="0" w:color="auto"/>
                                  </w:tcBorders>
                                  <w:vAlign w:val="center"/>
                                </w:tcPr>
                                <w:p w14:paraId="512F728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0.87</w:t>
                                  </w:r>
                                </w:p>
                              </w:tc>
                              <w:tc>
                                <w:tcPr>
                                  <w:tcW w:w="1246" w:type="dxa"/>
                                  <w:tcBorders>
                                    <w:left w:val="double" w:sz="4" w:space="0" w:color="auto"/>
                                  </w:tcBorders>
                                </w:tcPr>
                                <w:p w14:paraId="24497AF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315" w:type="dxa"/>
                                </w:tcPr>
                                <w:p w14:paraId="31FFFC8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4486840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7782FB7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22" w:type="dxa"/>
                                </w:tcPr>
                                <w:p w14:paraId="76F6140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4C2FD60" w14:textId="77777777" w:rsidTr="0035644D">
                              <w:trPr>
                                <w:trHeight w:val="280"/>
                                <w:tblHeader/>
                                <w:jc w:val="center"/>
                              </w:trPr>
                              <w:tc>
                                <w:tcPr>
                                  <w:tcW w:w="2283" w:type="dxa"/>
                                </w:tcPr>
                                <w:p w14:paraId="714DE43A"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金融監督管理委員會</w:t>
                                  </w:r>
                                </w:p>
                              </w:tc>
                              <w:tc>
                                <w:tcPr>
                                  <w:tcW w:w="672" w:type="dxa"/>
                                  <w:vAlign w:val="center"/>
                                </w:tcPr>
                                <w:p w14:paraId="54397DB4"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3</w:t>
                                  </w:r>
                                </w:p>
                              </w:tc>
                              <w:tc>
                                <w:tcPr>
                                  <w:tcW w:w="854" w:type="dxa"/>
                                  <w:tcBorders>
                                    <w:right w:val="double" w:sz="4" w:space="0" w:color="auto"/>
                                  </w:tcBorders>
                                  <w:vAlign w:val="center"/>
                                </w:tcPr>
                                <w:p w14:paraId="3C984D5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0.87</w:t>
                                  </w:r>
                                </w:p>
                              </w:tc>
                              <w:tc>
                                <w:tcPr>
                                  <w:tcW w:w="1246" w:type="dxa"/>
                                  <w:tcBorders>
                                    <w:left w:val="double" w:sz="4" w:space="0" w:color="auto"/>
                                  </w:tcBorders>
                                </w:tcPr>
                                <w:p w14:paraId="39DAD79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1B8EB546"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4CCCEEF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6CF907F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022" w:type="dxa"/>
                                </w:tcPr>
                                <w:p w14:paraId="28B4A24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BB41A76" w14:textId="77777777" w:rsidTr="0035644D">
                              <w:trPr>
                                <w:trHeight w:val="280"/>
                                <w:tblHeader/>
                                <w:jc w:val="center"/>
                              </w:trPr>
                              <w:tc>
                                <w:tcPr>
                                  <w:tcW w:w="2283" w:type="dxa"/>
                                </w:tcPr>
                                <w:p w14:paraId="377F1575" w14:textId="77777777" w:rsidR="00A0212B" w:rsidRPr="00633CFC" w:rsidRDefault="00A0212B" w:rsidP="0035644D">
                                  <w:pPr>
                                    <w:overflowPunct w:val="0"/>
                                    <w:spacing w:line="280" w:lineRule="exact"/>
                                    <w:jc w:val="both"/>
                                  </w:pPr>
                                  <w:r w:rsidRPr="000867F3">
                                    <w:rPr>
                                      <w:rFonts w:ascii="標楷體" w:eastAsia="標楷體" w:hAnsi="標楷體" w:cs="標楷體" w:hint="eastAsia"/>
                                      <w:sz w:val="20"/>
                                    </w:rPr>
                                    <w:t>文化部</w:t>
                                  </w:r>
                                </w:p>
                              </w:tc>
                              <w:tc>
                                <w:tcPr>
                                  <w:tcW w:w="672" w:type="dxa"/>
                                  <w:vAlign w:val="center"/>
                                </w:tcPr>
                                <w:p w14:paraId="2166EB38"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2</w:t>
                                  </w:r>
                                </w:p>
                              </w:tc>
                              <w:tc>
                                <w:tcPr>
                                  <w:tcW w:w="854" w:type="dxa"/>
                                  <w:tcBorders>
                                    <w:right w:val="double" w:sz="4" w:space="0" w:color="auto"/>
                                  </w:tcBorders>
                                  <w:vAlign w:val="center"/>
                                </w:tcPr>
                                <w:p w14:paraId="045A824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0.58</w:t>
                                  </w:r>
                                </w:p>
                              </w:tc>
                              <w:tc>
                                <w:tcPr>
                                  <w:tcW w:w="1246" w:type="dxa"/>
                                  <w:tcBorders>
                                    <w:left w:val="double" w:sz="4" w:space="0" w:color="auto"/>
                                  </w:tcBorders>
                                </w:tcPr>
                                <w:p w14:paraId="1F44F42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33582B0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58778CB9"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428" w:type="dxa"/>
                                </w:tcPr>
                                <w:p w14:paraId="7D5E8599"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22" w:type="dxa"/>
                                </w:tcPr>
                                <w:p w14:paraId="2E382A1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12C6846E" w14:textId="77777777" w:rsidTr="0035644D">
                              <w:trPr>
                                <w:trHeight w:val="280"/>
                                <w:tblHeader/>
                                <w:jc w:val="center"/>
                              </w:trPr>
                              <w:tc>
                                <w:tcPr>
                                  <w:tcW w:w="2283" w:type="dxa"/>
                                </w:tcPr>
                                <w:p w14:paraId="0767F3BE" w14:textId="77777777" w:rsidR="00A0212B" w:rsidRDefault="00A0212B" w:rsidP="0035644D">
                                  <w:pPr>
                                    <w:overflowPunct w:val="0"/>
                                    <w:spacing w:line="280" w:lineRule="exact"/>
                                    <w:jc w:val="both"/>
                                  </w:pPr>
                                  <w:r w:rsidRPr="00E53D04">
                                    <w:rPr>
                                      <w:rFonts w:ascii="標楷體" w:eastAsia="標楷體" w:hAnsi="標楷體" w:cs="標楷體" w:hint="eastAsia"/>
                                      <w:sz w:val="20"/>
                                    </w:rPr>
                                    <w:t>環境保護署（環境部）</w:t>
                                  </w:r>
                                </w:p>
                              </w:tc>
                              <w:tc>
                                <w:tcPr>
                                  <w:tcW w:w="672" w:type="dxa"/>
                                  <w:vAlign w:val="center"/>
                                </w:tcPr>
                                <w:p w14:paraId="39FE6F74"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2</w:t>
                                  </w:r>
                                </w:p>
                              </w:tc>
                              <w:tc>
                                <w:tcPr>
                                  <w:tcW w:w="854" w:type="dxa"/>
                                  <w:tcBorders>
                                    <w:right w:val="double" w:sz="4" w:space="0" w:color="auto"/>
                                  </w:tcBorders>
                                  <w:vAlign w:val="center"/>
                                </w:tcPr>
                                <w:p w14:paraId="71068E2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0.58</w:t>
                                  </w:r>
                                </w:p>
                              </w:tc>
                              <w:tc>
                                <w:tcPr>
                                  <w:tcW w:w="1246" w:type="dxa"/>
                                  <w:tcBorders>
                                    <w:left w:val="double" w:sz="4" w:space="0" w:color="auto"/>
                                  </w:tcBorders>
                                </w:tcPr>
                                <w:p w14:paraId="2388664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42C8923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239E8C25"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428" w:type="dxa"/>
                                </w:tcPr>
                                <w:p w14:paraId="14732F7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22" w:type="dxa"/>
                                </w:tcPr>
                                <w:p w14:paraId="21F0179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bl>
                          <w:p w14:paraId="078E0A79" w14:textId="11EEEE65" w:rsidR="00A0212B" w:rsidRDefault="00A0212B" w:rsidP="00301A4D">
                            <w:pPr>
                              <w:tabs>
                                <w:tab w:val="left" w:pos="6120"/>
                              </w:tabs>
                              <w:autoSpaceDE w:val="0"/>
                              <w:autoSpaceDN w:val="0"/>
                              <w:spacing w:line="260" w:lineRule="exact"/>
                              <w:ind w:leftChars="-50" w:left="634" w:right="34" w:hanging="754"/>
                              <w:jc w:val="both"/>
                              <w:rPr>
                                <w:rFonts w:ascii="標楷體" w:eastAsia="標楷體" w:hAnsi="標楷體"/>
                                <w:color w:val="000000"/>
                                <w:sz w:val="18"/>
                              </w:rPr>
                            </w:pPr>
                            <w:r>
                              <w:rPr>
                                <w:rFonts w:ascii="標楷體" w:eastAsia="標楷體" w:hAnsi="標楷體" w:cs="標楷體" w:hint="eastAsia"/>
                                <w:color w:val="000000"/>
                                <w:sz w:val="18"/>
                                <w:szCs w:val="18"/>
                              </w:rPr>
                              <w:t>資料來源：</w:t>
                            </w:r>
                            <w:r w:rsidRPr="00042129">
                              <w:rPr>
                                <w:rFonts w:ascii="標楷體" w:eastAsia="標楷體" w:hAnsi="標楷體" w:cs="標楷體" w:hint="eastAsia"/>
                                <w:color w:val="000000"/>
                                <w:sz w:val="18"/>
                                <w:szCs w:val="18"/>
                              </w:rPr>
                              <w:t>整理自「因應超高齡社會對策方案（</w:t>
                            </w:r>
                            <w:r w:rsidRPr="00042129">
                              <w:rPr>
                                <w:rFonts w:ascii="標楷體" w:eastAsia="標楷體" w:hAnsi="標楷體" w:cs="標楷體"/>
                                <w:color w:val="000000"/>
                                <w:sz w:val="18"/>
                                <w:szCs w:val="18"/>
                              </w:rPr>
                              <w:t>112</w:t>
                            </w:r>
                            <w:r w:rsidR="00DC4AE2" w:rsidRPr="00DC4AE2">
                              <w:rPr>
                                <w:rFonts w:ascii="標楷體" w:eastAsia="標楷體" w:hAnsi="標楷體" w:cs="標楷體" w:hint="eastAsia"/>
                                <w:color w:val="000000"/>
                                <w:sz w:val="18"/>
                                <w:szCs w:val="18"/>
                              </w:rPr>
                              <w:t>－</w:t>
                            </w:r>
                            <w:r w:rsidRPr="00042129">
                              <w:rPr>
                                <w:rFonts w:ascii="標楷體" w:eastAsia="標楷體" w:hAnsi="標楷體" w:cs="標楷體"/>
                                <w:color w:val="000000"/>
                                <w:sz w:val="18"/>
                                <w:szCs w:val="18"/>
                              </w:rPr>
                              <w:t>115年）」核定本</w:t>
                            </w:r>
                            <w:r w:rsidRPr="00E63D96">
                              <w:rPr>
                                <w:rFonts w:ascii="標楷體" w:eastAsia="標楷體" w:hAnsi="標楷體" w:cs="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E1D775" id="_x0000_s1053" type="#_x0000_t202" style="position:absolute;left:0;text-align:left;margin-left:56.7pt;margin-top:70.9pt;width:499.75pt;height:324.3pt;z-index:251689984;visibility:visible;mso-wrap-style:square;mso-width-percent:0;mso-height-percent:0;mso-wrap-distance-left:9.05pt;mso-wrap-distance-top:0;mso-wrap-distance-right:9.05pt;mso-wrap-distance-bottom:3.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" o:allowoverlap="f" stroked="f" strokeweight=".5pt">
                <v:textbox>
                  <w:txbxContent>
                    <w:p w14:paraId="5737D37A" w14:textId="58FB615C" w:rsidR="00A0212B" w:rsidRDefault="00A0212B" w:rsidP="00301A4D">
                      <w:pPr>
                        <w:tabs>
                          <w:tab w:val="left" w:pos="4494"/>
                        </w:tabs>
                        <w:spacing w:line="300" w:lineRule="exact"/>
                        <w:ind w:left="573" w:hangingChars="275" w:hanging="573"/>
                        <w:jc w:val="center"/>
                        <w:rPr>
                          <w:rFonts w:ascii="標楷體" w:eastAsia="標楷體" w:hAnsi="標楷體"/>
                          <w:b/>
                        </w:rPr>
                      </w:pPr>
                      <w:r w:rsidRPr="000A5F17">
                        <w:rPr>
                          <w:rFonts w:ascii="標楷體" w:eastAsia="標楷體" w:hAnsi="標楷體" w:hint="eastAsia"/>
                          <w:b/>
                          <w:spacing w:val="-16"/>
                        </w:rPr>
                        <w:t>表</w:t>
                      </w:r>
                      <w:r>
                        <w:rPr>
                          <w:rFonts w:ascii="標楷體" w:eastAsia="標楷體" w:hAnsi="標楷體"/>
                          <w:b/>
                          <w:spacing w:val="-16"/>
                        </w:rPr>
                        <w:t>15</w:t>
                      </w:r>
                      <w:r w:rsidRPr="000A5F17">
                        <w:rPr>
                          <w:rFonts w:ascii="標楷體" w:eastAsia="標楷體" w:hAnsi="標楷體" w:hint="eastAsia"/>
                          <w:b/>
                          <w:spacing w:val="-16"/>
                        </w:rPr>
                        <w:t xml:space="preserve">　</w:t>
                      </w:r>
                      <w:r w:rsidRPr="00807E4D">
                        <w:rPr>
                          <w:rFonts w:ascii="標楷體" w:eastAsia="標楷體" w:hAnsi="標楷體" w:hint="eastAsia"/>
                          <w:b/>
                        </w:rPr>
                        <w:t>超高齡對策方案</w:t>
                      </w:r>
                      <w:r w:rsidRPr="007D79E7">
                        <w:rPr>
                          <w:rFonts w:ascii="標楷體" w:eastAsia="標楷體" w:hAnsi="標楷體" w:hint="eastAsia"/>
                          <w:b/>
                        </w:rPr>
                        <w:t>各目標工作項數</w:t>
                      </w:r>
                    </w:p>
                    <w:p w14:paraId="13B8D66D" w14:textId="77777777" w:rsidR="00A0212B" w:rsidRPr="00B97483" w:rsidRDefault="00A0212B" w:rsidP="00301A4D">
                      <w:pPr>
                        <w:tabs>
                          <w:tab w:val="left" w:pos="4494"/>
                        </w:tabs>
                        <w:spacing w:line="300" w:lineRule="exact"/>
                        <w:ind w:left="550" w:rightChars="20" w:right="48" w:hangingChars="275" w:hanging="550"/>
                        <w:jc w:val="right"/>
                        <w:rPr>
                          <w:rFonts w:ascii="標楷體" w:eastAsia="標楷體" w:hAnsi="標楷體"/>
                          <w:color w:val="000000"/>
                          <w:sz w:val="20"/>
                        </w:rPr>
                      </w:pPr>
                      <w:r>
                        <w:rPr>
                          <w:rFonts w:ascii="標楷體" w:eastAsia="標楷體" w:hAnsi="標楷體" w:hint="eastAsia"/>
                          <w:color w:val="000000"/>
                          <w:sz w:val="20"/>
                        </w:rPr>
                        <w:t>單位：項</w:t>
                      </w:r>
                      <w:r w:rsidRPr="00042129">
                        <w:rPr>
                          <w:rFonts w:ascii="標楷體" w:eastAsia="標楷體" w:hAnsi="標楷體" w:hint="eastAsia"/>
                          <w:color w:val="000000"/>
                          <w:sz w:val="20"/>
                        </w:rPr>
                        <w:t>、％</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3"/>
                        <w:gridCol w:w="672"/>
                        <w:gridCol w:w="854"/>
                        <w:gridCol w:w="1246"/>
                        <w:gridCol w:w="1315"/>
                        <w:gridCol w:w="1050"/>
                        <w:gridCol w:w="1428"/>
                        <w:gridCol w:w="1022"/>
                      </w:tblGrid>
                      <w:tr w:rsidR="00A0212B" w:rsidRPr="00E63D96" w14:paraId="671FE865" w14:textId="77777777" w:rsidTr="0035644D">
                        <w:trPr>
                          <w:trHeight w:val="280"/>
                          <w:tblHeader/>
                          <w:jc w:val="center"/>
                        </w:trPr>
                        <w:tc>
                          <w:tcPr>
                            <w:tcW w:w="2283" w:type="dxa"/>
                            <w:vMerge w:val="restart"/>
                            <w:vAlign w:val="center"/>
                          </w:tcPr>
                          <w:p w14:paraId="682FAEFB" w14:textId="77777777" w:rsidR="00A0212B" w:rsidRPr="00E63D96" w:rsidRDefault="00A0212B" w:rsidP="0035644D">
                            <w:pPr>
                              <w:overflowPunct w:val="0"/>
                              <w:spacing w:line="320" w:lineRule="exact"/>
                              <w:jc w:val="center"/>
                              <w:rPr>
                                <w:rFonts w:ascii="標楷體" w:eastAsia="標楷體" w:hAnsi="標楷體"/>
                                <w:color w:val="000000"/>
                                <w:sz w:val="20"/>
                              </w:rPr>
                            </w:pPr>
                            <w:r>
                              <w:rPr>
                                <w:rFonts w:ascii="標楷體" w:eastAsia="標楷體" w:hAnsi="標楷體" w:hint="eastAsia"/>
                                <w:color w:val="000000"/>
                                <w:sz w:val="20"/>
                              </w:rPr>
                              <w:t>主管</w:t>
                            </w:r>
                            <w:r w:rsidRPr="00E63D96">
                              <w:rPr>
                                <w:rFonts w:ascii="標楷體" w:eastAsia="標楷體" w:hAnsi="標楷體"/>
                                <w:color w:val="000000"/>
                                <w:sz w:val="20"/>
                              </w:rPr>
                              <w:t>別</w:t>
                            </w:r>
                          </w:p>
                        </w:tc>
                        <w:tc>
                          <w:tcPr>
                            <w:tcW w:w="1526" w:type="dxa"/>
                            <w:gridSpan w:val="2"/>
                            <w:tcBorders>
                              <w:bottom w:val="nil"/>
                              <w:right w:val="nil"/>
                            </w:tcBorders>
                          </w:tcPr>
                          <w:p w14:paraId="0858B9EA" w14:textId="77777777" w:rsidR="00A0212B" w:rsidRPr="00042129" w:rsidRDefault="00A0212B" w:rsidP="0035644D">
                            <w:pPr>
                              <w:overflowPunct w:val="0"/>
                              <w:spacing w:line="320" w:lineRule="exact"/>
                              <w:jc w:val="center"/>
                              <w:rPr>
                                <w:rFonts w:ascii="標楷體" w:eastAsia="標楷體" w:hAnsi="標楷體"/>
                                <w:color w:val="000000"/>
                                <w:sz w:val="20"/>
                              </w:rPr>
                            </w:pPr>
                            <w:r>
                              <w:rPr>
                                <w:rFonts w:ascii="標楷體" w:eastAsia="標楷體" w:hAnsi="標楷體" w:hint="eastAsia"/>
                                <w:color w:val="000000"/>
                                <w:sz w:val="20"/>
                              </w:rPr>
                              <w:t>合計</w:t>
                            </w:r>
                          </w:p>
                        </w:tc>
                        <w:tc>
                          <w:tcPr>
                            <w:tcW w:w="1246" w:type="dxa"/>
                            <w:tcBorders>
                              <w:left w:val="nil"/>
                              <w:right w:val="nil"/>
                            </w:tcBorders>
                          </w:tcPr>
                          <w:p w14:paraId="4EE0FA9B" w14:textId="77777777" w:rsidR="00A0212B" w:rsidRPr="00042129" w:rsidRDefault="00A0212B" w:rsidP="0035644D">
                            <w:pPr>
                              <w:overflowPunct w:val="0"/>
                              <w:spacing w:line="320" w:lineRule="exact"/>
                              <w:jc w:val="center"/>
                              <w:rPr>
                                <w:rFonts w:ascii="標楷體" w:eastAsia="標楷體" w:hAnsi="標楷體"/>
                                <w:color w:val="000000"/>
                                <w:sz w:val="20"/>
                              </w:rPr>
                            </w:pPr>
                          </w:p>
                        </w:tc>
                        <w:tc>
                          <w:tcPr>
                            <w:tcW w:w="1315" w:type="dxa"/>
                            <w:tcBorders>
                              <w:left w:val="nil"/>
                              <w:right w:val="nil"/>
                            </w:tcBorders>
                          </w:tcPr>
                          <w:p w14:paraId="27FAF9C8" w14:textId="77777777" w:rsidR="00A0212B" w:rsidRPr="00042129" w:rsidRDefault="00A0212B" w:rsidP="0035644D">
                            <w:pPr>
                              <w:overflowPunct w:val="0"/>
                              <w:spacing w:line="320" w:lineRule="exact"/>
                              <w:jc w:val="center"/>
                              <w:rPr>
                                <w:rFonts w:ascii="標楷體" w:eastAsia="標楷體" w:hAnsi="標楷體"/>
                                <w:color w:val="000000"/>
                                <w:sz w:val="20"/>
                              </w:rPr>
                            </w:pPr>
                          </w:p>
                        </w:tc>
                        <w:tc>
                          <w:tcPr>
                            <w:tcW w:w="1050" w:type="dxa"/>
                            <w:tcBorders>
                              <w:left w:val="nil"/>
                              <w:right w:val="nil"/>
                            </w:tcBorders>
                          </w:tcPr>
                          <w:p w14:paraId="624D2F97" w14:textId="77777777" w:rsidR="00A0212B" w:rsidRPr="00042129" w:rsidRDefault="00A0212B" w:rsidP="0035644D">
                            <w:pPr>
                              <w:overflowPunct w:val="0"/>
                              <w:spacing w:line="320" w:lineRule="exact"/>
                              <w:jc w:val="center"/>
                              <w:rPr>
                                <w:rFonts w:ascii="標楷體" w:eastAsia="標楷體" w:hAnsi="標楷體"/>
                                <w:color w:val="000000"/>
                                <w:sz w:val="20"/>
                              </w:rPr>
                            </w:pPr>
                          </w:p>
                        </w:tc>
                        <w:tc>
                          <w:tcPr>
                            <w:tcW w:w="1428" w:type="dxa"/>
                            <w:tcBorders>
                              <w:left w:val="nil"/>
                              <w:right w:val="nil"/>
                            </w:tcBorders>
                          </w:tcPr>
                          <w:p w14:paraId="4627AE10" w14:textId="77777777" w:rsidR="00A0212B" w:rsidRPr="00042129" w:rsidRDefault="00A0212B" w:rsidP="0035644D">
                            <w:pPr>
                              <w:overflowPunct w:val="0"/>
                              <w:spacing w:line="320" w:lineRule="exact"/>
                              <w:jc w:val="center"/>
                              <w:rPr>
                                <w:rFonts w:ascii="標楷體" w:eastAsia="標楷體" w:hAnsi="標楷體"/>
                                <w:color w:val="000000"/>
                                <w:sz w:val="20"/>
                              </w:rPr>
                            </w:pPr>
                          </w:p>
                        </w:tc>
                        <w:tc>
                          <w:tcPr>
                            <w:tcW w:w="1022" w:type="dxa"/>
                            <w:tcBorders>
                              <w:left w:val="nil"/>
                            </w:tcBorders>
                          </w:tcPr>
                          <w:p w14:paraId="7B4D7F77" w14:textId="77777777" w:rsidR="00A0212B" w:rsidRPr="00042129" w:rsidRDefault="00A0212B" w:rsidP="0035644D">
                            <w:pPr>
                              <w:overflowPunct w:val="0"/>
                              <w:spacing w:line="320" w:lineRule="exact"/>
                              <w:jc w:val="center"/>
                              <w:rPr>
                                <w:rFonts w:ascii="標楷體" w:eastAsia="標楷體" w:hAnsi="標楷體"/>
                                <w:color w:val="000000"/>
                                <w:sz w:val="20"/>
                              </w:rPr>
                            </w:pPr>
                          </w:p>
                        </w:tc>
                      </w:tr>
                      <w:tr w:rsidR="00A0212B" w:rsidRPr="00E63D96" w14:paraId="672331AC" w14:textId="77777777" w:rsidTr="0035644D">
                        <w:trPr>
                          <w:trHeight w:val="340"/>
                          <w:tblHeader/>
                          <w:jc w:val="center"/>
                        </w:trPr>
                        <w:tc>
                          <w:tcPr>
                            <w:tcW w:w="2283" w:type="dxa"/>
                            <w:vMerge/>
                          </w:tcPr>
                          <w:p w14:paraId="4E2367BF" w14:textId="77777777" w:rsidR="00A0212B" w:rsidRPr="00E63D96" w:rsidRDefault="00A0212B" w:rsidP="0035644D">
                            <w:pPr>
                              <w:overflowPunct w:val="0"/>
                              <w:spacing w:line="320" w:lineRule="exact"/>
                              <w:rPr>
                                <w:rFonts w:ascii="標楷體" w:eastAsia="標楷體" w:hAnsi="標楷體"/>
                                <w:color w:val="000000"/>
                                <w:spacing w:val="-8"/>
                                <w:sz w:val="20"/>
                              </w:rPr>
                            </w:pPr>
                          </w:p>
                        </w:tc>
                        <w:tc>
                          <w:tcPr>
                            <w:tcW w:w="672" w:type="dxa"/>
                            <w:tcBorders>
                              <w:top w:val="nil"/>
                            </w:tcBorders>
                          </w:tcPr>
                          <w:p w14:paraId="3F4FEA4C" w14:textId="77777777" w:rsidR="00A0212B" w:rsidRPr="00042129" w:rsidRDefault="00A0212B" w:rsidP="0035644D">
                            <w:pPr>
                              <w:overflowPunct w:val="0"/>
                              <w:spacing w:line="240" w:lineRule="exact"/>
                              <w:jc w:val="center"/>
                              <w:rPr>
                                <w:rFonts w:ascii="標楷體" w:eastAsia="標楷體" w:hAnsi="標楷體"/>
                                <w:color w:val="000000"/>
                                <w:sz w:val="20"/>
                              </w:rPr>
                            </w:pPr>
                          </w:p>
                        </w:tc>
                        <w:tc>
                          <w:tcPr>
                            <w:tcW w:w="854" w:type="dxa"/>
                            <w:tcBorders>
                              <w:top w:val="single" w:sz="4" w:space="0" w:color="auto"/>
                              <w:right w:val="double" w:sz="4" w:space="0" w:color="auto"/>
                            </w:tcBorders>
                            <w:vAlign w:val="center"/>
                          </w:tcPr>
                          <w:p w14:paraId="77DC2C44" w14:textId="77777777" w:rsidR="00A0212B" w:rsidRPr="00042129" w:rsidRDefault="00A0212B" w:rsidP="0035644D">
                            <w:pPr>
                              <w:overflowPunct w:val="0"/>
                              <w:spacing w:line="240" w:lineRule="exact"/>
                              <w:jc w:val="center"/>
                              <w:rPr>
                                <w:rFonts w:ascii="標楷體" w:eastAsia="標楷體" w:hAnsi="標楷體"/>
                                <w:color w:val="000000"/>
                                <w:sz w:val="20"/>
                              </w:rPr>
                            </w:pPr>
                            <w:r w:rsidRPr="00042129">
                              <w:rPr>
                                <w:rFonts w:ascii="標楷體" w:eastAsia="標楷體" w:hAnsi="標楷體"/>
                                <w:color w:val="000000"/>
                                <w:sz w:val="20"/>
                              </w:rPr>
                              <w:t>占比</w:t>
                            </w:r>
                          </w:p>
                        </w:tc>
                        <w:tc>
                          <w:tcPr>
                            <w:tcW w:w="1246" w:type="dxa"/>
                            <w:tcBorders>
                              <w:left w:val="double" w:sz="4" w:space="0" w:color="auto"/>
                            </w:tcBorders>
                          </w:tcPr>
                          <w:p w14:paraId="549B118E"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hint="eastAsia"/>
                                <w:color w:val="000000"/>
                                <w:sz w:val="20"/>
                              </w:rPr>
                              <w:t>增進高齡者健康與自主</w:t>
                            </w:r>
                          </w:p>
                        </w:tc>
                        <w:tc>
                          <w:tcPr>
                            <w:tcW w:w="1315" w:type="dxa"/>
                          </w:tcPr>
                          <w:p w14:paraId="5BFD614E"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color w:val="000000"/>
                                <w:sz w:val="20"/>
                              </w:rPr>
                              <w:t>提升高齡者社會連結</w:t>
                            </w:r>
                          </w:p>
                        </w:tc>
                        <w:tc>
                          <w:tcPr>
                            <w:tcW w:w="1050" w:type="dxa"/>
                          </w:tcPr>
                          <w:p w14:paraId="228ADCAE"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color w:val="000000"/>
                                <w:sz w:val="20"/>
                              </w:rPr>
                              <w:t>促進世代和諧共融</w:t>
                            </w:r>
                          </w:p>
                        </w:tc>
                        <w:tc>
                          <w:tcPr>
                            <w:tcW w:w="1428" w:type="dxa"/>
                          </w:tcPr>
                          <w:p w14:paraId="4440D5E7"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color w:val="000000"/>
                                <w:sz w:val="20"/>
                              </w:rPr>
                              <w:t>建構高齡友善及安全環境</w:t>
                            </w:r>
                          </w:p>
                        </w:tc>
                        <w:tc>
                          <w:tcPr>
                            <w:tcW w:w="1022" w:type="dxa"/>
                          </w:tcPr>
                          <w:p w14:paraId="065ADED4" w14:textId="77777777" w:rsidR="00A0212B" w:rsidRPr="00B17BBD" w:rsidRDefault="00A0212B" w:rsidP="0035644D">
                            <w:pPr>
                              <w:overflowPunct w:val="0"/>
                              <w:spacing w:line="240" w:lineRule="exact"/>
                              <w:jc w:val="both"/>
                              <w:rPr>
                                <w:rFonts w:ascii="標楷體" w:eastAsia="標楷體" w:hAnsi="標楷體"/>
                                <w:color w:val="000000"/>
                                <w:sz w:val="20"/>
                              </w:rPr>
                            </w:pPr>
                            <w:r w:rsidRPr="00B17BBD">
                              <w:rPr>
                                <w:rFonts w:ascii="標楷體" w:eastAsia="標楷體" w:hAnsi="標楷體"/>
                                <w:color w:val="000000"/>
                                <w:sz w:val="20"/>
                              </w:rPr>
                              <w:t>強化社會永續發展</w:t>
                            </w:r>
                          </w:p>
                        </w:tc>
                      </w:tr>
                      <w:tr w:rsidR="00A0212B" w:rsidRPr="00E63D96" w14:paraId="02AE2250" w14:textId="77777777" w:rsidTr="0035644D">
                        <w:trPr>
                          <w:trHeight w:val="280"/>
                          <w:tblHeader/>
                          <w:jc w:val="center"/>
                        </w:trPr>
                        <w:tc>
                          <w:tcPr>
                            <w:tcW w:w="2283" w:type="dxa"/>
                            <w:vAlign w:val="center"/>
                          </w:tcPr>
                          <w:p w14:paraId="4C357856" w14:textId="77777777" w:rsidR="00A0212B" w:rsidRPr="003C034B" w:rsidRDefault="00A0212B" w:rsidP="0035644D">
                            <w:pPr>
                              <w:overflowPunct w:val="0"/>
                              <w:spacing w:line="280" w:lineRule="exact"/>
                              <w:jc w:val="center"/>
                              <w:rPr>
                                <w:rFonts w:ascii="標楷體" w:eastAsia="標楷體" w:hAnsi="標楷體" w:cs="標楷體"/>
                                <w:b/>
                                <w:sz w:val="20"/>
                              </w:rPr>
                            </w:pPr>
                            <w:r w:rsidRPr="003C034B">
                              <w:rPr>
                                <w:rFonts w:ascii="標楷體" w:eastAsia="標楷體" w:hAnsi="標楷體" w:cs="標楷體" w:hint="eastAsia"/>
                                <w:b/>
                                <w:sz w:val="20"/>
                              </w:rPr>
                              <w:t>合計</w:t>
                            </w:r>
                          </w:p>
                        </w:tc>
                        <w:tc>
                          <w:tcPr>
                            <w:tcW w:w="672" w:type="dxa"/>
                            <w:vAlign w:val="center"/>
                          </w:tcPr>
                          <w:p w14:paraId="3A5667D0"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345</w:t>
                            </w:r>
                          </w:p>
                        </w:tc>
                        <w:tc>
                          <w:tcPr>
                            <w:tcW w:w="854" w:type="dxa"/>
                            <w:tcBorders>
                              <w:right w:val="double" w:sz="4" w:space="0" w:color="auto"/>
                            </w:tcBorders>
                            <w:vAlign w:val="center"/>
                          </w:tcPr>
                          <w:p w14:paraId="1FD977F9"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100.00</w:t>
                            </w:r>
                          </w:p>
                        </w:tc>
                        <w:tc>
                          <w:tcPr>
                            <w:tcW w:w="1246" w:type="dxa"/>
                            <w:tcBorders>
                              <w:left w:val="double" w:sz="4" w:space="0" w:color="auto"/>
                            </w:tcBorders>
                            <w:vAlign w:val="center"/>
                          </w:tcPr>
                          <w:p w14:paraId="74DC4406"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131</w:t>
                            </w:r>
                          </w:p>
                        </w:tc>
                        <w:tc>
                          <w:tcPr>
                            <w:tcW w:w="1315" w:type="dxa"/>
                            <w:vAlign w:val="center"/>
                          </w:tcPr>
                          <w:p w14:paraId="412A9FB4"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63</w:t>
                            </w:r>
                          </w:p>
                        </w:tc>
                        <w:tc>
                          <w:tcPr>
                            <w:tcW w:w="1050" w:type="dxa"/>
                            <w:vAlign w:val="center"/>
                          </w:tcPr>
                          <w:p w14:paraId="1B3D8A3E"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53</w:t>
                            </w:r>
                          </w:p>
                        </w:tc>
                        <w:tc>
                          <w:tcPr>
                            <w:tcW w:w="1428" w:type="dxa"/>
                            <w:vAlign w:val="center"/>
                          </w:tcPr>
                          <w:p w14:paraId="22ED3BCD"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73</w:t>
                            </w:r>
                          </w:p>
                        </w:tc>
                        <w:tc>
                          <w:tcPr>
                            <w:tcW w:w="1022" w:type="dxa"/>
                          </w:tcPr>
                          <w:p w14:paraId="021BE1B2" w14:textId="77777777" w:rsidR="00A0212B" w:rsidRPr="003C034B" w:rsidRDefault="00A0212B" w:rsidP="0035644D">
                            <w:pPr>
                              <w:overflowPunct w:val="0"/>
                              <w:spacing w:line="280" w:lineRule="exact"/>
                              <w:jc w:val="right"/>
                              <w:rPr>
                                <w:rFonts w:ascii="標楷體" w:eastAsia="標楷體" w:hAnsi="標楷體" w:cs="標楷體"/>
                                <w:b/>
                                <w:sz w:val="20"/>
                              </w:rPr>
                            </w:pPr>
                            <w:r w:rsidRPr="003C034B">
                              <w:rPr>
                                <w:rFonts w:ascii="標楷體" w:eastAsia="標楷體" w:hAnsi="標楷體" w:cs="標楷體" w:hint="eastAsia"/>
                                <w:b/>
                                <w:sz w:val="20"/>
                              </w:rPr>
                              <w:t>25</w:t>
                            </w:r>
                          </w:p>
                        </w:tc>
                      </w:tr>
                      <w:tr w:rsidR="00A0212B" w:rsidRPr="00E63D96" w14:paraId="76A29CF8" w14:textId="77777777" w:rsidTr="0035644D">
                        <w:trPr>
                          <w:trHeight w:val="280"/>
                          <w:tblHeader/>
                          <w:jc w:val="center"/>
                        </w:trPr>
                        <w:tc>
                          <w:tcPr>
                            <w:tcW w:w="2283" w:type="dxa"/>
                          </w:tcPr>
                          <w:p w14:paraId="6D6716D4" w14:textId="77777777" w:rsidR="00A0212B" w:rsidRPr="000867F3" w:rsidRDefault="00A0212B" w:rsidP="0035644D">
                            <w:pPr>
                              <w:overflowPunct w:val="0"/>
                              <w:spacing w:line="280" w:lineRule="exact"/>
                              <w:jc w:val="both"/>
                              <w:rPr>
                                <w:rFonts w:ascii="標楷體" w:eastAsia="標楷體" w:hAnsi="標楷體" w:cs="標楷體"/>
                                <w:sz w:val="20"/>
                              </w:rPr>
                            </w:pPr>
                            <w:r>
                              <w:rPr>
                                <w:rFonts w:ascii="標楷體" w:eastAsia="標楷體" w:hAnsi="標楷體" w:cs="標楷體" w:hint="eastAsia"/>
                                <w:sz w:val="20"/>
                              </w:rPr>
                              <w:t>衛生福利</w:t>
                            </w:r>
                            <w:r w:rsidRPr="000867F3">
                              <w:rPr>
                                <w:rFonts w:ascii="標楷體" w:eastAsia="標楷體" w:hAnsi="標楷體" w:cs="標楷體" w:hint="eastAsia"/>
                                <w:sz w:val="20"/>
                              </w:rPr>
                              <w:t>部</w:t>
                            </w:r>
                          </w:p>
                        </w:tc>
                        <w:tc>
                          <w:tcPr>
                            <w:tcW w:w="672" w:type="dxa"/>
                            <w:vAlign w:val="center"/>
                          </w:tcPr>
                          <w:p w14:paraId="26E3A398"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134</w:t>
                            </w:r>
                          </w:p>
                        </w:tc>
                        <w:tc>
                          <w:tcPr>
                            <w:tcW w:w="854" w:type="dxa"/>
                            <w:tcBorders>
                              <w:right w:val="double" w:sz="4" w:space="0" w:color="auto"/>
                            </w:tcBorders>
                            <w:vAlign w:val="center"/>
                          </w:tcPr>
                          <w:p w14:paraId="0607D5A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38.84</w:t>
                            </w:r>
                          </w:p>
                        </w:tc>
                        <w:tc>
                          <w:tcPr>
                            <w:tcW w:w="1246" w:type="dxa"/>
                            <w:tcBorders>
                              <w:left w:val="double" w:sz="4" w:space="0" w:color="auto"/>
                            </w:tcBorders>
                          </w:tcPr>
                          <w:p w14:paraId="759C8D4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81</w:t>
                            </w:r>
                          </w:p>
                        </w:tc>
                        <w:tc>
                          <w:tcPr>
                            <w:tcW w:w="1315" w:type="dxa"/>
                          </w:tcPr>
                          <w:p w14:paraId="11E4072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11</w:t>
                            </w:r>
                          </w:p>
                        </w:tc>
                        <w:tc>
                          <w:tcPr>
                            <w:tcW w:w="1050" w:type="dxa"/>
                          </w:tcPr>
                          <w:p w14:paraId="73F3257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7</w:t>
                            </w:r>
                          </w:p>
                        </w:tc>
                        <w:tc>
                          <w:tcPr>
                            <w:tcW w:w="1428" w:type="dxa"/>
                          </w:tcPr>
                          <w:p w14:paraId="51F1B00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21</w:t>
                            </w:r>
                          </w:p>
                        </w:tc>
                        <w:tc>
                          <w:tcPr>
                            <w:tcW w:w="1022" w:type="dxa"/>
                          </w:tcPr>
                          <w:p w14:paraId="3FFA0BC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14</w:t>
                            </w:r>
                          </w:p>
                        </w:tc>
                      </w:tr>
                      <w:tr w:rsidR="00A0212B" w:rsidRPr="00E63D96" w14:paraId="3BCA11A1" w14:textId="77777777" w:rsidTr="0035644D">
                        <w:trPr>
                          <w:trHeight w:val="280"/>
                          <w:tblHeader/>
                          <w:jc w:val="center"/>
                        </w:trPr>
                        <w:tc>
                          <w:tcPr>
                            <w:tcW w:w="2283" w:type="dxa"/>
                          </w:tcPr>
                          <w:p w14:paraId="576CC177"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教育部</w:t>
                            </w:r>
                          </w:p>
                        </w:tc>
                        <w:tc>
                          <w:tcPr>
                            <w:tcW w:w="672" w:type="dxa"/>
                            <w:vAlign w:val="center"/>
                          </w:tcPr>
                          <w:p w14:paraId="0246D750"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66</w:t>
                            </w:r>
                          </w:p>
                        </w:tc>
                        <w:tc>
                          <w:tcPr>
                            <w:tcW w:w="854" w:type="dxa"/>
                            <w:tcBorders>
                              <w:right w:val="double" w:sz="4" w:space="0" w:color="auto"/>
                            </w:tcBorders>
                            <w:vAlign w:val="center"/>
                          </w:tcPr>
                          <w:p w14:paraId="72BECCC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19.13</w:t>
                            </w:r>
                          </w:p>
                        </w:tc>
                        <w:tc>
                          <w:tcPr>
                            <w:tcW w:w="1246" w:type="dxa"/>
                            <w:tcBorders>
                              <w:left w:val="double" w:sz="4" w:space="0" w:color="auto"/>
                            </w:tcBorders>
                          </w:tcPr>
                          <w:p w14:paraId="1CC41C9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13</w:t>
                            </w:r>
                          </w:p>
                        </w:tc>
                        <w:tc>
                          <w:tcPr>
                            <w:tcW w:w="1315" w:type="dxa"/>
                          </w:tcPr>
                          <w:p w14:paraId="2A8A5D5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18</w:t>
                            </w:r>
                          </w:p>
                        </w:tc>
                        <w:tc>
                          <w:tcPr>
                            <w:tcW w:w="1050" w:type="dxa"/>
                          </w:tcPr>
                          <w:p w14:paraId="192CD10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23</w:t>
                            </w:r>
                          </w:p>
                        </w:tc>
                        <w:tc>
                          <w:tcPr>
                            <w:tcW w:w="1428" w:type="dxa"/>
                          </w:tcPr>
                          <w:p w14:paraId="675C4A1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11</w:t>
                            </w:r>
                          </w:p>
                        </w:tc>
                        <w:tc>
                          <w:tcPr>
                            <w:tcW w:w="1022" w:type="dxa"/>
                          </w:tcPr>
                          <w:p w14:paraId="5A925B6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r>
                      <w:tr w:rsidR="00A0212B" w:rsidRPr="00E63D96" w14:paraId="12982E0A" w14:textId="77777777" w:rsidTr="0035644D">
                        <w:trPr>
                          <w:trHeight w:val="280"/>
                          <w:tblHeader/>
                          <w:jc w:val="center"/>
                        </w:trPr>
                        <w:tc>
                          <w:tcPr>
                            <w:tcW w:w="2283" w:type="dxa"/>
                          </w:tcPr>
                          <w:p w14:paraId="52132DB2"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勞動部</w:t>
                            </w:r>
                          </w:p>
                        </w:tc>
                        <w:tc>
                          <w:tcPr>
                            <w:tcW w:w="672" w:type="dxa"/>
                            <w:vAlign w:val="center"/>
                          </w:tcPr>
                          <w:p w14:paraId="44CCE832"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30</w:t>
                            </w:r>
                          </w:p>
                        </w:tc>
                        <w:tc>
                          <w:tcPr>
                            <w:tcW w:w="854" w:type="dxa"/>
                            <w:tcBorders>
                              <w:right w:val="double" w:sz="4" w:space="0" w:color="auto"/>
                            </w:tcBorders>
                            <w:vAlign w:val="center"/>
                          </w:tcPr>
                          <w:p w14:paraId="03F49A8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8.70</w:t>
                            </w:r>
                          </w:p>
                        </w:tc>
                        <w:tc>
                          <w:tcPr>
                            <w:tcW w:w="1246" w:type="dxa"/>
                            <w:tcBorders>
                              <w:left w:val="double" w:sz="4" w:space="0" w:color="auto"/>
                            </w:tcBorders>
                          </w:tcPr>
                          <w:p w14:paraId="59D9417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315" w:type="dxa"/>
                          </w:tcPr>
                          <w:p w14:paraId="7EB1B8A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15</w:t>
                            </w:r>
                          </w:p>
                        </w:tc>
                        <w:tc>
                          <w:tcPr>
                            <w:tcW w:w="1050" w:type="dxa"/>
                          </w:tcPr>
                          <w:p w14:paraId="030544D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6</w:t>
                            </w:r>
                          </w:p>
                        </w:tc>
                        <w:tc>
                          <w:tcPr>
                            <w:tcW w:w="1428" w:type="dxa"/>
                          </w:tcPr>
                          <w:p w14:paraId="7C2DECA6"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22" w:type="dxa"/>
                          </w:tcPr>
                          <w:p w14:paraId="08DC9DA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7</w:t>
                            </w:r>
                          </w:p>
                        </w:tc>
                      </w:tr>
                      <w:tr w:rsidR="00A0212B" w:rsidRPr="00E63D96" w14:paraId="18365E80" w14:textId="77777777" w:rsidTr="0035644D">
                        <w:trPr>
                          <w:trHeight w:val="280"/>
                          <w:tblHeader/>
                          <w:jc w:val="center"/>
                        </w:trPr>
                        <w:tc>
                          <w:tcPr>
                            <w:tcW w:w="2283" w:type="dxa"/>
                          </w:tcPr>
                          <w:p w14:paraId="732AF578"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內政部</w:t>
                            </w:r>
                          </w:p>
                        </w:tc>
                        <w:tc>
                          <w:tcPr>
                            <w:tcW w:w="672" w:type="dxa"/>
                            <w:vAlign w:val="center"/>
                          </w:tcPr>
                          <w:p w14:paraId="5217F381"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27</w:t>
                            </w:r>
                          </w:p>
                        </w:tc>
                        <w:tc>
                          <w:tcPr>
                            <w:tcW w:w="854" w:type="dxa"/>
                            <w:tcBorders>
                              <w:right w:val="double" w:sz="4" w:space="0" w:color="auto"/>
                            </w:tcBorders>
                            <w:vAlign w:val="center"/>
                          </w:tcPr>
                          <w:p w14:paraId="7BE57FE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7.83</w:t>
                            </w:r>
                          </w:p>
                        </w:tc>
                        <w:tc>
                          <w:tcPr>
                            <w:tcW w:w="1246" w:type="dxa"/>
                            <w:tcBorders>
                              <w:left w:val="double" w:sz="4" w:space="0" w:color="auto"/>
                            </w:tcBorders>
                          </w:tcPr>
                          <w:p w14:paraId="2E683A7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315" w:type="dxa"/>
                          </w:tcPr>
                          <w:p w14:paraId="6F981C7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050" w:type="dxa"/>
                          </w:tcPr>
                          <w:p w14:paraId="3989836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428" w:type="dxa"/>
                          </w:tcPr>
                          <w:p w14:paraId="6B8410C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17</w:t>
                            </w:r>
                          </w:p>
                        </w:tc>
                        <w:tc>
                          <w:tcPr>
                            <w:tcW w:w="1022" w:type="dxa"/>
                          </w:tcPr>
                          <w:p w14:paraId="4484081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147F8848" w14:textId="77777777" w:rsidTr="0035644D">
                        <w:trPr>
                          <w:trHeight w:val="280"/>
                          <w:tblHeader/>
                          <w:jc w:val="center"/>
                        </w:trPr>
                        <w:tc>
                          <w:tcPr>
                            <w:tcW w:w="2283" w:type="dxa"/>
                          </w:tcPr>
                          <w:p w14:paraId="78D424AC"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pacing w:val="-20"/>
                                <w:sz w:val="20"/>
                              </w:rPr>
                              <w:t>國軍退除役官兵輔導委員會</w:t>
                            </w:r>
                          </w:p>
                        </w:tc>
                        <w:tc>
                          <w:tcPr>
                            <w:tcW w:w="672" w:type="dxa"/>
                            <w:vAlign w:val="center"/>
                          </w:tcPr>
                          <w:p w14:paraId="7D8FC1F5"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19</w:t>
                            </w:r>
                          </w:p>
                        </w:tc>
                        <w:tc>
                          <w:tcPr>
                            <w:tcW w:w="854" w:type="dxa"/>
                            <w:tcBorders>
                              <w:right w:val="double" w:sz="4" w:space="0" w:color="auto"/>
                            </w:tcBorders>
                            <w:vAlign w:val="center"/>
                          </w:tcPr>
                          <w:p w14:paraId="0F10CE5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5.51</w:t>
                            </w:r>
                          </w:p>
                        </w:tc>
                        <w:tc>
                          <w:tcPr>
                            <w:tcW w:w="1246" w:type="dxa"/>
                            <w:tcBorders>
                              <w:left w:val="double" w:sz="4" w:space="0" w:color="auto"/>
                            </w:tcBorders>
                          </w:tcPr>
                          <w:p w14:paraId="12C9911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13</w:t>
                            </w:r>
                          </w:p>
                        </w:tc>
                        <w:tc>
                          <w:tcPr>
                            <w:tcW w:w="1315" w:type="dxa"/>
                          </w:tcPr>
                          <w:p w14:paraId="59CFE7E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50" w:type="dxa"/>
                          </w:tcPr>
                          <w:p w14:paraId="17FFC2B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428" w:type="dxa"/>
                          </w:tcPr>
                          <w:p w14:paraId="49DD926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022" w:type="dxa"/>
                          </w:tcPr>
                          <w:p w14:paraId="5445CAB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426BFDE6" w14:textId="77777777" w:rsidTr="0035644D">
                        <w:trPr>
                          <w:trHeight w:val="280"/>
                          <w:tblHeader/>
                          <w:jc w:val="center"/>
                        </w:trPr>
                        <w:tc>
                          <w:tcPr>
                            <w:tcW w:w="2283" w:type="dxa"/>
                          </w:tcPr>
                          <w:p w14:paraId="7B9C00E7"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交通部</w:t>
                            </w:r>
                          </w:p>
                        </w:tc>
                        <w:tc>
                          <w:tcPr>
                            <w:tcW w:w="672" w:type="dxa"/>
                            <w:vAlign w:val="center"/>
                          </w:tcPr>
                          <w:p w14:paraId="2ADB9A73"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15</w:t>
                            </w:r>
                          </w:p>
                        </w:tc>
                        <w:tc>
                          <w:tcPr>
                            <w:tcW w:w="854" w:type="dxa"/>
                            <w:tcBorders>
                              <w:right w:val="double" w:sz="4" w:space="0" w:color="auto"/>
                            </w:tcBorders>
                            <w:vAlign w:val="center"/>
                          </w:tcPr>
                          <w:p w14:paraId="45C1036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4.35</w:t>
                            </w:r>
                          </w:p>
                        </w:tc>
                        <w:tc>
                          <w:tcPr>
                            <w:tcW w:w="1246" w:type="dxa"/>
                            <w:tcBorders>
                              <w:left w:val="double" w:sz="4" w:space="0" w:color="auto"/>
                            </w:tcBorders>
                          </w:tcPr>
                          <w:p w14:paraId="18AD115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427E040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776E465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428" w:type="dxa"/>
                          </w:tcPr>
                          <w:p w14:paraId="5C8CFC06"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11</w:t>
                            </w:r>
                          </w:p>
                        </w:tc>
                        <w:tc>
                          <w:tcPr>
                            <w:tcW w:w="1022" w:type="dxa"/>
                          </w:tcPr>
                          <w:p w14:paraId="27AD679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1A82A26" w14:textId="77777777" w:rsidTr="0035644D">
                        <w:trPr>
                          <w:trHeight w:val="280"/>
                          <w:tblHeader/>
                          <w:jc w:val="center"/>
                        </w:trPr>
                        <w:tc>
                          <w:tcPr>
                            <w:tcW w:w="2283" w:type="dxa"/>
                          </w:tcPr>
                          <w:p w14:paraId="43F82590"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經濟部</w:t>
                            </w:r>
                          </w:p>
                        </w:tc>
                        <w:tc>
                          <w:tcPr>
                            <w:tcW w:w="672" w:type="dxa"/>
                            <w:vAlign w:val="center"/>
                          </w:tcPr>
                          <w:p w14:paraId="21C5EA51"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13</w:t>
                            </w:r>
                          </w:p>
                        </w:tc>
                        <w:tc>
                          <w:tcPr>
                            <w:tcW w:w="854" w:type="dxa"/>
                            <w:tcBorders>
                              <w:right w:val="double" w:sz="4" w:space="0" w:color="auto"/>
                            </w:tcBorders>
                            <w:vAlign w:val="center"/>
                          </w:tcPr>
                          <w:p w14:paraId="40BAF99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3.77</w:t>
                            </w:r>
                          </w:p>
                        </w:tc>
                        <w:tc>
                          <w:tcPr>
                            <w:tcW w:w="1246" w:type="dxa"/>
                            <w:tcBorders>
                              <w:left w:val="double" w:sz="4" w:space="0" w:color="auto"/>
                            </w:tcBorders>
                          </w:tcPr>
                          <w:p w14:paraId="60052F3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315" w:type="dxa"/>
                          </w:tcPr>
                          <w:p w14:paraId="41F0BD9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6</w:t>
                            </w:r>
                          </w:p>
                        </w:tc>
                        <w:tc>
                          <w:tcPr>
                            <w:tcW w:w="1050" w:type="dxa"/>
                          </w:tcPr>
                          <w:p w14:paraId="4BA58885"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428" w:type="dxa"/>
                          </w:tcPr>
                          <w:p w14:paraId="2873212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022" w:type="dxa"/>
                          </w:tcPr>
                          <w:p w14:paraId="63CC5A1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r>
                      <w:tr w:rsidR="00A0212B" w:rsidRPr="00E63D96" w14:paraId="1067B9AE" w14:textId="77777777" w:rsidTr="0035644D">
                        <w:trPr>
                          <w:trHeight w:val="280"/>
                          <w:tblHeader/>
                          <w:jc w:val="center"/>
                        </w:trPr>
                        <w:tc>
                          <w:tcPr>
                            <w:tcW w:w="2283" w:type="dxa"/>
                          </w:tcPr>
                          <w:p w14:paraId="1B65C3D5" w14:textId="77777777" w:rsidR="00A0212B" w:rsidRPr="000867F3" w:rsidRDefault="00A0212B" w:rsidP="0035644D">
                            <w:pPr>
                              <w:overflowPunct w:val="0"/>
                              <w:spacing w:line="280" w:lineRule="exact"/>
                              <w:jc w:val="both"/>
                              <w:rPr>
                                <w:rFonts w:ascii="標楷體" w:eastAsia="標楷體" w:hAnsi="標楷體" w:cs="標楷體"/>
                                <w:sz w:val="20"/>
                              </w:rPr>
                            </w:pPr>
                            <w:r w:rsidRPr="00E53D04">
                              <w:rPr>
                                <w:rFonts w:ascii="標楷體" w:eastAsia="標楷體" w:hAnsi="標楷體" w:cs="標楷體" w:hint="eastAsia"/>
                                <w:sz w:val="20"/>
                              </w:rPr>
                              <w:t>農業委員會（農業部）</w:t>
                            </w:r>
                          </w:p>
                        </w:tc>
                        <w:tc>
                          <w:tcPr>
                            <w:tcW w:w="672" w:type="dxa"/>
                            <w:vAlign w:val="center"/>
                          </w:tcPr>
                          <w:p w14:paraId="2A16758E"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11</w:t>
                            </w:r>
                          </w:p>
                        </w:tc>
                        <w:tc>
                          <w:tcPr>
                            <w:tcW w:w="854" w:type="dxa"/>
                            <w:tcBorders>
                              <w:right w:val="double" w:sz="4" w:space="0" w:color="auto"/>
                            </w:tcBorders>
                            <w:vAlign w:val="center"/>
                          </w:tcPr>
                          <w:p w14:paraId="3AA8A4C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3.19</w:t>
                            </w:r>
                          </w:p>
                        </w:tc>
                        <w:tc>
                          <w:tcPr>
                            <w:tcW w:w="1246" w:type="dxa"/>
                            <w:tcBorders>
                              <w:left w:val="double" w:sz="4" w:space="0" w:color="auto"/>
                            </w:tcBorders>
                          </w:tcPr>
                          <w:p w14:paraId="72C51D4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6</w:t>
                            </w:r>
                          </w:p>
                        </w:tc>
                        <w:tc>
                          <w:tcPr>
                            <w:tcW w:w="1315" w:type="dxa"/>
                          </w:tcPr>
                          <w:p w14:paraId="0F00601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050" w:type="dxa"/>
                          </w:tcPr>
                          <w:p w14:paraId="1C72460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428" w:type="dxa"/>
                          </w:tcPr>
                          <w:p w14:paraId="66F4D91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22" w:type="dxa"/>
                          </w:tcPr>
                          <w:p w14:paraId="5A3A7A0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37BE511" w14:textId="77777777" w:rsidTr="0035644D">
                        <w:trPr>
                          <w:trHeight w:val="280"/>
                          <w:tblHeader/>
                          <w:jc w:val="center"/>
                        </w:trPr>
                        <w:tc>
                          <w:tcPr>
                            <w:tcW w:w="2283" w:type="dxa"/>
                          </w:tcPr>
                          <w:p w14:paraId="764B13F6"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原住民族委員會</w:t>
                            </w:r>
                          </w:p>
                        </w:tc>
                        <w:tc>
                          <w:tcPr>
                            <w:tcW w:w="672" w:type="dxa"/>
                            <w:vAlign w:val="center"/>
                          </w:tcPr>
                          <w:p w14:paraId="3949B6B5"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10</w:t>
                            </w:r>
                          </w:p>
                        </w:tc>
                        <w:tc>
                          <w:tcPr>
                            <w:tcW w:w="854" w:type="dxa"/>
                            <w:tcBorders>
                              <w:right w:val="double" w:sz="4" w:space="0" w:color="auto"/>
                            </w:tcBorders>
                            <w:vAlign w:val="center"/>
                          </w:tcPr>
                          <w:p w14:paraId="5BF31EC9"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2.90</w:t>
                            </w:r>
                          </w:p>
                        </w:tc>
                        <w:tc>
                          <w:tcPr>
                            <w:tcW w:w="1246" w:type="dxa"/>
                            <w:tcBorders>
                              <w:left w:val="double" w:sz="4" w:space="0" w:color="auto"/>
                            </w:tcBorders>
                          </w:tcPr>
                          <w:p w14:paraId="18F0E77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7</w:t>
                            </w:r>
                          </w:p>
                        </w:tc>
                        <w:tc>
                          <w:tcPr>
                            <w:tcW w:w="1315" w:type="dxa"/>
                          </w:tcPr>
                          <w:p w14:paraId="6CED00B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050" w:type="dxa"/>
                          </w:tcPr>
                          <w:p w14:paraId="5B41850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7B997D36"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22" w:type="dxa"/>
                          </w:tcPr>
                          <w:p w14:paraId="4A6583BE"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77F44A4F" w14:textId="77777777" w:rsidTr="0035644D">
                        <w:trPr>
                          <w:trHeight w:val="280"/>
                          <w:tblHeader/>
                          <w:jc w:val="center"/>
                        </w:trPr>
                        <w:tc>
                          <w:tcPr>
                            <w:tcW w:w="2283" w:type="dxa"/>
                          </w:tcPr>
                          <w:p w14:paraId="330F9D3C"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客家委員會</w:t>
                            </w:r>
                          </w:p>
                        </w:tc>
                        <w:tc>
                          <w:tcPr>
                            <w:tcW w:w="672" w:type="dxa"/>
                            <w:vAlign w:val="center"/>
                          </w:tcPr>
                          <w:p w14:paraId="790FDB63"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7</w:t>
                            </w:r>
                          </w:p>
                        </w:tc>
                        <w:tc>
                          <w:tcPr>
                            <w:tcW w:w="854" w:type="dxa"/>
                            <w:tcBorders>
                              <w:right w:val="double" w:sz="4" w:space="0" w:color="auto"/>
                            </w:tcBorders>
                            <w:vAlign w:val="center"/>
                          </w:tcPr>
                          <w:p w14:paraId="706067F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2.03</w:t>
                            </w:r>
                          </w:p>
                        </w:tc>
                        <w:tc>
                          <w:tcPr>
                            <w:tcW w:w="1246" w:type="dxa"/>
                            <w:tcBorders>
                              <w:left w:val="double" w:sz="4" w:space="0" w:color="auto"/>
                            </w:tcBorders>
                          </w:tcPr>
                          <w:p w14:paraId="3D804F82"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4</w:t>
                            </w:r>
                          </w:p>
                        </w:tc>
                        <w:tc>
                          <w:tcPr>
                            <w:tcW w:w="1315" w:type="dxa"/>
                          </w:tcPr>
                          <w:p w14:paraId="7E7708A9"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050" w:type="dxa"/>
                          </w:tcPr>
                          <w:p w14:paraId="379444D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4E20BE7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22" w:type="dxa"/>
                          </w:tcPr>
                          <w:p w14:paraId="5938ED4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781E80F" w14:textId="77777777" w:rsidTr="0035644D">
                        <w:trPr>
                          <w:trHeight w:val="280"/>
                          <w:tblHeader/>
                          <w:jc w:val="center"/>
                        </w:trPr>
                        <w:tc>
                          <w:tcPr>
                            <w:tcW w:w="2283" w:type="dxa"/>
                          </w:tcPr>
                          <w:p w14:paraId="71D3A066" w14:textId="77777777" w:rsidR="00A0212B" w:rsidRPr="00E53D04" w:rsidRDefault="00A0212B" w:rsidP="0035644D">
                            <w:pPr>
                              <w:overflowPunct w:val="0"/>
                              <w:spacing w:line="280" w:lineRule="exact"/>
                              <w:jc w:val="both"/>
                              <w:rPr>
                                <w:rFonts w:ascii="標楷體" w:eastAsia="標楷體" w:hAnsi="標楷體" w:cs="標楷體"/>
                                <w:spacing w:val="-4"/>
                                <w:sz w:val="20"/>
                              </w:rPr>
                            </w:pPr>
                            <w:r w:rsidRPr="00E53D04">
                              <w:rPr>
                                <w:rFonts w:ascii="標楷體" w:eastAsia="標楷體" w:hAnsi="標楷體" w:cs="標楷體" w:hint="eastAsia"/>
                                <w:spacing w:val="-4"/>
                                <w:sz w:val="20"/>
                              </w:rPr>
                              <w:t>國家科學及技術委員會</w:t>
                            </w:r>
                          </w:p>
                        </w:tc>
                        <w:tc>
                          <w:tcPr>
                            <w:tcW w:w="672" w:type="dxa"/>
                            <w:vAlign w:val="center"/>
                          </w:tcPr>
                          <w:p w14:paraId="5EBD51E1"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3</w:t>
                            </w:r>
                          </w:p>
                        </w:tc>
                        <w:tc>
                          <w:tcPr>
                            <w:tcW w:w="854" w:type="dxa"/>
                            <w:tcBorders>
                              <w:right w:val="double" w:sz="4" w:space="0" w:color="auto"/>
                            </w:tcBorders>
                            <w:vAlign w:val="center"/>
                          </w:tcPr>
                          <w:p w14:paraId="1FFB031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0.87</w:t>
                            </w:r>
                          </w:p>
                        </w:tc>
                        <w:tc>
                          <w:tcPr>
                            <w:tcW w:w="1246" w:type="dxa"/>
                            <w:tcBorders>
                              <w:left w:val="double" w:sz="4" w:space="0" w:color="auto"/>
                            </w:tcBorders>
                          </w:tcPr>
                          <w:p w14:paraId="7BB1BDA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6CC6848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16D6A0B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42E10B9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22" w:type="dxa"/>
                          </w:tcPr>
                          <w:p w14:paraId="4E874C2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r>
                      <w:tr w:rsidR="00A0212B" w:rsidRPr="00E63D96" w14:paraId="596ACD2C" w14:textId="77777777" w:rsidTr="0035644D">
                        <w:trPr>
                          <w:trHeight w:val="280"/>
                          <w:tblHeader/>
                          <w:jc w:val="center"/>
                        </w:trPr>
                        <w:tc>
                          <w:tcPr>
                            <w:tcW w:w="2283" w:type="dxa"/>
                          </w:tcPr>
                          <w:p w14:paraId="0DB06A82"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法務部</w:t>
                            </w:r>
                          </w:p>
                        </w:tc>
                        <w:tc>
                          <w:tcPr>
                            <w:tcW w:w="672" w:type="dxa"/>
                            <w:vAlign w:val="center"/>
                          </w:tcPr>
                          <w:p w14:paraId="43F2B5A6"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3</w:t>
                            </w:r>
                          </w:p>
                        </w:tc>
                        <w:tc>
                          <w:tcPr>
                            <w:tcW w:w="854" w:type="dxa"/>
                            <w:tcBorders>
                              <w:right w:val="double" w:sz="4" w:space="0" w:color="auto"/>
                            </w:tcBorders>
                            <w:vAlign w:val="center"/>
                          </w:tcPr>
                          <w:p w14:paraId="512F728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0.87</w:t>
                            </w:r>
                          </w:p>
                        </w:tc>
                        <w:tc>
                          <w:tcPr>
                            <w:tcW w:w="1246" w:type="dxa"/>
                            <w:tcBorders>
                              <w:left w:val="double" w:sz="4" w:space="0" w:color="auto"/>
                            </w:tcBorders>
                          </w:tcPr>
                          <w:p w14:paraId="24497AF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315" w:type="dxa"/>
                          </w:tcPr>
                          <w:p w14:paraId="31FFFC8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44868401"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7782FB7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22" w:type="dxa"/>
                          </w:tcPr>
                          <w:p w14:paraId="76F61404"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4C2FD60" w14:textId="77777777" w:rsidTr="0035644D">
                        <w:trPr>
                          <w:trHeight w:val="280"/>
                          <w:tblHeader/>
                          <w:jc w:val="center"/>
                        </w:trPr>
                        <w:tc>
                          <w:tcPr>
                            <w:tcW w:w="2283" w:type="dxa"/>
                          </w:tcPr>
                          <w:p w14:paraId="714DE43A" w14:textId="77777777" w:rsidR="00A0212B" w:rsidRPr="000867F3" w:rsidRDefault="00A0212B" w:rsidP="0035644D">
                            <w:pPr>
                              <w:overflowPunct w:val="0"/>
                              <w:spacing w:line="280" w:lineRule="exact"/>
                              <w:jc w:val="both"/>
                              <w:rPr>
                                <w:rFonts w:ascii="標楷體" w:eastAsia="標楷體" w:hAnsi="標楷體" w:cs="標楷體"/>
                                <w:sz w:val="20"/>
                              </w:rPr>
                            </w:pPr>
                            <w:r w:rsidRPr="000867F3">
                              <w:rPr>
                                <w:rFonts w:ascii="標楷體" w:eastAsia="標楷體" w:hAnsi="標楷體" w:cs="標楷體" w:hint="eastAsia"/>
                                <w:sz w:val="20"/>
                              </w:rPr>
                              <w:t>金融監督管理委員會</w:t>
                            </w:r>
                          </w:p>
                        </w:tc>
                        <w:tc>
                          <w:tcPr>
                            <w:tcW w:w="672" w:type="dxa"/>
                            <w:vAlign w:val="center"/>
                          </w:tcPr>
                          <w:p w14:paraId="54397DB4"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3</w:t>
                            </w:r>
                          </w:p>
                        </w:tc>
                        <w:tc>
                          <w:tcPr>
                            <w:tcW w:w="854" w:type="dxa"/>
                            <w:tcBorders>
                              <w:right w:val="double" w:sz="4" w:space="0" w:color="auto"/>
                            </w:tcBorders>
                            <w:vAlign w:val="center"/>
                          </w:tcPr>
                          <w:p w14:paraId="3C984D50"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0.87</w:t>
                            </w:r>
                          </w:p>
                        </w:tc>
                        <w:tc>
                          <w:tcPr>
                            <w:tcW w:w="1246" w:type="dxa"/>
                            <w:tcBorders>
                              <w:left w:val="double" w:sz="4" w:space="0" w:color="auto"/>
                            </w:tcBorders>
                          </w:tcPr>
                          <w:p w14:paraId="39DAD79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1B8EB546"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4CCCEEF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428" w:type="dxa"/>
                          </w:tcPr>
                          <w:p w14:paraId="6CF907FF"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3</w:t>
                            </w:r>
                          </w:p>
                        </w:tc>
                        <w:tc>
                          <w:tcPr>
                            <w:tcW w:w="1022" w:type="dxa"/>
                          </w:tcPr>
                          <w:p w14:paraId="28B4A24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3BB41A76" w14:textId="77777777" w:rsidTr="0035644D">
                        <w:trPr>
                          <w:trHeight w:val="280"/>
                          <w:tblHeader/>
                          <w:jc w:val="center"/>
                        </w:trPr>
                        <w:tc>
                          <w:tcPr>
                            <w:tcW w:w="2283" w:type="dxa"/>
                          </w:tcPr>
                          <w:p w14:paraId="377F1575" w14:textId="77777777" w:rsidR="00A0212B" w:rsidRPr="00633CFC" w:rsidRDefault="00A0212B" w:rsidP="0035644D">
                            <w:pPr>
                              <w:overflowPunct w:val="0"/>
                              <w:spacing w:line="280" w:lineRule="exact"/>
                              <w:jc w:val="both"/>
                            </w:pPr>
                            <w:r w:rsidRPr="000867F3">
                              <w:rPr>
                                <w:rFonts w:ascii="標楷體" w:eastAsia="標楷體" w:hAnsi="標楷體" w:cs="標楷體" w:hint="eastAsia"/>
                                <w:sz w:val="20"/>
                              </w:rPr>
                              <w:t>文化部</w:t>
                            </w:r>
                          </w:p>
                        </w:tc>
                        <w:tc>
                          <w:tcPr>
                            <w:tcW w:w="672" w:type="dxa"/>
                            <w:vAlign w:val="center"/>
                          </w:tcPr>
                          <w:p w14:paraId="2166EB38"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2</w:t>
                            </w:r>
                          </w:p>
                        </w:tc>
                        <w:tc>
                          <w:tcPr>
                            <w:tcW w:w="854" w:type="dxa"/>
                            <w:tcBorders>
                              <w:right w:val="double" w:sz="4" w:space="0" w:color="auto"/>
                            </w:tcBorders>
                            <w:vAlign w:val="center"/>
                          </w:tcPr>
                          <w:p w14:paraId="045A824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0.58</w:t>
                            </w:r>
                          </w:p>
                        </w:tc>
                        <w:tc>
                          <w:tcPr>
                            <w:tcW w:w="1246" w:type="dxa"/>
                            <w:tcBorders>
                              <w:left w:val="double" w:sz="4" w:space="0" w:color="auto"/>
                            </w:tcBorders>
                          </w:tcPr>
                          <w:p w14:paraId="1F44F42D"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33582B0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58778CB9"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2</w:t>
                            </w:r>
                          </w:p>
                        </w:tc>
                        <w:tc>
                          <w:tcPr>
                            <w:tcW w:w="1428" w:type="dxa"/>
                          </w:tcPr>
                          <w:p w14:paraId="7D5E8599"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22" w:type="dxa"/>
                          </w:tcPr>
                          <w:p w14:paraId="2E382A1B"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r w:rsidR="00A0212B" w:rsidRPr="00E63D96" w14:paraId="12C6846E" w14:textId="77777777" w:rsidTr="0035644D">
                        <w:trPr>
                          <w:trHeight w:val="280"/>
                          <w:tblHeader/>
                          <w:jc w:val="center"/>
                        </w:trPr>
                        <w:tc>
                          <w:tcPr>
                            <w:tcW w:w="2283" w:type="dxa"/>
                          </w:tcPr>
                          <w:p w14:paraId="0767F3BE" w14:textId="77777777" w:rsidR="00A0212B" w:rsidRDefault="00A0212B" w:rsidP="0035644D">
                            <w:pPr>
                              <w:overflowPunct w:val="0"/>
                              <w:spacing w:line="280" w:lineRule="exact"/>
                              <w:jc w:val="both"/>
                            </w:pPr>
                            <w:r w:rsidRPr="00E53D04">
                              <w:rPr>
                                <w:rFonts w:ascii="標楷體" w:eastAsia="標楷體" w:hAnsi="標楷體" w:cs="標楷體" w:hint="eastAsia"/>
                                <w:sz w:val="20"/>
                              </w:rPr>
                              <w:t>環境保護署（環境部）</w:t>
                            </w:r>
                          </w:p>
                        </w:tc>
                        <w:tc>
                          <w:tcPr>
                            <w:tcW w:w="672" w:type="dxa"/>
                            <w:vAlign w:val="center"/>
                          </w:tcPr>
                          <w:p w14:paraId="39FE6F74" w14:textId="77777777" w:rsidR="00A0212B" w:rsidRPr="00E31547" w:rsidRDefault="00A0212B" w:rsidP="0035644D">
                            <w:pPr>
                              <w:overflowPunct w:val="0"/>
                              <w:spacing w:line="280" w:lineRule="exact"/>
                              <w:jc w:val="right"/>
                              <w:rPr>
                                <w:rFonts w:ascii="標楷體" w:eastAsia="標楷體" w:hAnsi="標楷體" w:cs="標楷體"/>
                                <w:b/>
                                <w:sz w:val="20"/>
                              </w:rPr>
                            </w:pPr>
                            <w:r w:rsidRPr="00E31547">
                              <w:rPr>
                                <w:rFonts w:ascii="標楷體" w:eastAsia="標楷體" w:hAnsi="標楷體" w:cs="標楷體"/>
                                <w:b/>
                                <w:sz w:val="20"/>
                              </w:rPr>
                              <w:t>2</w:t>
                            </w:r>
                          </w:p>
                        </w:tc>
                        <w:tc>
                          <w:tcPr>
                            <w:tcW w:w="854" w:type="dxa"/>
                            <w:tcBorders>
                              <w:right w:val="double" w:sz="4" w:space="0" w:color="auto"/>
                            </w:tcBorders>
                            <w:vAlign w:val="center"/>
                          </w:tcPr>
                          <w:p w14:paraId="71068E27"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0.58</w:t>
                            </w:r>
                          </w:p>
                        </w:tc>
                        <w:tc>
                          <w:tcPr>
                            <w:tcW w:w="1246" w:type="dxa"/>
                            <w:tcBorders>
                              <w:left w:val="double" w:sz="4" w:space="0" w:color="auto"/>
                            </w:tcBorders>
                          </w:tcPr>
                          <w:p w14:paraId="23886648"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315" w:type="dxa"/>
                          </w:tcPr>
                          <w:p w14:paraId="42C8923A"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c>
                          <w:tcPr>
                            <w:tcW w:w="1050" w:type="dxa"/>
                          </w:tcPr>
                          <w:p w14:paraId="239E8C25"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428" w:type="dxa"/>
                          </w:tcPr>
                          <w:p w14:paraId="14732F73"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1</w:t>
                            </w:r>
                          </w:p>
                        </w:tc>
                        <w:tc>
                          <w:tcPr>
                            <w:tcW w:w="1022" w:type="dxa"/>
                          </w:tcPr>
                          <w:p w14:paraId="21F0179C" w14:textId="77777777" w:rsidR="00A0212B" w:rsidRPr="003C034B" w:rsidRDefault="00A0212B" w:rsidP="0035644D">
                            <w:pPr>
                              <w:overflowPunct w:val="0"/>
                              <w:spacing w:line="280" w:lineRule="exact"/>
                              <w:jc w:val="right"/>
                              <w:rPr>
                                <w:rFonts w:ascii="標楷體" w:eastAsia="標楷體" w:hAnsi="標楷體" w:cs="標楷體"/>
                                <w:sz w:val="20"/>
                              </w:rPr>
                            </w:pPr>
                            <w:r w:rsidRPr="003C034B">
                              <w:rPr>
                                <w:rFonts w:ascii="標楷體" w:eastAsia="標楷體" w:hAnsi="標楷體" w:cs="標楷體" w:hint="eastAsia"/>
                                <w:sz w:val="20"/>
                              </w:rPr>
                              <w:t>-</w:t>
                            </w:r>
                          </w:p>
                        </w:tc>
                      </w:tr>
                    </w:tbl>
                    <w:p w14:paraId="078E0A79" w14:textId="11EEEE65" w:rsidR="00A0212B" w:rsidRDefault="00A0212B" w:rsidP="00301A4D">
                      <w:pPr>
                        <w:tabs>
                          <w:tab w:val="left" w:pos="6120"/>
                        </w:tabs>
                        <w:autoSpaceDE w:val="0"/>
                        <w:autoSpaceDN w:val="0"/>
                        <w:spacing w:line="260" w:lineRule="exact"/>
                        <w:ind w:leftChars="-50" w:left="634" w:right="34" w:hanging="754"/>
                        <w:jc w:val="both"/>
                        <w:rPr>
                          <w:rFonts w:ascii="標楷體" w:eastAsia="標楷體" w:hAnsi="標楷體"/>
                          <w:color w:val="000000"/>
                          <w:sz w:val="18"/>
                        </w:rPr>
                      </w:pPr>
                      <w:r>
                        <w:rPr>
                          <w:rFonts w:ascii="標楷體" w:eastAsia="標楷體" w:hAnsi="標楷體" w:cs="標楷體" w:hint="eastAsia"/>
                          <w:color w:val="000000"/>
                          <w:sz w:val="18"/>
                          <w:szCs w:val="18"/>
                        </w:rPr>
                        <w:t>資料來源：</w:t>
                      </w:r>
                      <w:r w:rsidRPr="00042129">
                        <w:rPr>
                          <w:rFonts w:ascii="標楷體" w:eastAsia="標楷體" w:hAnsi="標楷體" w:cs="標楷體" w:hint="eastAsia"/>
                          <w:color w:val="000000"/>
                          <w:sz w:val="18"/>
                          <w:szCs w:val="18"/>
                        </w:rPr>
                        <w:t>整理自「因應超高齡社會對策方案（</w:t>
                      </w:r>
                      <w:r w:rsidRPr="00042129">
                        <w:rPr>
                          <w:rFonts w:ascii="標楷體" w:eastAsia="標楷體" w:hAnsi="標楷體" w:cs="標楷體"/>
                          <w:color w:val="000000"/>
                          <w:sz w:val="18"/>
                          <w:szCs w:val="18"/>
                        </w:rPr>
                        <w:t>112</w:t>
                      </w:r>
                      <w:r w:rsidR="00DC4AE2" w:rsidRPr="00DC4AE2">
                        <w:rPr>
                          <w:rFonts w:ascii="標楷體" w:eastAsia="標楷體" w:hAnsi="標楷體" w:cs="標楷體" w:hint="eastAsia"/>
                          <w:color w:val="000000"/>
                          <w:sz w:val="18"/>
                          <w:szCs w:val="18"/>
                        </w:rPr>
                        <w:t>－</w:t>
                      </w:r>
                      <w:r w:rsidRPr="00042129">
                        <w:rPr>
                          <w:rFonts w:ascii="標楷體" w:eastAsia="標楷體" w:hAnsi="標楷體" w:cs="標楷體"/>
                          <w:color w:val="000000"/>
                          <w:sz w:val="18"/>
                          <w:szCs w:val="18"/>
                        </w:rPr>
                        <w:t>115年）」核定本</w:t>
                      </w:r>
                      <w:r w:rsidRPr="00E63D96">
                        <w:rPr>
                          <w:rFonts w:ascii="標楷體" w:eastAsia="標楷體" w:hAnsi="標楷體" w:cs="標楷體" w:hint="eastAsia"/>
                          <w:color w:val="000000"/>
                          <w:sz w:val="18"/>
                          <w:szCs w:val="18"/>
                        </w:rPr>
                        <w:t>。</w:t>
                      </w:r>
                    </w:p>
                  </w:txbxContent>
                </v:textbox>
                <w10:wrap type="square" anchorx="page" anchory="page"/>
              </v:shape>
            </w:pict>
          </mc:Fallback>
        </mc:AlternateContent>
      </w:r>
    </w:p>
    <w:p w14:paraId="1A28EEAA" w14:textId="5C6CAAB8" w:rsidR="003C6B92" w:rsidRPr="00BE45A3" w:rsidRDefault="003C6B92" w:rsidP="00E31547">
      <w:pPr>
        <w:pStyle w:val="2"/>
        <w:overflowPunct w:val="0"/>
        <w:spacing w:beforeLines="20" w:before="72" w:afterLines="20" w:after="72" w:line="460" w:lineRule="exact"/>
        <w:ind w:left="0" w:firstLineChars="200" w:firstLine="561"/>
        <w:rPr>
          <w:rFonts w:hAnsi="標楷體"/>
          <w:b/>
          <w:color w:val="000000" w:themeColor="text1"/>
          <w:sz w:val="28"/>
          <w:szCs w:val="28"/>
        </w:rPr>
      </w:pPr>
      <w:r w:rsidRPr="007F02DD">
        <w:rPr>
          <w:rFonts w:hAnsi="標楷體" w:hint="eastAsia"/>
          <w:b/>
          <w:sz w:val="28"/>
          <w:szCs w:val="28"/>
        </w:rPr>
        <w:t>（</w:t>
      </w:r>
      <w:r>
        <w:rPr>
          <w:rFonts w:hAnsi="標楷體" w:hint="eastAsia"/>
          <w:b/>
          <w:sz w:val="28"/>
          <w:szCs w:val="28"/>
        </w:rPr>
        <w:t>九</w:t>
      </w:r>
      <w:r w:rsidRPr="007F02DD">
        <w:rPr>
          <w:rFonts w:hAnsi="標楷體" w:hint="eastAsia"/>
          <w:b/>
          <w:bCs w:val="0"/>
          <w:color w:val="000000" w:themeColor="text1"/>
          <w:sz w:val="28"/>
          <w:szCs w:val="28"/>
        </w:rPr>
        <w:t>）</w:t>
      </w:r>
      <w:r>
        <w:rPr>
          <w:rFonts w:hAnsi="標楷體" w:hint="eastAsia"/>
          <w:b/>
          <w:bCs w:val="0"/>
          <w:color w:val="000000" w:themeColor="text1"/>
          <w:sz w:val="28"/>
          <w:szCs w:val="28"/>
        </w:rPr>
        <w:t xml:space="preserve">　政府持續推動生物多樣性保育工作，以減緩生物多樣性之消</w:t>
      </w:r>
      <w:r w:rsidRPr="00041F26">
        <w:rPr>
          <w:rFonts w:hAnsi="標楷體" w:hint="eastAsia"/>
          <w:b/>
          <w:sz w:val="28"/>
          <w:szCs w:val="28"/>
        </w:rPr>
        <w:t>失</w:t>
      </w:r>
      <w:r w:rsidRPr="001200C6">
        <w:rPr>
          <w:rFonts w:hAnsi="標楷體" w:hint="eastAsia"/>
          <w:b/>
          <w:sz w:val="28"/>
          <w:szCs w:val="24"/>
        </w:rPr>
        <w:t>，</w:t>
      </w:r>
      <w:r w:rsidRPr="00BE45A3">
        <w:rPr>
          <w:rFonts w:hAnsi="標楷體" w:hint="eastAsia"/>
          <w:b/>
          <w:color w:val="000000" w:themeColor="text1"/>
          <w:sz w:val="28"/>
          <w:szCs w:val="28"/>
        </w:rPr>
        <w:t>惟尚未依據</w:t>
      </w:r>
      <w:r w:rsidRPr="00BE45A3">
        <w:rPr>
          <w:rFonts w:hAnsi="標楷體" w:hint="eastAsia"/>
          <w:b/>
          <w:sz w:val="28"/>
          <w:szCs w:val="28"/>
        </w:rPr>
        <w:t>昆明－蒙特婁</w:t>
      </w:r>
      <w:r>
        <w:rPr>
          <w:rFonts w:hAnsi="標楷體" w:hint="eastAsia"/>
          <w:b/>
          <w:sz w:val="28"/>
          <w:szCs w:val="28"/>
        </w:rPr>
        <w:t>全球</w:t>
      </w:r>
      <w:r w:rsidRPr="00BE45A3">
        <w:rPr>
          <w:rFonts w:hAnsi="標楷體" w:hint="eastAsia"/>
          <w:b/>
          <w:sz w:val="28"/>
          <w:szCs w:val="28"/>
        </w:rPr>
        <w:t>生物多樣性框架（K</w:t>
      </w:r>
      <w:r w:rsidR="00D75AF8">
        <w:rPr>
          <w:rFonts w:hAnsi="標楷體" w:hint="eastAsia"/>
          <w:b/>
          <w:sz w:val="28"/>
          <w:szCs w:val="28"/>
        </w:rPr>
        <w:t>-</w:t>
      </w:r>
      <w:r w:rsidRPr="00BE45A3">
        <w:rPr>
          <w:rFonts w:hAnsi="標楷體" w:hint="eastAsia"/>
          <w:b/>
          <w:sz w:val="28"/>
          <w:szCs w:val="28"/>
        </w:rPr>
        <w:t>M GBF）</w:t>
      </w:r>
      <w:r w:rsidRPr="00BE45A3">
        <w:rPr>
          <w:rFonts w:hAnsi="標楷體" w:hint="eastAsia"/>
          <w:b/>
          <w:color w:val="000000" w:themeColor="text1"/>
          <w:sz w:val="28"/>
          <w:szCs w:val="28"/>
        </w:rPr>
        <w:t>擬訂國家生物多樣性目標與行動策略，</w:t>
      </w:r>
      <w:r>
        <w:rPr>
          <w:rFonts w:hAnsi="標楷體" w:hint="eastAsia"/>
          <w:b/>
          <w:color w:val="000000" w:themeColor="text1"/>
          <w:sz w:val="28"/>
          <w:szCs w:val="28"/>
        </w:rPr>
        <w:t>亦</w:t>
      </w:r>
      <w:r w:rsidRPr="00BE45A3">
        <w:rPr>
          <w:rFonts w:hAnsi="標楷體" w:hint="eastAsia"/>
          <w:b/>
          <w:color w:val="000000" w:themeColor="text1"/>
          <w:sz w:val="28"/>
          <w:szCs w:val="28"/>
        </w:rPr>
        <w:t>無推動</w:t>
      </w:r>
      <w:r w:rsidRPr="00BE45A3">
        <w:rPr>
          <w:rFonts w:hAnsi="標楷體" w:hint="eastAsia"/>
          <w:b/>
          <w:sz w:val="28"/>
          <w:szCs w:val="28"/>
        </w:rPr>
        <w:t>自然相關財務揭露（T</w:t>
      </w:r>
      <w:r w:rsidRPr="00BE45A3">
        <w:rPr>
          <w:rFonts w:hAnsi="標楷體"/>
          <w:b/>
          <w:sz w:val="28"/>
          <w:szCs w:val="28"/>
        </w:rPr>
        <w:t>NFD</w:t>
      </w:r>
      <w:r>
        <w:rPr>
          <w:rFonts w:hAnsi="標楷體" w:hint="eastAsia"/>
          <w:b/>
          <w:sz w:val="28"/>
          <w:szCs w:val="28"/>
        </w:rPr>
        <w:t>）</w:t>
      </w:r>
      <w:r w:rsidRPr="00BE45A3">
        <w:rPr>
          <w:rFonts w:hAnsi="標楷體" w:hint="eastAsia"/>
          <w:b/>
          <w:color w:val="000000" w:themeColor="text1"/>
          <w:sz w:val="28"/>
          <w:szCs w:val="28"/>
        </w:rPr>
        <w:t>之具體策略及揭露指引</w:t>
      </w:r>
      <w:r>
        <w:rPr>
          <w:rFonts w:hAnsi="標楷體" w:hint="eastAsia"/>
          <w:b/>
          <w:color w:val="000000" w:themeColor="text1"/>
          <w:sz w:val="28"/>
          <w:szCs w:val="28"/>
        </w:rPr>
        <w:t>，且無主責機</w:t>
      </w:r>
      <w:r w:rsidRPr="00BE45A3">
        <w:rPr>
          <w:rFonts w:hAnsi="標楷體" w:hint="eastAsia"/>
          <w:b/>
          <w:color w:val="000000" w:themeColor="text1"/>
          <w:sz w:val="28"/>
          <w:szCs w:val="28"/>
        </w:rPr>
        <w:t>關統籌規劃及管考我國推動生物多樣性執行情形</w:t>
      </w:r>
      <w:r>
        <w:rPr>
          <w:rFonts w:hAnsi="標楷體" w:hint="eastAsia"/>
          <w:b/>
          <w:color w:val="000000" w:themeColor="text1"/>
          <w:sz w:val="28"/>
          <w:szCs w:val="28"/>
        </w:rPr>
        <w:t>，允宜</w:t>
      </w:r>
      <w:r w:rsidRPr="00BE45A3">
        <w:rPr>
          <w:rFonts w:hAnsi="標楷體" w:hint="eastAsia"/>
          <w:b/>
          <w:color w:val="000000" w:themeColor="text1"/>
          <w:sz w:val="28"/>
          <w:szCs w:val="28"/>
        </w:rPr>
        <w:t>督促研謀改善。</w:t>
      </w:r>
    </w:p>
    <w:p w14:paraId="2F58A0B0" w14:textId="0314E6C9" w:rsidR="003C6B92" w:rsidRPr="007E4FA4" w:rsidRDefault="003C6B92" w:rsidP="00E31547">
      <w:pPr>
        <w:overflowPunct w:val="0"/>
        <w:spacing w:line="460" w:lineRule="exact"/>
        <w:ind w:firstLineChars="200" w:firstLine="480"/>
        <w:jc w:val="both"/>
        <w:rPr>
          <w:rFonts w:ascii="標楷體" w:eastAsia="標楷體" w:hAnsi="標楷體"/>
          <w:szCs w:val="24"/>
        </w:rPr>
      </w:pPr>
      <w:r w:rsidRPr="007E4FA4">
        <w:rPr>
          <w:rFonts w:ascii="標楷體" w:eastAsia="標楷體" w:hAnsi="標楷體" w:hint="eastAsia"/>
          <w:szCs w:val="24"/>
        </w:rPr>
        <w:lastRenderedPageBreak/>
        <w:t>由於全球生態環境持續惡化，</w:t>
      </w:r>
      <w:r>
        <w:rPr>
          <w:rFonts w:ascii="標楷體" w:eastAsia="標楷體" w:hAnsi="標楷體" w:hint="eastAsia"/>
          <w:szCs w:val="24"/>
        </w:rPr>
        <w:t>聯合國</w:t>
      </w:r>
      <w:r w:rsidRPr="007E4FA4">
        <w:rPr>
          <w:rFonts w:ascii="標楷體" w:eastAsia="標楷體" w:hAnsi="標楷體" w:hint="eastAsia"/>
          <w:szCs w:val="24"/>
        </w:rPr>
        <w:t>為減緩生物多樣性之</w:t>
      </w:r>
      <w:r>
        <w:rPr>
          <w:rFonts w:ascii="標楷體" w:eastAsia="標楷體" w:hAnsi="標楷體" w:hint="eastAsia"/>
          <w:szCs w:val="24"/>
        </w:rPr>
        <w:t>消</w:t>
      </w:r>
      <w:r w:rsidRPr="007E4FA4">
        <w:rPr>
          <w:rFonts w:ascii="標楷體" w:eastAsia="標楷體" w:hAnsi="標楷體" w:hint="eastAsia"/>
          <w:szCs w:val="24"/>
        </w:rPr>
        <w:t>失，1992年於巴西里約熱內盧</w:t>
      </w:r>
      <w:r>
        <w:rPr>
          <w:rFonts w:ascii="標楷體" w:eastAsia="標楷體" w:hAnsi="標楷體" w:hint="eastAsia"/>
          <w:szCs w:val="24"/>
        </w:rPr>
        <w:t>通過</w:t>
      </w:r>
      <w:r w:rsidRPr="007E4FA4">
        <w:rPr>
          <w:rFonts w:ascii="標楷體" w:eastAsia="標楷體" w:hAnsi="標楷體" w:hint="eastAsia"/>
          <w:szCs w:val="24"/>
        </w:rPr>
        <w:t>生物多樣性公約（Convention on Biological Diversity, CBD），為規範及引導全球生物多樣性保育最重要之國際公約。臺灣擁有多樣地理環境，孕育豐富動植物資源，為推動國內生物多樣性保育及配合國際保育趨勢，行政院於</w:t>
      </w:r>
      <w:r>
        <w:rPr>
          <w:rFonts w:ascii="標楷體" w:eastAsia="標楷體" w:hAnsi="標楷體"/>
          <w:szCs w:val="24"/>
        </w:rPr>
        <w:t>90</w:t>
      </w:r>
      <w:r w:rsidRPr="007E4FA4">
        <w:rPr>
          <w:rFonts w:ascii="標楷體" w:eastAsia="標楷體" w:hAnsi="標楷體" w:hint="eastAsia"/>
          <w:szCs w:val="24"/>
        </w:rPr>
        <w:t>年核定我國生物多樣性推動方案，並於後續年度滾動調整我國生物多樣性保育策略。經查推動情形，核有下列事項：</w:t>
      </w:r>
    </w:p>
    <w:p w14:paraId="76194ADD" w14:textId="68E0253D" w:rsidR="003C6B92" w:rsidRPr="005B6971" w:rsidRDefault="0048148D" w:rsidP="00E31547">
      <w:pPr>
        <w:overflowPunct w:val="0"/>
        <w:spacing w:line="460" w:lineRule="exact"/>
        <w:ind w:firstLineChars="450" w:firstLine="1081"/>
        <w:jc w:val="both"/>
        <w:rPr>
          <w:rFonts w:ascii="標楷體" w:eastAsia="標楷體" w:hAnsi="標楷體"/>
          <w:szCs w:val="24"/>
          <w:u w:val="single"/>
        </w:rPr>
      </w:pPr>
      <w:r w:rsidRPr="0048148D">
        <w:rPr>
          <w:rFonts w:ascii="標楷體" w:eastAsia="標楷體" w:hAnsi="標楷體"/>
          <w:b/>
          <w:noProof/>
          <w:szCs w:val="24"/>
        </w:rPr>
        <mc:AlternateContent>
          <mc:Choice Requires="wps">
            <w:drawing>
              <wp:anchor distT="45720" distB="45720" distL="114300" distR="114300" simplePos="0" relativeHeight="251686912" behindDoc="0" locked="0" layoutInCell="1" allowOverlap="1" wp14:anchorId="4A1FCCDB" wp14:editId="12325916">
                <wp:simplePos x="0" y="0"/>
                <wp:positionH relativeFrom="column">
                  <wp:posOffset>2032049</wp:posOffset>
                </wp:positionH>
                <wp:positionV relativeFrom="paragraph">
                  <wp:posOffset>2234223</wp:posOffset>
                </wp:positionV>
                <wp:extent cx="4262120" cy="3058160"/>
                <wp:effectExtent l="0" t="0" r="5080" b="8890"/>
                <wp:wrapSquare wrapText="bothSides"/>
                <wp:docPr id="4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2120" cy="3058160"/>
                        </a:xfrm>
                        <a:prstGeom prst="rect">
                          <a:avLst/>
                        </a:prstGeom>
                        <a:solidFill>
                          <a:srgbClr val="FFFFFF"/>
                        </a:solidFill>
                        <a:ln w="9525">
                          <a:noFill/>
                          <a:miter lim="800000"/>
                          <a:headEnd/>
                          <a:tailEnd/>
                        </a:ln>
                      </wps:spPr>
                      <wps:txbx>
                        <w:txbxContent>
                          <w:p w14:paraId="0270D986" w14:textId="77777777" w:rsidR="00A0212B" w:rsidRDefault="00A0212B" w:rsidP="0048148D">
                            <w:pPr>
                              <w:pStyle w:val="Web"/>
                              <w:spacing w:before="0" w:beforeAutospacing="0" w:after="0" w:afterAutospacing="0"/>
                              <w:ind w:left="720" w:hanging="720"/>
                              <w:jc w:val="center"/>
                            </w:pPr>
                            <w:r w:rsidRPr="002D694D">
                              <w:rPr>
                                <w:rFonts w:ascii="標楷體" w:eastAsia="標楷體" w:hAnsi="標楷體" w:hint="eastAsia"/>
                                <w:b/>
                                <w:bCs/>
                                <w:color w:val="000000"/>
                                <w:kern w:val="2"/>
                              </w:rPr>
                              <w:t>圖</w:t>
                            </w:r>
                            <w:r w:rsidRPr="002D694D">
                              <w:rPr>
                                <w:rFonts w:ascii="標楷體" w:eastAsia="標楷體" w:hAnsi="標楷體"/>
                                <w:b/>
                                <w:bCs/>
                                <w:color w:val="000000"/>
                                <w:kern w:val="2"/>
                              </w:rPr>
                              <w:t>11</w:t>
                            </w:r>
                            <w:r w:rsidRPr="002D694D">
                              <w:rPr>
                                <w:rFonts w:ascii="標楷體" w:eastAsia="標楷體" w:hAnsi="標楷體" w:hint="eastAsia"/>
                                <w:b/>
                                <w:bCs/>
                                <w:color w:val="000000"/>
                                <w:kern w:val="2"/>
                              </w:rPr>
                              <w:t xml:space="preserve">　昆明－蒙特婁全球生物多樣性框架</w:t>
                            </w:r>
                            <w:r w:rsidRPr="002D694D">
                              <w:rPr>
                                <w:rFonts w:ascii="標楷體" w:eastAsia="標楷體" w:hAnsi="標楷體"/>
                                <w:b/>
                                <w:bCs/>
                                <w:color w:val="000000"/>
                                <w:kern w:val="2"/>
                              </w:rPr>
                              <w:t>23</w:t>
                            </w:r>
                            <w:r w:rsidRPr="002D694D">
                              <w:rPr>
                                <w:rFonts w:ascii="標楷體" w:eastAsia="標楷體" w:hAnsi="標楷體" w:hint="eastAsia"/>
                                <w:b/>
                                <w:bCs/>
                                <w:color w:val="000000"/>
                                <w:kern w:val="2"/>
                              </w:rPr>
                              <w:t>項短期行動目</w:t>
                            </w:r>
                            <w:r>
                              <w:rPr>
                                <w:rFonts w:ascii="Times New Roman" w:eastAsia="標楷體" w:hAnsi="標楷體" w:hint="eastAsia"/>
                                <w:b/>
                                <w:bCs/>
                                <w:color w:val="000000"/>
                                <w:kern w:val="2"/>
                              </w:rPr>
                              <w:t>標</w:t>
                            </w:r>
                          </w:p>
                          <w:p w14:paraId="15A8381C" w14:textId="176E3868" w:rsidR="00A0212B" w:rsidRPr="0048148D" w:rsidRDefault="00A0212B">
                            <w:r>
                              <w:rPr>
                                <w:noProof/>
                              </w:rPr>
                              <w:drawing>
                                <wp:inline distT="0" distB="0" distL="0" distR="0" wp14:anchorId="7A769D48" wp14:editId="5E4956EA">
                                  <wp:extent cx="4070350" cy="2365375"/>
                                  <wp:effectExtent l="0" t="0" r="0" b="0"/>
                                  <wp:docPr id="45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20"/>
                                          <a:stretch>
                                            <a:fillRect/>
                                          </a:stretch>
                                        </pic:blipFill>
                                        <pic:spPr>
                                          <a:xfrm>
                                            <a:off x="0" y="0"/>
                                            <a:ext cx="4070350" cy="2365375"/>
                                          </a:xfrm>
                                          <a:prstGeom prst="rect">
                                            <a:avLst/>
                                          </a:prstGeom>
                                        </pic:spPr>
                                      </pic:pic>
                                    </a:graphicData>
                                  </a:graphic>
                                </wp:inline>
                              </w:drawing>
                            </w:r>
                          </w:p>
                          <w:p w14:paraId="4012DD42" w14:textId="61E07736" w:rsidR="00A0212B" w:rsidRPr="00E31547" w:rsidRDefault="00A0212B">
                            <w:pPr>
                              <w:rPr>
                                <w:rFonts w:ascii="標楷體" w:eastAsia="標楷體" w:hAnsi="標楷體"/>
                                <w:sz w:val="18"/>
                              </w:rPr>
                            </w:pPr>
                            <w:r w:rsidRPr="00E31547">
                              <w:rPr>
                                <w:rFonts w:ascii="標楷體" w:eastAsia="標楷體" w:hAnsi="標楷體" w:hint="eastAsia"/>
                                <w:sz w:val="18"/>
                              </w:rPr>
                              <w:t>資料來源：整理自農業部林業及自然保育署自然保育網資料。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1FCCDB" id="_x0000_s1054" type="#_x0000_t202" style="position:absolute;left:0;text-align:left;margin-left:160pt;margin-top:175.9pt;width:335.6pt;height:240.8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" stroked="f">
                <v:textbox>
                  <w:txbxContent>
                    <w:p w14:paraId="0270D986" w14:textId="77777777" w:rsidR="00A0212B" w:rsidRDefault="00A0212B" w:rsidP="0048148D">
                      <w:pPr>
                        <w:pStyle w:val="Web"/>
                        <w:spacing w:before="0" w:beforeAutospacing="0" w:after="0" w:afterAutospacing="0"/>
                        <w:ind w:left="720" w:hanging="720"/>
                        <w:jc w:val="center"/>
                      </w:pPr>
                      <w:r w:rsidRPr="002D694D">
                        <w:rPr>
                          <w:rFonts w:ascii="標楷體" w:eastAsia="標楷體" w:hAnsi="標楷體" w:hint="eastAsia"/>
                          <w:b/>
                          <w:bCs/>
                          <w:color w:val="000000"/>
                          <w:kern w:val="2"/>
                        </w:rPr>
                        <w:t>圖</w:t>
                      </w:r>
                      <w:r w:rsidRPr="002D694D">
                        <w:rPr>
                          <w:rFonts w:ascii="標楷體" w:eastAsia="標楷體" w:hAnsi="標楷體"/>
                          <w:b/>
                          <w:bCs/>
                          <w:color w:val="000000"/>
                          <w:kern w:val="2"/>
                        </w:rPr>
                        <w:t>11</w:t>
                      </w:r>
                      <w:r w:rsidRPr="002D694D">
                        <w:rPr>
                          <w:rFonts w:ascii="標楷體" w:eastAsia="標楷體" w:hAnsi="標楷體" w:hint="eastAsia"/>
                          <w:b/>
                          <w:bCs/>
                          <w:color w:val="000000"/>
                          <w:kern w:val="2"/>
                        </w:rPr>
                        <w:t xml:space="preserve">　昆明－蒙特婁全球生物多樣性框架</w:t>
                      </w:r>
                      <w:r w:rsidRPr="002D694D">
                        <w:rPr>
                          <w:rFonts w:ascii="標楷體" w:eastAsia="標楷體" w:hAnsi="標楷體"/>
                          <w:b/>
                          <w:bCs/>
                          <w:color w:val="000000"/>
                          <w:kern w:val="2"/>
                        </w:rPr>
                        <w:t>23</w:t>
                      </w:r>
                      <w:r w:rsidRPr="002D694D">
                        <w:rPr>
                          <w:rFonts w:ascii="標楷體" w:eastAsia="標楷體" w:hAnsi="標楷體" w:hint="eastAsia"/>
                          <w:b/>
                          <w:bCs/>
                          <w:color w:val="000000"/>
                          <w:kern w:val="2"/>
                        </w:rPr>
                        <w:t>項短期行動目</w:t>
                      </w:r>
                      <w:r>
                        <w:rPr>
                          <w:rFonts w:ascii="Times New Roman" w:eastAsia="標楷體" w:hAnsi="標楷體" w:hint="eastAsia"/>
                          <w:b/>
                          <w:bCs/>
                          <w:color w:val="000000"/>
                          <w:kern w:val="2"/>
                        </w:rPr>
                        <w:t>標</w:t>
                      </w:r>
                    </w:p>
                    <w:p w14:paraId="15A8381C" w14:textId="176E3868" w:rsidR="00A0212B" w:rsidRPr="0048148D" w:rsidRDefault="00A0212B">
                      <w:r>
                        <w:rPr>
                          <w:noProof/>
                        </w:rPr>
                        <w:drawing>
                          <wp:inline distT="0" distB="0" distL="0" distR="0" wp14:anchorId="7A769D48" wp14:editId="5E4956EA">
                            <wp:extent cx="4070350" cy="2365375"/>
                            <wp:effectExtent l="0" t="0" r="0" b="0"/>
                            <wp:docPr id="454"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3"/>
                                    <pic:cNvPicPr>
                                      <a:picLocks noChangeAspect="1"/>
                                    </pic:cNvPicPr>
                                  </pic:nvPicPr>
                                  <pic:blipFill>
                                    <a:blip r:embed="rId20"/>
                                    <a:stretch>
                                      <a:fillRect/>
                                    </a:stretch>
                                  </pic:blipFill>
                                  <pic:spPr>
                                    <a:xfrm>
                                      <a:off x="0" y="0"/>
                                      <a:ext cx="4070350" cy="2365375"/>
                                    </a:xfrm>
                                    <a:prstGeom prst="rect">
                                      <a:avLst/>
                                    </a:prstGeom>
                                  </pic:spPr>
                                </pic:pic>
                              </a:graphicData>
                            </a:graphic>
                          </wp:inline>
                        </w:drawing>
                      </w:r>
                    </w:p>
                    <w:p w14:paraId="4012DD42" w14:textId="61E07736" w:rsidR="00A0212B" w:rsidRPr="00E31547" w:rsidRDefault="00A0212B">
                      <w:pPr>
                        <w:rPr>
                          <w:rFonts w:ascii="標楷體" w:eastAsia="標楷體" w:hAnsi="標楷體"/>
                          <w:sz w:val="18"/>
                        </w:rPr>
                      </w:pPr>
                      <w:r w:rsidRPr="00E31547">
                        <w:rPr>
                          <w:rFonts w:ascii="標楷體" w:eastAsia="標楷體" w:hAnsi="標楷體" w:hint="eastAsia"/>
                          <w:sz w:val="18"/>
                        </w:rPr>
                        <w:t>資料來源：整理自農業部林業及自然保育署自然保育網資料。</w:t>
                      </w:r>
                    </w:p>
                  </w:txbxContent>
                </v:textbox>
                <w10:wrap type="square"/>
              </v:shape>
            </w:pict>
          </mc:Fallback>
        </mc:AlternateContent>
      </w:r>
      <w:r w:rsidR="003C6B92">
        <w:rPr>
          <w:rFonts w:ascii="標楷體" w:eastAsia="標楷體" w:hAnsi="標楷體" w:hint="eastAsia"/>
          <w:b/>
          <w:szCs w:val="24"/>
        </w:rPr>
        <w:t>1.</w:t>
      </w:r>
      <w:r w:rsidR="003C6B92" w:rsidRPr="009D11AD">
        <w:rPr>
          <w:rFonts w:ascii="標楷體" w:eastAsia="標楷體" w:hAnsi="標楷體" w:hint="eastAsia"/>
          <w:b/>
          <w:color w:val="000000"/>
          <w:szCs w:val="22"/>
        </w:rPr>
        <w:t xml:space="preserve">　</w:t>
      </w:r>
      <w:r w:rsidR="003C6B92" w:rsidRPr="007E4FA4">
        <w:rPr>
          <w:rFonts w:ascii="標楷體" w:eastAsia="標楷體" w:hAnsi="標楷體" w:hint="eastAsia"/>
          <w:b/>
          <w:szCs w:val="24"/>
        </w:rPr>
        <w:t>聯合國於2022年通過昆明－蒙特婁</w:t>
      </w:r>
      <w:r w:rsidR="003C6B92">
        <w:rPr>
          <w:rFonts w:ascii="標楷體" w:eastAsia="標楷體" w:hAnsi="標楷體" w:hint="eastAsia"/>
          <w:b/>
          <w:szCs w:val="24"/>
        </w:rPr>
        <w:t>全球</w:t>
      </w:r>
      <w:r w:rsidR="003C6B92" w:rsidRPr="007E4FA4">
        <w:rPr>
          <w:rFonts w:ascii="標楷體" w:eastAsia="標楷體" w:hAnsi="標楷體" w:hint="eastAsia"/>
          <w:b/>
          <w:szCs w:val="24"/>
        </w:rPr>
        <w:t>生物多樣性框架（K</w:t>
      </w:r>
      <w:r w:rsidR="00D75AF8">
        <w:rPr>
          <w:rFonts w:ascii="標楷體" w:eastAsia="標楷體" w:hAnsi="標楷體" w:hint="eastAsia"/>
          <w:b/>
          <w:szCs w:val="24"/>
        </w:rPr>
        <w:t>-</w:t>
      </w:r>
      <w:r w:rsidR="003C6B92" w:rsidRPr="007E4FA4">
        <w:rPr>
          <w:rFonts w:ascii="標楷體" w:eastAsia="標楷體" w:hAnsi="標楷體" w:hint="eastAsia"/>
          <w:b/>
          <w:szCs w:val="24"/>
        </w:rPr>
        <w:t>M GBF），奠定未</w:t>
      </w:r>
      <w:r w:rsidR="003C6B92" w:rsidRPr="00347CB1">
        <w:rPr>
          <w:rFonts w:ascii="標楷體" w:eastAsia="標楷體" w:hAnsi="標楷體" w:hint="eastAsia"/>
          <w:b/>
          <w:spacing w:val="-2"/>
          <w:szCs w:val="24"/>
        </w:rPr>
        <w:t>來10年</w:t>
      </w:r>
      <w:r w:rsidR="003C6B92" w:rsidRPr="007E4FA4">
        <w:rPr>
          <w:rFonts w:ascii="標楷體" w:eastAsia="標楷體" w:hAnsi="標楷體" w:hint="eastAsia"/>
          <w:b/>
          <w:szCs w:val="24"/>
        </w:rPr>
        <w:t>全球生物</w:t>
      </w:r>
      <w:r w:rsidR="003C6B92" w:rsidRPr="00347CB1">
        <w:rPr>
          <w:rFonts w:ascii="標楷體" w:eastAsia="標楷體" w:hAnsi="標楷體" w:hint="eastAsia"/>
          <w:b/>
          <w:spacing w:val="-2"/>
          <w:szCs w:val="24"/>
        </w:rPr>
        <w:t>多樣性治理最重要之根基，惟我國尚未依據上開框架擬訂國家生物多樣性目標與行動策略，亦無機關統籌規劃及管考我國推動生物多樣性執行情形，</w:t>
      </w:r>
      <w:r w:rsidR="0097747F">
        <w:rPr>
          <w:rFonts w:ascii="標楷體" w:eastAsia="標楷體" w:hAnsi="標楷體" w:hint="eastAsia"/>
          <w:b/>
          <w:spacing w:val="-2"/>
          <w:szCs w:val="24"/>
        </w:rPr>
        <w:t>允宜</w:t>
      </w:r>
      <w:r w:rsidR="003C6B92">
        <w:rPr>
          <w:rFonts w:ascii="標楷體" w:eastAsia="標楷體" w:hAnsi="標楷體" w:hint="eastAsia"/>
          <w:b/>
          <w:spacing w:val="-2"/>
          <w:szCs w:val="24"/>
        </w:rPr>
        <w:t>督促檢討</w:t>
      </w:r>
      <w:r w:rsidR="003C6B92" w:rsidRPr="00651C22">
        <w:rPr>
          <w:rFonts w:ascii="標楷體" w:eastAsia="標楷體" w:hAnsi="標楷體" w:hint="eastAsia"/>
          <w:b/>
          <w:spacing w:val="-2"/>
          <w:szCs w:val="24"/>
        </w:rPr>
        <w:t>接軌國際生物多樣性推動趨勢</w:t>
      </w:r>
      <w:r w:rsidR="003C6B92">
        <w:rPr>
          <w:rFonts w:ascii="標楷體" w:eastAsia="標楷體" w:hAnsi="標楷體" w:hint="eastAsia"/>
          <w:b/>
          <w:spacing w:val="-2"/>
          <w:szCs w:val="24"/>
        </w:rPr>
        <w:t>，</w:t>
      </w:r>
      <w:r w:rsidR="003C6B92" w:rsidRPr="00651C22">
        <w:rPr>
          <w:rFonts w:ascii="標楷體" w:eastAsia="標楷體" w:hAnsi="標楷體" w:hint="eastAsia"/>
          <w:b/>
          <w:spacing w:val="-2"/>
          <w:szCs w:val="24"/>
        </w:rPr>
        <w:t>達</w:t>
      </w:r>
      <w:r w:rsidR="003C6B92">
        <w:rPr>
          <w:rFonts w:ascii="標楷體" w:eastAsia="標楷體" w:hAnsi="標楷體" w:hint="eastAsia"/>
          <w:b/>
          <w:spacing w:val="-2"/>
          <w:szCs w:val="24"/>
        </w:rPr>
        <w:t>成</w:t>
      </w:r>
      <w:r w:rsidR="003C6B92" w:rsidRPr="00651C22">
        <w:rPr>
          <w:rFonts w:ascii="標楷體" w:eastAsia="標楷體" w:hAnsi="標楷體" w:hint="eastAsia"/>
          <w:b/>
          <w:spacing w:val="-2"/>
          <w:szCs w:val="24"/>
        </w:rPr>
        <w:t>本土生物多樣性保育及永續利用</w:t>
      </w:r>
      <w:r w:rsidR="003C6B92" w:rsidRPr="00347CB1">
        <w:rPr>
          <w:rFonts w:ascii="標楷體" w:eastAsia="標楷體" w:hAnsi="標楷體" w:hint="eastAsia"/>
          <w:b/>
          <w:spacing w:val="-2"/>
          <w:szCs w:val="24"/>
        </w:rPr>
        <w:t>：</w:t>
      </w:r>
      <w:r w:rsidR="003C6B92" w:rsidRPr="00347CB1">
        <w:rPr>
          <w:rFonts w:ascii="標楷體" w:eastAsia="標楷體" w:hAnsi="標楷體" w:hint="eastAsia"/>
          <w:color w:val="000000" w:themeColor="text1"/>
          <w:szCs w:val="24"/>
        </w:rPr>
        <w:t>2022年12月</w:t>
      </w:r>
      <w:r w:rsidR="003C6B92">
        <w:rPr>
          <w:rFonts w:ascii="標楷體" w:eastAsia="標楷體" w:hAnsi="標楷體" w:hint="eastAsia"/>
          <w:color w:val="000000" w:themeColor="text1"/>
          <w:szCs w:val="24"/>
        </w:rPr>
        <w:t>聯合國</w:t>
      </w:r>
      <w:r w:rsidR="003C6B92" w:rsidRPr="00347CB1">
        <w:rPr>
          <w:rFonts w:ascii="標楷體" w:eastAsia="標楷體" w:hAnsi="標楷體" w:hint="eastAsia"/>
          <w:color w:val="000000" w:themeColor="text1"/>
          <w:szCs w:val="24"/>
        </w:rPr>
        <w:t>CBD第1</w:t>
      </w:r>
      <w:r w:rsidR="003C6B92" w:rsidRPr="00347CB1">
        <w:rPr>
          <w:rFonts w:ascii="標楷體" w:eastAsia="標楷體" w:hAnsi="標楷體"/>
          <w:color w:val="000000" w:themeColor="text1"/>
          <w:szCs w:val="24"/>
        </w:rPr>
        <w:t>5</w:t>
      </w:r>
      <w:r w:rsidR="003C6B92" w:rsidRPr="00347CB1">
        <w:rPr>
          <w:rFonts w:ascii="標楷體" w:eastAsia="標楷體" w:hAnsi="標楷體" w:hint="eastAsia"/>
          <w:color w:val="000000" w:themeColor="text1"/>
          <w:szCs w:val="24"/>
        </w:rPr>
        <w:t>屆締約方大會（15th Conference</w:t>
      </w:r>
      <w:r w:rsidR="003C6B92">
        <w:rPr>
          <w:rFonts w:ascii="標楷體" w:eastAsia="標楷體" w:hAnsi="標楷體"/>
          <w:color w:val="000000" w:themeColor="text1"/>
          <w:szCs w:val="24"/>
        </w:rPr>
        <w:t xml:space="preserve"> of the </w:t>
      </w:r>
      <w:r w:rsidR="003C6B92" w:rsidRPr="00347CB1">
        <w:rPr>
          <w:rFonts w:ascii="標楷體" w:eastAsia="標楷體" w:hAnsi="標楷體" w:hint="eastAsia"/>
          <w:color w:val="000000" w:themeColor="text1"/>
          <w:szCs w:val="24"/>
        </w:rPr>
        <w:t xml:space="preserve"> Parties, COP15）通過「昆明－蒙特婁</w:t>
      </w:r>
      <w:r w:rsidR="003C6B92">
        <w:rPr>
          <w:rFonts w:ascii="標楷體" w:eastAsia="標楷體" w:hAnsi="標楷體" w:hint="eastAsia"/>
          <w:color w:val="000000" w:themeColor="text1"/>
          <w:szCs w:val="24"/>
        </w:rPr>
        <w:t>全球</w:t>
      </w:r>
      <w:r w:rsidR="003C6B92" w:rsidRPr="00347CB1">
        <w:rPr>
          <w:rFonts w:ascii="標楷體" w:eastAsia="標楷體" w:hAnsi="標楷體" w:hint="eastAsia"/>
          <w:color w:val="000000" w:themeColor="text1"/>
          <w:szCs w:val="24"/>
        </w:rPr>
        <w:t>生物多樣性框架」（Kunming</w:t>
      </w:r>
      <w:r w:rsidR="00D75AF8">
        <w:rPr>
          <w:rFonts w:ascii="標楷體" w:eastAsia="標楷體" w:hAnsi="標楷體" w:hint="eastAsia"/>
          <w:color w:val="000000" w:themeColor="text1"/>
          <w:szCs w:val="24"/>
        </w:rPr>
        <w:t>-</w:t>
      </w:r>
      <w:r w:rsidR="003C6B92" w:rsidRPr="00347CB1">
        <w:rPr>
          <w:rFonts w:ascii="標楷體" w:eastAsia="標楷體" w:hAnsi="標楷體" w:hint="eastAsia"/>
          <w:color w:val="000000" w:themeColor="text1"/>
          <w:szCs w:val="24"/>
        </w:rPr>
        <w:t>Montreal Global Biodiversity Framework, K</w:t>
      </w:r>
      <w:r w:rsidR="00D75AF8">
        <w:rPr>
          <w:rFonts w:ascii="標楷體" w:eastAsia="標楷體" w:hAnsi="標楷體" w:hint="eastAsia"/>
          <w:color w:val="000000" w:themeColor="text1"/>
          <w:szCs w:val="24"/>
        </w:rPr>
        <w:t>-</w:t>
      </w:r>
      <w:r w:rsidR="003C6B92" w:rsidRPr="00347CB1">
        <w:rPr>
          <w:rFonts w:ascii="標楷體" w:eastAsia="標楷體" w:hAnsi="標楷體" w:hint="eastAsia"/>
          <w:color w:val="000000" w:themeColor="text1"/>
          <w:szCs w:val="24"/>
        </w:rPr>
        <w:t xml:space="preserve">M GBF），以人與自然和諧共生（Living in </w:t>
      </w:r>
      <w:r w:rsidR="002D694D">
        <w:rPr>
          <w:rFonts w:ascii="標楷體" w:eastAsia="標楷體" w:hAnsi="標楷體" w:hint="eastAsia"/>
          <w:color w:val="000000" w:themeColor="text1"/>
          <w:szCs w:val="24"/>
        </w:rPr>
        <w:t>H</w:t>
      </w:r>
      <w:r w:rsidR="003C6B92" w:rsidRPr="00347CB1">
        <w:rPr>
          <w:rFonts w:ascii="標楷體" w:eastAsia="標楷體" w:hAnsi="標楷體" w:hint="eastAsia"/>
          <w:color w:val="000000" w:themeColor="text1"/>
          <w:szCs w:val="24"/>
        </w:rPr>
        <w:t xml:space="preserve">armony with </w:t>
      </w:r>
      <w:r w:rsidR="002D694D">
        <w:rPr>
          <w:rFonts w:ascii="標楷體" w:eastAsia="標楷體" w:hAnsi="標楷體" w:hint="eastAsia"/>
          <w:color w:val="000000" w:themeColor="text1"/>
          <w:szCs w:val="24"/>
        </w:rPr>
        <w:t>N</w:t>
      </w:r>
      <w:r w:rsidR="003C6B92" w:rsidRPr="00347CB1">
        <w:rPr>
          <w:rFonts w:ascii="標楷體" w:eastAsia="標楷體" w:hAnsi="標楷體" w:hint="eastAsia"/>
          <w:color w:val="000000" w:themeColor="text1"/>
          <w:szCs w:val="24"/>
        </w:rPr>
        <w:t>ature）為全球2050年願景，並訂出2050年4大長期目標，以及23項在2030年前須達成之</w:t>
      </w:r>
      <w:r w:rsidR="003C6B92">
        <w:rPr>
          <w:rFonts w:ascii="標楷體" w:eastAsia="標楷體" w:hAnsi="標楷體" w:hint="eastAsia"/>
          <w:color w:val="000000" w:themeColor="text1"/>
          <w:szCs w:val="24"/>
        </w:rPr>
        <w:t>短期</w:t>
      </w:r>
      <w:r w:rsidR="003C6B92" w:rsidRPr="00347CB1">
        <w:rPr>
          <w:rFonts w:ascii="標楷體" w:eastAsia="標楷體" w:hAnsi="標楷體" w:hint="eastAsia"/>
          <w:color w:val="000000" w:themeColor="text1"/>
          <w:szCs w:val="24"/>
        </w:rPr>
        <w:t>行動目標</w:t>
      </w:r>
      <w:r w:rsidR="003C6B92" w:rsidRPr="00450AEB">
        <w:rPr>
          <w:rFonts w:ascii="標楷體" w:eastAsia="標楷體" w:hAnsi="標楷體" w:hint="eastAsia"/>
          <w:szCs w:val="24"/>
        </w:rPr>
        <w:t>（</w:t>
      </w:r>
      <w:r w:rsidR="003C6B92" w:rsidRPr="00855CF4">
        <w:rPr>
          <w:rFonts w:ascii="標楷體" w:eastAsia="標楷體" w:hAnsi="標楷體" w:hint="eastAsia"/>
          <w:szCs w:val="24"/>
        </w:rPr>
        <w:t>圖1</w:t>
      </w:r>
      <w:r w:rsidR="007F3A3D" w:rsidRPr="00855CF4">
        <w:rPr>
          <w:rFonts w:ascii="標楷體" w:eastAsia="標楷體" w:hAnsi="標楷體" w:hint="eastAsia"/>
          <w:szCs w:val="24"/>
        </w:rPr>
        <w:t>1</w:t>
      </w:r>
      <w:r w:rsidR="003C6B92" w:rsidRPr="00450AEB">
        <w:rPr>
          <w:rFonts w:ascii="標楷體" w:eastAsia="標楷體" w:hAnsi="標楷體" w:hint="eastAsia"/>
          <w:szCs w:val="24"/>
        </w:rPr>
        <w:t>）</w:t>
      </w:r>
      <w:r w:rsidR="003C6B92" w:rsidRPr="00347CB1">
        <w:rPr>
          <w:rFonts w:ascii="標楷體" w:eastAsia="標楷體" w:hAnsi="標楷體" w:hint="eastAsia"/>
          <w:color w:val="000000" w:themeColor="text1"/>
          <w:szCs w:val="24"/>
        </w:rPr>
        <w:t>，為未來10年全球生物多樣性治理最重要之根基。政府為善盡全球永續發展之責任，並落實我國生物多樣性各項工作之推動，呼應國際潮流趨勢，行政院於90年核定生物多樣性推動方案，行政院國家永續發展委員會（下稱永續會）並成立生物多樣性工作分組，由農業委員會（112年8月1日改制為農業部，下稱農業部）擔任幕僚機關協調統籌推動我國生物多樣性工作，嗣經滾動修正我國推動生物多樣性之策略與計畫，106年永續會配合組織架構調整，解除永續發展行動計畫（含生物多樣性永續發展行動計畫）之列管，</w:t>
      </w:r>
      <w:r w:rsidR="003C6B92" w:rsidRPr="004F7073">
        <w:rPr>
          <w:rFonts w:ascii="標楷體" w:eastAsia="標楷體" w:hAnsi="標楷體" w:hint="eastAsia"/>
          <w:color w:val="000000" w:themeColor="text1"/>
          <w:szCs w:val="24"/>
        </w:rPr>
        <w:t>截至113年3月31日止，</w:t>
      </w:r>
      <w:r w:rsidR="003C6B92">
        <w:rPr>
          <w:rFonts w:ascii="標楷體" w:eastAsia="標楷體" w:hAnsi="標楷體" w:hint="eastAsia"/>
          <w:color w:val="000000" w:themeColor="text1"/>
          <w:szCs w:val="24"/>
        </w:rPr>
        <w:t>尚</w:t>
      </w:r>
      <w:r w:rsidR="003C6B92" w:rsidRPr="00347CB1">
        <w:rPr>
          <w:rFonts w:ascii="標楷體" w:eastAsia="標楷體" w:hAnsi="標楷體" w:hint="eastAsia"/>
          <w:color w:val="000000" w:themeColor="text1"/>
          <w:szCs w:val="24"/>
        </w:rPr>
        <w:t>無</w:t>
      </w:r>
      <w:r w:rsidR="003C6B92">
        <w:rPr>
          <w:rFonts w:ascii="標楷體" w:eastAsia="標楷體" w:hAnsi="標楷體" w:hint="eastAsia"/>
          <w:color w:val="000000" w:themeColor="text1"/>
          <w:szCs w:val="24"/>
        </w:rPr>
        <w:t>機</w:t>
      </w:r>
      <w:r w:rsidR="003C6B92" w:rsidRPr="00347CB1">
        <w:rPr>
          <w:rFonts w:ascii="標楷體" w:eastAsia="標楷體" w:hAnsi="標楷體" w:hint="eastAsia"/>
          <w:color w:val="000000" w:themeColor="text1"/>
          <w:szCs w:val="24"/>
        </w:rPr>
        <w:t>關統籌規劃及管考政府推動生物多樣性執行情形，無從瞭解我國生物多樣性工作推動之全貌，亦未依據K</w:t>
      </w:r>
      <w:r w:rsidR="00D75AF8">
        <w:rPr>
          <w:rFonts w:ascii="標楷體" w:eastAsia="標楷體" w:hAnsi="標楷體" w:hint="eastAsia"/>
          <w:color w:val="000000" w:themeColor="text1"/>
          <w:szCs w:val="24"/>
        </w:rPr>
        <w:t>-</w:t>
      </w:r>
      <w:r w:rsidR="003C6B92" w:rsidRPr="00347CB1">
        <w:rPr>
          <w:rFonts w:ascii="標楷體" w:eastAsia="標楷體" w:hAnsi="標楷體" w:hint="eastAsia"/>
          <w:color w:val="000000" w:themeColor="text1"/>
          <w:szCs w:val="24"/>
        </w:rPr>
        <w:t>M GBF擬訂</w:t>
      </w:r>
      <w:r w:rsidR="003C6B92" w:rsidRPr="003C6B92">
        <w:rPr>
          <w:rFonts w:ascii="標楷體" w:eastAsia="標楷體" w:hAnsi="標楷體" w:hint="eastAsia"/>
          <w:color w:val="000000" w:themeColor="text1"/>
          <w:szCs w:val="24"/>
        </w:rPr>
        <w:t>國家生物多樣性策略與行動計畫（N</w:t>
      </w:r>
      <w:r w:rsidR="003C6B92" w:rsidRPr="003C6B92">
        <w:rPr>
          <w:rFonts w:ascii="標楷體" w:eastAsia="標楷體" w:hAnsi="標楷體"/>
          <w:color w:val="000000" w:themeColor="text1"/>
          <w:szCs w:val="24"/>
        </w:rPr>
        <w:t>ational Biodiversity Strategies and Action Plans, NBSAP</w:t>
      </w:r>
      <w:r w:rsidR="003C6B92" w:rsidRPr="003C6B92">
        <w:rPr>
          <w:rFonts w:ascii="標楷體" w:eastAsia="標楷體" w:hAnsi="標楷體" w:hint="eastAsia"/>
          <w:color w:val="000000" w:themeColor="text1"/>
          <w:szCs w:val="24"/>
        </w:rPr>
        <w:t>），不利生物多樣性工作之推動</w:t>
      </w:r>
      <w:r w:rsidR="00EE5E9C">
        <w:rPr>
          <w:rFonts w:ascii="標楷體" w:eastAsia="標楷體" w:hAnsi="標楷體" w:hint="eastAsia"/>
          <w:color w:val="000000" w:themeColor="text1"/>
          <w:szCs w:val="24"/>
        </w:rPr>
        <w:t>。</w:t>
      </w:r>
      <w:r w:rsidR="003C6B92" w:rsidRPr="003C6B92">
        <w:rPr>
          <w:rFonts w:ascii="標楷體" w:eastAsia="標楷體" w:hAnsi="標楷體" w:hint="eastAsia"/>
          <w:szCs w:val="24"/>
        </w:rPr>
        <w:t>經函請行政院研謀妥處並督促相關機關檢討改善，接軌國際生物多樣性</w:t>
      </w:r>
      <w:r w:rsidR="003C6B92" w:rsidRPr="003C6B92">
        <w:rPr>
          <w:rFonts w:ascii="標楷體" w:eastAsia="標楷體" w:hAnsi="標楷體" w:hint="eastAsia"/>
          <w:szCs w:val="24"/>
        </w:rPr>
        <w:lastRenderedPageBreak/>
        <w:t>推動趨勢，達成本土生物多樣性保育及永續利用。據復：已責成農業部</w:t>
      </w:r>
      <w:r w:rsidR="003C6B92" w:rsidRPr="003C6B92">
        <w:rPr>
          <w:rFonts w:ascii="標楷體" w:eastAsia="標楷體" w:hAnsi="標楷體"/>
          <w:szCs w:val="32"/>
        </w:rPr>
        <w:t>以原有生物多樣性推動方案與臺灣永續發展目標為基礎</w:t>
      </w:r>
      <w:r w:rsidR="003C6B92" w:rsidRPr="003C6B92">
        <w:rPr>
          <w:rFonts w:ascii="標楷體" w:eastAsia="標楷體" w:hAnsi="標楷體" w:hint="eastAsia"/>
          <w:szCs w:val="32"/>
        </w:rPr>
        <w:t>，</w:t>
      </w:r>
      <w:r w:rsidR="003C6B92" w:rsidRPr="003C6B92">
        <w:rPr>
          <w:rFonts w:ascii="標楷體" w:eastAsia="標楷體" w:hAnsi="標楷體"/>
          <w:szCs w:val="32"/>
        </w:rPr>
        <w:t>參考K-M GBF目標</w:t>
      </w:r>
      <w:r w:rsidR="003C6B92" w:rsidRPr="003C6B92">
        <w:rPr>
          <w:rFonts w:ascii="標楷體" w:eastAsia="標楷體" w:hAnsi="標楷體" w:hint="eastAsia"/>
          <w:szCs w:val="32"/>
        </w:rPr>
        <w:t>及</w:t>
      </w:r>
      <w:r w:rsidR="003C6B92" w:rsidRPr="003C6B92">
        <w:rPr>
          <w:rFonts w:ascii="標楷體" w:eastAsia="標楷體" w:hAnsi="標楷體"/>
          <w:szCs w:val="32"/>
        </w:rPr>
        <w:t>各國NBSAPs</w:t>
      </w:r>
      <w:r w:rsidR="003C6B92" w:rsidRPr="003C6B92">
        <w:rPr>
          <w:rFonts w:ascii="標楷體" w:eastAsia="標楷體" w:hAnsi="標楷體" w:hint="eastAsia"/>
          <w:szCs w:val="32"/>
        </w:rPr>
        <w:t>，</w:t>
      </w:r>
      <w:r w:rsidR="003C6B92" w:rsidRPr="003C6B92">
        <w:rPr>
          <w:rFonts w:ascii="標楷體" w:eastAsia="標楷體" w:hAnsi="標楷體"/>
          <w:szCs w:val="32"/>
        </w:rPr>
        <w:t>並彙整各部會相關政策計</w:t>
      </w:r>
      <w:r w:rsidR="003C6B92" w:rsidRPr="003C6B92">
        <w:rPr>
          <w:rFonts w:ascii="標楷體" w:eastAsia="標楷體" w:hAnsi="標楷體" w:hint="eastAsia"/>
          <w:szCs w:val="32"/>
        </w:rPr>
        <w:t>畫</w:t>
      </w:r>
      <w:r w:rsidR="003C6B92" w:rsidRPr="003C6B92">
        <w:rPr>
          <w:rFonts w:ascii="標楷體" w:eastAsia="標楷體" w:hAnsi="標楷體"/>
          <w:szCs w:val="32"/>
        </w:rPr>
        <w:t>及專家意見，</w:t>
      </w:r>
      <w:r w:rsidR="003C6B92" w:rsidRPr="003C6B92">
        <w:rPr>
          <w:rFonts w:ascii="標楷體" w:eastAsia="標楷體" w:hAnsi="標楷體" w:hint="eastAsia"/>
          <w:szCs w:val="32"/>
        </w:rPr>
        <w:t>研訂</w:t>
      </w:r>
      <w:r w:rsidR="003C6B92" w:rsidRPr="003C6B92">
        <w:rPr>
          <w:rFonts w:ascii="標楷體" w:eastAsia="標楷體" w:hAnsi="標楷體"/>
          <w:szCs w:val="32"/>
        </w:rPr>
        <w:t>我國</w:t>
      </w:r>
      <w:r w:rsidR="003C6B92" w:rsidRPr="003C6B92">
        <w:rPr>
          <w:rFonts w:ascii="標楷體" w:eastAsia="標楷體" w:hAnsi="標楷體"/>
        </w:rPr>
        <w:t>NBSAP</w:t>
      </w:r>
      <w:r w:rsidR="00506DDE">
        <w:rPr>
          <w:rFonts w:ascii="標楷體" w:eastAsia="標楷體" w:hAnsi="標楷體" w:hint="eastAsia"/>
          <w:szCs w:val="24"/>
        </w:rPr>
        <w:t>；</w:t>
      </w:r>
      <w:r w:rsidR="003C6B92" w:rsidRPr="003C6B92">
        <w:rPr>
          <w:rFonts w:ascii="標楷體" w:eastAsia="標楷體" w:hAnsi="標楷體" w:hint="eastAsia"/>
          <w:szCs w:val="24"/>
        </w:rPr>
        <w:t>另將研議於永續會架構下設置生物多樣性專案小組，由農業部擔任幕僚機關統籌推動我國生物多樣性保育工作。</w:t>
      </w:r>
    </w:p>
    <w:p w14:paraId="4359F2B3" w14:textId="6F705488" w:rsidR="003C6B92" w:rsidRPr="00AE49B4" w:rsidRDefault="003C6B92" w:rsidP="00E31547">
      <w:pPr>
        <w:overflowPunct w:val="0"/>
        <w:spacing w:line="440" w:lineRule="exact"/>
        <w:ind w:firstLineChars="450" w:firstLine="1081"/>
        <w:jc w:val="both"/>
        <w:rPr>
          <w:rFonts w:ascii="標楷體" w:eastAsia="標楷體" w:hAnsi="標楷體"/>
          <w:color w:val="000000" w:themeColor="text1"/>
          <w:szCs w:val="24"/>
        </w:rPr>
      </w:pPr>
      <w:r>
        <w:rPr>
          <w:rFonts w:ascii="標楷體" w:eastAsia="標楷體" w:hAnsi="標楷體" w:hint="eastAsia"/>
          <w:b/>
          <w:color w:val="000000" w:themeColor="text1"/>
          <w:szCs w:val="24"/>
        </w:rPr>
        <w:t>2.</w:t>
      </w:r>
      <w:r w:rsidRPr="009D11AD">
        <w:rPr>
          <w:rFonts w:ascii="標楷體" w:eastAsia="標楷體" w:hAnsi="標楷體" w:hint="eastAsia"/>
          <w:b/>
          <w:color w:val="000000"/>
          <w:szCs w:val="22"/>
        </w:rPr>
        <w:t xml:space="preserve">　</w:t>
      </w:r>
      <w:r w:rsidRPr="00AE49B4">
        <w:rPr>
          <w:rFonts w:ascii="標楷體" w:eastAsia="標楷體" w:hAnsi="標楷體" w:hint="eastAsia"/>
          <w:b/>
          <w:color w:val="000000" w:themeColor="text1"/>
          <w:szCs w:val="24"/>
        </w:rPr>
        <w:t>聯合國發布自然相關財務揭露（T</w:t>
      </w:r>
      <w:r w:rsidRPr="00AE49B4">
        <w:rPr>
          <w:rFonts w:ascii="標楷體" w:eastAsia="標楷體" w:hAnsi="標楷體"/>
          <w:b/>
          <w:color w:val="000000" w:themeColor="text1"/>
          <w:szCs w:val="24"/>
        </w:rPr>
        <w:t>NFD</w:t>
      </w:r>
      <w:r w:rsidRPr="00AE49B4">
        <w:rPr>
          <w:rFonts w:ascii="標楷體" w:eastAsia="標楷體" w:hAnsi="標楷體" w:hint="eastAsia"/>
          <w:b/>
          <w:color w:val="000000" w:themeColor="text1"/>
          <w:szCs w:val="24"/>
        </w:rPr>
        <w:t>），建立企業自然相關風險管理與揭露之一致性標準，惟我國尚無推動T</w:t>
      </w:r>
      <w:r w:rsidRPr="00AE49B4">
        <w:rPr>
          <w:rFonts w:ascii="標楷體" w:eastAsia="標楷體" w:hAnsi="標楷體"/>
          <w:b/>
          <w:color w:val="000000" w:themeColor="text1"/>
          <w:szCs w:val="24"/>
        </w:rPr>
        <w:t>NFD</w:t>
      </w:r>
      <w:r w:rsidRPr="00AE49B4">
        <w:rPr>
          <w:rFonts w:ascii="標楷體" w:eastAsia="標楷體" w:hAnsi="標楷體" w:hint="eastAsia"/>
          <w:b/>
          <w:color w:val="000000" w:themeColor="text1"/>
          <w:szCs w:val="24"/>
        </w:rPr>
        <w:t>之具體策略及揭露指引，允宜督促相關機關研議辦理，以共同維護生物多樣性，並回應國際社會對於企業責任之期待：</w:t>
      </w:r>
      <w:r w:rsidRPr="00AE49B4">
        <w:rPr>
          <w:rFonts w:ascii="標楷體" w:eastAsia="標楷體" w:hAnsi="標楷體"/>
          <w:color w:val="000000" w:themeColor="text1"/>
          <w:szCs w:val="24"/>
        </w:rPr>
        <w:t>K</w:t>
      </w:r>
      <w:r w:rsidR="00251D75">
        <w:rPr>
          <w:rFonts w:ascii="標楷體" w:eastAsia="標楷體" w:hAnsi="標楷體" w:hint="eastAsia"/>
          <w:color w:val="000000" w:themeColor="text1"/>
          <w:szCs w:val="24"/>
        </w:rPr>
        <w:t>-</w:t>
      </w:r>
      <w:r w:rsidRPr="00AE49B4">
        <w:rPr>
          <w:rFonts w:ascii="標楷體" w:eastAsia="標楷體" w:hAnsi="標楷體"/>
          <w:color w:val="000000" w:themeColor="text1"/>
          <w:szCs w:val="24"/>
        </w:rPr>
        <w:t>M GBF 23</w:t>
      </w:r>
      <w:r w:rsidRPr="00AE49B4">
        <w:rPr>
          <w:rFonts w:ascii="標楷體" w:eastAsia="標楷體" w:hAnsi="標楷體" w:hint="eastAsia"/>
          <w:color w:val="000000" w:themeColor="text1"/>
          <w:szCs w:val="24"/>
        </w:rPr>
        <w:t>項短期行動目標之第</w:t>
      </w:r>
      <w:r w:rsidRPr="00AE49B4">
        <w:rPr>
          <w:rFonts w:ascii="標楷體" w:eastAsia="標楷體" w:hAnsi="標楷體"/>
          <w:color w:val="000000" w:themeColor="text1"/>
          <w:szCs w:val="24"/>
        </w:rPr>
        <w:t>15</w:t>
      </w:r>
      <w:r w:rsidRPr="00AE49B4">
        <w:rPr>
          <w:rFonts w:ascii="標楷體" w:eastAsia="標楷體" w:hAnsi="標楷體" w:hint="eastAsia"/>
          <w:color w:val="000000" w:themeColor="text1"/>
          <w:szCs w:val="24"/>
        </w:rPr>
        <w:t>項「企業責任」，明確指出「企業應定期監測、評估和透明地披露其對生物多樣性的風險、依賴程度和影響，以逐步減少對生物多樣性之負面影響，增加正面效益，降低企業和金融機構的生物多樣性風險，並促進有利於永續生產模式的措施。」顯見自然保育不再只是政府機關之職責，企業與私部門之參與及投入，將成為影響生物多樣性保育工作成敗之重要關鍵。近年聯合國亦積極推動自然相關財務揭露</w:t>
      </w:r>
      <w:r w:rsidRPr="00AE49B4">
        <w:rPr>
          <w:rFonts w:ascii="標楷體" w:eastAsia="標楷體" w:hAnsi="標楷體"/>
          <w:color w:val="000000" w:themeColor="text1"/>
          <w:szCs w:val="24"/>
        </w:rPr>
        <w:t>（The Taskforce on Nature</w:t>
      </w:r>
      <w:r w:rsidR="00251D75">
        <w:rPr>
          <w:rFonts w:ascii="標楷體" w:eastAsia="標楷體" w:hAnsi="標楷體" w:hint="eastAsia"/>
          <w:color w:val="000000" w:themeColor="text1"/>
          <w:szCs w:val="24"/>
        </w:rPr>
        <w:t>-</w:t>
      </w:r>
      <w:r w:rsidRPr="00AE49B4">
        <w:rPr>
          <w:rFonts w:ascii="標楷體" w:eastAsia="標楷體" w:hAnsi="標楷體"/>
          <w:color w:val="000000" w:themeColor="text1"/>
          <w:szCs w:val="24"/>
        </w:rPr>
        <w:t>related Financial Disclosures</w:t>
      </w:r>
      <w:r w:rsidRPr="00AE49B4">
        <w:rPr>
          <w:rFonts w:ascii="標楷體" w:eastAsia="標楷體" w:hAnsi="標楷體" w:hint="eastAsia"/>
          <w:color w:val="000000" w:themeColor="text1"/>
          <w:szCs w:val="24"/>
        </w:rPr>
        <w:t>,</w:t>
      </w:r>
      <w:r w:rsidRPr="00AE49B4">
        <w:rPr>
          <w:rFonts w:ascii="標楷體" w:eastAsia="標楷體" w:hAnsi="標楷體"/>
          <w:color w:val="000000" w:themeColor="text1"/>
          <w:szCs w:val="24"/>
        </w:rPr>
        <w:t xml:space="preserve"> TNFD）</w:t>
      </w:r>
      <w:r w:rsidRPr="00AE49B4">
        <w:rPr>
          <w:rFonts w:ascii="標楷體" w:eastAsia="標楷體" w:hAnsi="標楷體" w:hint="eastAsia"/>
          <w:color w:val="000000" w:themeColor="text1"/>
          <w:szCs w:val="24"/>
        </w:rPr>
        <w:t>，並於</w:t>
      </w:r>
      <w:r w:rsidRPr="00AE49B4">
        <w:rPr>
          <w:rFonts w:ascii="標楷體" w:eastAsia="標楷體" w:hAnsi="標楷體"/>
          <w:color w:val="000000" w:themeColor="text1"/>
          <w:szCs w:val="24"/>
        </w:rPr>
        <w:t>2023</w:t>
      </w:r>
      <w:r w:rsidRPr="00AE49B4">
        <w:rPr>
          <w:rFonts w:ascii="標楷體" w:eastAsia="標楷體" w:hAnsi="標楷體" w:hint="eastAsia"/>
          <w:color w:val="000000" w:themeColor="text1"/>
          <w:szCs w:val="24"/>
        </w:rPr>
        <w:t>年</w:t>
      </w:r>
      <w:r w:rsidRPr="00AE49B4">
        <w:rPr>
          <w:rFonts w:ascii="標楷體" w:eastAsia="標楷體" w:hAnsi="標楷體"/>
          <w:color w:val="000000" w:themeColor="text1"/>
          <w:szCs w:val="24"/>
        </w:rPr>
        <w:t>9</w:t>
      </w:r>
      <w:r w:rsidRPr="00AE49B4">
        <w:rPr>
          <w:rFonts w:ascii="標楷體" w:eastAsia="標楷體" w:hAnsi="標楷體" w:hint="eastAsia"/>
          <w:color w:val="000000" w:themeColor="text1"/>
          <w:szCs w:val="24"/>
        </w:rPr>
        <w:t>月正式發布T</w:t>
      </w:r>
      <w:r w:rsidRPr="00AE49B4">
        <w:rPr>
          <w:rFonts w:ascii="標楷體" w:eastAsia="標楷體" w:hAnsi="標楷體"/>
          <w:color w:val="000000" w:themeColor="text1"/>
          <w:szCs w:val="24"/>
        </w:rPr>
        <w:t>NFD</w:t>
      </w:r>
      <w:r w:rsidRPr="00AE49B4">
        <w:rPr>
          <w:rFonts w:ascii="標楷體" w:eastAsia="標楷體" w:hAnsi="標楷體" w:hint="eastAsia"/>
          <w:color w:val="000000" w:themeColor="text1"/>
          <w:szCs w:val="24"/>
        </w:rPr>
        <w:t>框架，為自然相關風險管理與揭露建立具一致性之標準，協助企業可使用該框架來識別、評判、管理及揭露與自然相關之依存度、影響、風險和機會，將成為各企業環境、社會及治理（ESG）報告編撰之重要依循。經查金融監督管理委員會為配合國際發展趨勢，強化公司推動永續發展執行情形及氣候變遷等議題之資訊揭露透明度，已於公開發行公司年報應行記載事項準則第1</w:t>
      </w:r>
      <w:r w:rsidRPr="00AE49B4">
        <w:rPr>
          <w:rFonts w:ascii="標楷體" w:eastAsia="標楷體" w:hAnsi="標楷體"/>
          <w:color w:val="000000" w:themeColor="text1"/>
          <w:szCs w:val="24"/>
        </w:rPr>
        <w:t>0</w:t>
      </w:r>
      <w:r w:rsidRPr="00AE49B4">
        <w:rPr>
          <w:rFonts w:ascii="標楷體" w:eastAsia="標楷體" w:hAnsi="標楷體" w:hint="eastAsia"/>
          <w:color w:val="000000" w:themeColor="text1"/>
          <w:szCs w:val="24"/>
        </w:rPr>
        <w:t>條規定，公司治理報告應揭露相關資訊，並訂定資訊揭露指引，</w:t>
      </w:r>
      <w:r w:rsidRPr="00AE49B4">
        <w:rPr>
          <w:rFonts w:ascii="標楷體" w:eastAsia="標楷體" w:hAnsi="標楷體"/>
          <w:color w:val="000000" w:themeColor="text1"/>
          <w:szCs w:val="24"/>
        </w:rPr>
        <w:t>引導公司揭露重要之環境及社會議題</w:t>
      </w:r>
      <w:r w:rsidRPr="00AE49B4">
        <w:rPr>
          <w:rFonts w:ascii="標楷體" w:eastAsia="標楷體" w:hAnsi="標楷體" w:hint="eastAsia"/>
          <w:color w:val="000000" w:themeColor="text1"/>
          <w:szCs w:val="24"/>
        </w:rPr>
        <w:t>暨氣候、</w:t>
      </w:r>
      <w:r w:rsidRPr="00AE49B4">
        <w:rPr>
          <w:rFonts w:ascii="標楷體" w:eastAsia="標楷體" w:hAnsi="標楷體"/>
          <w:color w:val="000000" w:themeColor="text1"/>
          <w:szCs w:val="24"/>
        </w:rPr>
        <w:t>溫室氣體盤查及確信情形</w:t>
      </w:r>
      <w:r w:rsidRPr="00AE49B4">
        <w:rPr>
          <w:rFonts w:ascii="標楷體" w:eastAsia="標楷體" w:hAnsi="標楷體" w:hint="eastAsia"/>
          <w:color w:val="000000" w:themeColor="text1"/>
          <w:szCs w:val="24"/>
        </w:rPr>
        <w:t>等資訊，惟尚無T</w:t>
      </w:r>
      <w:r w:rsidRPr="00AE49B4">
        <w:rPr>
          <w:rFonts w:ascii="標楷體" w:eastAsia="標楷體" w:hAnsi="標楷體"/>
          <w:color w:val="000000" w:themeColor="text1"/>
          <w:szCs w:val="24"/>
        </w:rPr>
        <w:t>NFD</w:t>
      </w:r>
      <w:r w:rsidRPr="00AE49B4">
        <w:rPr>
          <w:rFonts w:ascii="標楷體" w:eastAsia="標楷體" w:hAnsi="標楷體" w:hint="eastAsia"/>
          <w:color w:val="000000" w:themeColor="text1"/>
          <w:szCs w:val="24"/>
        </w:rPr>
        <w:t>揭露之規範，為協助我國企業</w:t>
      </w:r>
      <w:r w:rsidRPr="00AE49B4">
        <w:rPr>
          <w:rFonts w:ascii="新細明體" w:hAnsi="新細明體" w:hint="eastAsia"/>
          <w:color w:val="000000" w:themeColor="text1"/>
          <w:szCs w:val="24"/>
        </w:rPr>
        <w:t>、</w:t>
      </w:r>
      <w:r w:rsidRPr="00AE49B4">
        <w:rPr>
          <w:rFonts w:ascii="標楷體" w:eastAsia="標楷體" w:hAnsi="標楷體" w:hint="eastAsia"/>
          <w:color w:val="000000" w:themeColor="text1"/>
          <w:szCs w:val="24"/>
        </w:rPr>
        <w:t>金融機構因應及發展與自然相關之風險評估及管理作法，有待研議推動T</w:t>
      </w:r>
      <w:r w:rsidRPr="00AE49B4">
        <w:rPr>
          <w:rFonts w:ascii="標楷體" w:eastAsia="標楷體" w:hAnsi="標楷體"/>
          <w:color w:val="000000" w:themeColor="text1"/>
          <w:szCs w:val="24"/>
        </w:rPr>
        <w:t>NFD</w:t>
      </w:r>
      <w:r w:rsidRPr="00AE49B4">
        <w:rPr>
          <w:rFonts w:ascii="標楷體" w:eastAsia="標楷體" w:hAnsi="標楷體" w:hint="eastAsia"/>
          <w:color w:val="000000" w:themeColor="text1"/>
          <w:szCs w:val="24"/>
        </w:rPr>
        <w:t>之具體策略及揭露指引，以供我國企業與金融機構參考。另因應T</w:t>
      </w:r>
      <w:r w:rsidRPr="00AE49B4">
        <w:rPr>
          <w:rFonts w:ascii="標楷體" w:eastAsia="標楷體" w:hAnsi="標楷體"/>
          <w:color w:val="000000" w:themeColor="text1"/>
          <w:szCs w:val="24"/>
        </w:rPr>
        <w:t>NFD</w:t>
      </w:r>
      <w:r w:rsidRPr="00AE49B4">
        <w:rPr>
          <w:rFonts w:ascii="標楷體" w:eastAsia="標楷體" w:hAnsi="標楷體" w:hint="eastAsia"/>
          <w:color w:val="000000" w:themeColor="text1"/>
          <w:szCs w:val="24"/>
        </w:rPr>
        <w:t>之發布，企業將揭露其組織經營或生產鏈中對於生物多樣性資源之利用，影響與補償，惟如何引導企業理解並善用農業部或其他部會既有之生態資料與政策工具</w:t>
      </w:r>
      <w:r w:rsidRPr="00AE49B4">
        <w:rPr>
          <w:rFonts w:ascii="標楷體" w:eastAsia="標楷體" w:hAnsi="標楷體" w:hint="eastAsia"/>
          <w:szCs w:val="24"/>
        </w:rPr>
        <w:t>（如農業部辦理國土生態保育綠色網絡建置計畫，已完成全臺尺度國土保育空間指認及策略規劃，可提供企業瞭解生產基地周邊生態及投入ESG與生物多樣性之空間資訊，亦已針對瀕危物種擬訂保育行動計畫，以發揮保護物種之效益等）</w:t>
      </w:r>
      <w:r w:rsidRPr="00AE49B4">
        <w:rPr>
          <w:rFonts w:ascii="標楷體" w:eastAsia="標楷體" w:hAnsi="標楷體" w:hint="eastAsia"/>
          <w:color w:val="000000" w:themeColor="text1"/>
          <w:szCs w:val="24"/>
        </w:rPr>
        <w:t>，將自然與生物多樣性議題納入企業經營與融資之考量，以促進公私部門間資源整合，亦有待相關機關研議建立相關指引，引導企業投入生物多樣性保育工作。經函請行政院督促相關機關研議辦理，以共同維護生物多樣性，並回應國際社會對於企業責任之期待。</w:t>
      </w:r>
      <w:r w:rsidRPr="003C6B92">
        <w:rPr>
          <w:rFonts w:ascii="標楷體" w:eastAsia="標楷體" w:hAnsi="標楷體" w:hint="eastAsia"/>
          <w:color w:val="000000" w:themeColor="text1"/>
          <w:szCs w:val="24"/>
        </w:rPr>
        <w:t>據復：</w:t>
      </w:r>
      <w:r w:rsidRPr="003C6B92">
        <w:rPr>
          <w:rFonts w:ascii="標楷體" w:eastAsia="標楷體" w:hAnsi="標楷體" w:hint="eastAsia"/>
          <w:bCs/>
          <w:color w:val="000000" w:themeColor="text1"/>
          <w:szCs w:val="24"/>
        </w:rPr>
        <w:t>金融監督管理委員會已委外研析TNFD之建議，作為後續政策研議之參考，另農業部亦已啟動建立</w:t>
      </w:r>
      <w:r w:rsidRPr="003C6B92">
        <w:rPr>
          <w:rFonts w:ascii="標楷體" w:eastAsia="標楷體" w:hAnsi="標楷體"/>
          <w:color w:val="000000" w:themeColor="text1"/>
          <w:szCs w:val="24"/>
        </w:rPr>
        <w:t>我國企業TNFD</w:t>
      </w:r>
      <w:r w:rsidRPr="003C6B92">
        <w:rPr>
          <w:rFonts w:ascii="標楷體" w:eastAsia="標楷體" w:hAnsi="標楷體" w:hint="eastAsia"/>
          <w:color w:val="000000" w:themeColor="text1"/>
          <w:szCs w:val="24"/>
        </w:rPr>
        <w:t>在地</w:t>
      </w:r>
      <w:r w:rsidRPr="003C6B92">
        <w:rPr>
          <w:rFonts w:ascii="標楷體" w:eastAsia="標楷體" w:hAnsi="標楷體"/>
          <w:color w:val="000000" w:themeColor="text1"/>
          <w:szCs w:val="24"/>
        </w:rPr>
        <w:t>操作指引</w:t>
      </w:r>
      <w:r w:rsidRPr="003C6B92">
        <w:rPr>
          <w:rFonts w:ascii="標楷體" w:eastAsia="標楷體" w:hAnsi="標楷體" w:hint="eastAsia"/>
          <w:color w:val="000000" w:themeColor="text1"/>
          <w:szCs w:val="24"/>
        </w:rPr>
        <w:t>，</w:t>
      </w:r>
      <w:r w:rsidRPr="003C6B92">
        <w:rPr>
          <w:rFonts w:ascii="標楷體" w:eastAsia="標楷體" w:hAnsi="標楷體"/>
          <w:color w:val="000000" w:themeColor="text1"/>
          <w:szCs w:val="24"/>
        </w:rPr>
        <w:t>行政院將持續督促上開機關</w:t>
      </w:r>
      <w:r w:rsidRPr="003C6B92">
        <w:rPr>
          <w:rFonts w:ascii="標楷體" w:eastAsia="標楷體" w:hAnsi="標楷體" w:hint="eastAsia"/>
          <w:color w:val="000000" w:themeColor="text1"/>
          <w:szCs w:val="24"/>
        </w:rPr>
        <w:t>密切合作，以確保相關制度與指引之可行性，</w:t>
      </w:r>
      <w:r w:rsidRPr="003C6B92">
        <w:rPr>
          <w:rFonts w:ascii="標楷體" w:eastAsia="標楷體" w:hAnsi="標楷體"/>
          <w:color w:val="000000" w:themeColor="text1"/>
          <w:szCs w:val="24"/>
        </w:rPr>
        <w:t>完善公私協力維護生物多樣性與永續發展</w:t>
      </w:r>
      <w:r w:rsidRPr="003C6B92">
        <w:rPr>
          <w:rFonts w:ascii="標楷體" w:eastAsia="標楷體" w:hAnsi="標楷體" w:hint="eastAsia"/>
          <w:color w:val="000000" w:themeColor="text1"/>
          <w:szCs w:val="24"/>
        </w:rPr>
        <w:t>之企業自然揭露政策</w:t>
      </w:r>
      <w:r w:rsidRPr="003C6B92">
        <w:rPr>
          <w:rFonts w:ascii="標楷體" w:eastAsia="標楷體" w:hAnsi="標楷體"/>
          <w:color w:val="000000" w:themeColor="text1"/>
          <w:szCs w:val="24"/>
        </w:rPr>
        <w:t>。</w:t>
      </w:r>
    </w:p>
    <w:p w14:paraId="647F44CD" w14:textId="347AA1A3" w:rsidR="002C60C1" w:rsidRPr="002C60C1" w:rsidRDefault="002C60C1" w:rsidP="008A2E51">
      <w:pPr>
        <w:overflowPunct w:val="0"/>
        <w:spacing w:beforeLines="20" w:before="72" w:afterLines="20" w:after="72" w:line="430" w:lineRule="exact"/>
        <w:ind w:firstLineChars="200" w:firstLine="561"/>
        <w:jc w:val="both"/>
        <w:outlineLvl w:val="1"/>
        <w:rPr>
          <w:rFonts w:ascii="標楷體" w:eastAsia="標楷體" w:hAnsi="標楷體"/>
          <w:sz w:val="28"/>
          <w:szCs w:val="32"/>
        </w:rPr>
      </w:pPr>
      <w:bookmarkStart w:id="6" w:name="_Toc482878350"/>
      <w:bookmarkStart w:id="7" w:name="_Toc483384669"/>
      <w:bookmarkStart w:id="8" w:name="_Toc486081631"/>
      <w:bookmarkStart w:id="9" w:name="_Toc486681964"/>
      <w:bookmarkStart w:id="10" w:name="_Toc487033686"/>
      <w:bookmarkStart w:id="11" w:name="_Toc486081632"/>
      <w:r w:rsidRPr="00301A4D">
        <w:rPr>
          <w:rFonts w:ascii="標楷體" w:eastAsia="標楷體" w:hAnsi="標楷體" w:cstheme="majorBidi" w:hint="eastAsia"/>
          <w:b/>
          <w:bCs/>
          <w:sz w:val="28"/>
          <w:szCs w:val="32"/>
        </w:rPr>
        <w:t xml:space="preserve">（十）　</w:t>
      </w:r>
      <w:r w:rsidRPr="00301A4D">
        <w:rPr>
          <w:rFonts w:ascii="標楷體" w:eastAsia="標楷體" w:hAnsi="標楷體" w:hint="eastAsia"/>
          <w:b/>
          <w:sz w:val="28"/>
          <w:szCs w:val="32"/>
        </w:rPr>
        <w:t>我國已將綠色金融納入淨零轉型關鍵戰略，惟永續金融生態系之建</w:t>
      </w:r>
      <w:r w:rsidRPr="002C60C1">
        <w:rPr>
          <w:rFonts w:ascii="標楷體" w:eastAsia="標楷體" w:hAnsi="標楷體" w:hint="eastAsia"/>
          <w:b/>
          <w:sz w:val="28"/>
          <w:szCs w:val="32"/>
        </w:rPr>
        <w:lastRenderedPageBreak/>
        <w:t>構仍待相關部會共同推動，且各級政府發行永續債券檔數及金額仍低，又國營事業尚未規劃導入國際永續揭露準則，允宜研謀因應，以利深化我國永續發展與淨零轉型。</w:t>
      </w:r>
    </w:p>
    <w:p w14:paraId="017F49EA" w14:textId="77777777" w:rsidR="002C60C1" w:rsidRPr="002C60C1" w:rsidRDefault="002C60C1" w:rsidP="002C60C1">
      <w:pPr>
        <w:overflowPunct w:val="0"/>
        <w:spacing w:line="430" w:lineRule="exact"/>
        <w:ind w:firstLineChars="200" w:firstLine="480"/>
        <w:jc w:val="both"/>
        <w:rPr>
          <w:rFonts w:ascii="標楷體" w:eastAsia="標楷體" w:hAnsi="標楷體" w:cstheme="minorBidi"/>
          <w:szCs w:val="32"/>
        </w:rPr>
      </w:pPr>
      <w:r w:rsidRPr="002C60C1">
        <w:rPr>
          <w:rFonts w:ascii="標楷體" w:eastAsia="標楷體" w:hAnsi="標楷體" w:cstheme="minorBidi" w:hint="eastAsia"/>
          <w:szCs w:val="32"/>
        </w:rPr>
        <w:t>金融監督管理委員會（下稱金管會）為配合我國「2050 淨零排放路徑」，發揮綠色金融機制與影響力，於112年4月研訂臺灣2050淨零轉型「綠色金融」關鍵戰略行動計畫，規劃透過協力深化永續發展、推動整體產業減碳、強化氣候韌性與因應風險能力等策略，將資金導引至符合環境永續之企業，進而支持我國邁向淨零轉型之目標。經查綠色金融關鍵戰略推動情形，核有下列事項：</w:t>
      </w:r>
    </w:p>
    <w:p w14:paraId="0B433688" w14:textId="17658B3E" w:rsidR="002C60C1" w:rsidRPr="002C60C1" w:rsidRDefault="002C60C1" w:rsidP="0088396D">
      <w:pPr>
        <w:overflowPunct w:val="0"/>
        <w:spacing w:line="440" w:lineRule="exact"/>
        <w:ind w:firstLineChars="450" w:firstLine="1081"/>
        <w:jc w:val="both"/>
        <w:rPr>
          <w:rFonts w:ascii="標楷體" w:eastAsia="標楷體" w:hAnsi="標楷體" w:cstheme="minorBidi"/>
          <w:szCs w:val="32"/>
        </w:rPr>
      </w:pPr>
      <w:r w:rsidRPr="002C60C1">
        <w:rPr>
          <w:rFonts w:ascii="標楷體" w:eastAsia="標楷體" w:hAnsi="標楷體" w:cstheme="minorBidi" w:hint="eastAsia"/>
          <w:b/>
          <w:szCs w:val="32"/>
        </w:rPr>
        <w:t>1.　氣候風險評估及企業碳盤查資訊揭露與查證等永續金融生態系之建構，有待由相關部會共同推動，以深化我國永續發展與淨零轉型：</w:t>
      </w:r>
      <w:r w:rsidRPr="002C60C1">
        <w:rPr>
          <w:rFonts w:ascii="標楷體" w:eastAsia="標楷體" w:hAnsi="標楷體" w:cstheme="minorBidi" w:hint="eastAsia"/>
          <w:szCs w:val="32"/>
        </w:rPr>
        <w:t>據聯合國環境署（United Nations Environment Programme, UNEP）定義，綠色金融係指提高公、私營部門及非營利組織永續資金流動，有效帶動環境效益及經濟回報率，並藉由政府、民眾及企業等各界之良好夥伴關係，完善永續金融生態系。經查我國綠色金融關鍵戰略行動計畫雖涵蓋佈局、資金、資料、培力及生態系等多元化面向，惟囿於經濟部主管之中小企業溫室氣體（碳）盤查資訊取得不易，其推動對象僅有金融機構及上市櫃公司，且「建置企業ESG資料平臺」等具體推動措施，僅係由金管會及其周邊單位辦理，又永續經濟活動之定義與量化技術篩選標準、氣候相關資料之整合等事項，涉及能源、水資源、廢棄物管理等目的事業主管機關之權責，然未比照「節能」等其他關鍵戰略行動計畫，訂有各部會需配合之具體推動措施，亦未參照鄰近之日本係由金融廳、經濟產業省及環境省等，跨部會共同研究制訂氣候轉型融資基本方針，顯示政府相關部會跨域協力合作之規劃及辦理存有改善空間。鑑於永續金融之推動除涉及金融業之投融資及資本市場之籌資外，氣候實體及轉型風險之評估尚需整合</w:t>
      </w:r>
      <w:r w:rsidR="00251D75">
        <w:rPr>
          <w:rFonts w:ascii="標楷體" w:eastAsia="標楷體" w:hAnsi="標楷體" w:cstheme="minorBidi" w:hint="eastAsia"/>
          <w:szCs w:val="32"/>
        </w:rPr>
        <w:t>交通部中央</w:t>
      </w:r>
      <w:r w:rsidRPr="002C60C1">
        <w:rPr>
          <w:rFonts w:ascii="標楷體" w:eastAsia="標楷體" w:hAnsi="標楷體" w:cstheme="minorBidi" w:hint="eastAsia"/>
          <w:szCs w:val="32"/>
        </w:rPr>
        <w:t>氣象署等其他部會之原始資料，又中小企業溫室氣體（碳）盤查資訊之揭露與查證制度涉及經濟部權責，經函請行政院督促相關部會共同推動，以利確實引導資金支援永續產業，深化我國永續發展並邁向淨零轉型之目標。</w:t>
      </w:r>
      <w:r w:rsidRPr="004D7C92">
        <w:rPr>
          <w:rFonts w:ascii="標楷體" w:eastAsia="標楷體" w:hAnsi="標楷體" w:cstheme="minorBidi" w:hint="eastAsia"/>
          <w:szCs w:val="32"/>
        </w:rPr>
        <w:t>據復：</w:t>
      </w:r>
      <w:r w:rsidR="00351E4B" w:rsidRPr="004D7C92">
        <w:rPr>
          <w:rFonts w:ascii="標楷體" w:eastAsia="標楷體" w:hAnsi="標楷體" w:cstheme="minorBidi" w:hint="eastAsia"/>
          <w:szCs w:val="32"/>
        </w:rPr>
        <w:t>已督促金管會、經濟部、交通部及環境部等部會持續共同合作推動綠色金融，執行溫室氣體排放盤查作業，及我國接軌國際財務報導準則（</w:t>
      </w:r>
      <w:r w:rsidR="00351E4B" w:rsidRPr="004D7C92">
        <w:rPr>
          <w:rFonts w:ascii="標楷體" w:eastAsia="標楷體" w:hAnsi="標楷體" w:cstheme="minorBidi"/>
          <w:szCs w:val="32"/>
        </w:rPr>
        <w:t>IFRS）永續揭露準則之導入工作，並與我國產業公協會及關鍵業者溝通。</w:t>
      </w:r>
    </w:p>
    <w:p w14:paraId="2C8FAC71" w14:textId="11C1F53F" w:rsidR="002C60C1" w:rsidRPr="002C60C1" w:rsidRDefault="002C60C1" w:rsidP="00E31547">
      <w:pPr>
        <w:overflowPunct w:val="0"/>
        <w:spacing w:line="460" w:lineRule="exact"/>
        <w:ind w:firstLineChars="450" w:firstLine="1081"/>
        <w:jc w:val="both"/>
        <w:rPr>
          <w:rFonts w:ascii="標楷體" w:eastAsia="標楷體" w:hAnsi="標楷體" w:cstheme="minorBidi"/>
          <w:szCs w:val="32"/>
        </w:rPr>
      </w:pPr>
      <w:r w:rsidRPr="002C60C1">
        <w:rPr>
          <w:rFonts w:ascii="標楷體" w:eastAsia="標楷體" w:hAnsi="標楷體" w:cstheme="minorBidi" w:hint="eastAsia"/>
          <w:b/>
          <w:szCs w:val="32"/>
        </w:rPr>
        <w:t>2.　政府已建構永續發展債券櫃檯買賣制度，惟各級政府及國營銀行發行檔數及金額極低：</w:t>
      </w:r>
      <w:r w:rsidRPr="002C60C1">
        <w:rPr>
          <w:rFonts w:ascii="標楷體" w:eastAsia="標楷體" w:hAnsi="標楷體" w:cstheme="minorBidi" w:hint="eastAsia"/>
          <w:szCs w:val="32"/>
        </w:rPr>
        <w:t>政府為引導資金投入有利促進環境及社會發展之永續專項計畫，由金管會於110年4月27日核備永續發展債券作業要點，依該要點第4條規定，發行人發行政府債券（中央或地方政府公債）、普通公司債、金融債券等有價證券，得向財團法人證券櫃檯買賣中心（下稱櫃買中心）申請永續發展債券資格認可。經查政府為建構國內永續發展債券市場及協助中央及地方各機關</w:t>
      </w:r>
      <w:r w:rsidRPr="002C60C1">
        <w:rPr>
          <w:rFonts w:ascii="標楷體" w:eastAsia="標楷體" w:hAnsi="標楷體" w:cstheme="minorBidi" w:hint="eastAsia"/>
          <w:szCs w:val="32"/>
        </w:rPr>
        <w:lastRenderedPageBreak/>
        <w:t>籌措永續發展所需資金，除由金管會督導櫃買中心透過提供國際間永續政府債券發行案例，積極推動永續發展政府債券外，行政院主計總處亦將永續發展債券增列為籌措融資來源之</w:t>
      </w:r>
      <w:r w:rsidRPr="002C60C1">
        <w:rPr>
          <w:rFonts w:ascii="標楷體" w:eastAsia="標楷體" w:hAnsi="標楷體" w:cstheme="minorBidi" w:hint="eastAsia"/>
          <w:spacing w:val="-2"/>
          <w:szCs w:val="32"/>
        </w:rPr>
        <w:t>選項，另財政部考量永續發展債券可降低政府融資成本，於113年1月函請臺北市政府等22個地</w:t>
      </w:r>
      <w:r w:rsidRPr="00222A61">
        <w:rPr>
          <w:rFonts w:ascii="標楷體" w:eastAsia="標楷體" w:hAnsi="標楷體" w:cstheme="minorBidi" w:hint="eastAsia"/>
          <w:spacing w:val="-2"/>
          <w:szCs w:val="32"/>
        </w:rPr>
        <w:t>方政府優先考量發行永續發展政府債券。惟據櫃買中心資料分析，截至</w:t>
      </w:r>
      <w:r w:rsidRPr="00222A61">
        <w:rPr>
          <w:rFonts w:ascii="標楷體" w:eastAsia="標楷體" w:hAnsi="標楷體" w:cstheme="minorBidi"/>
          <w:spacing w:val="-2"/>
          <w:szCs w:val="32"/>
        </w:rPr>
        <w:t>113年3月底止，中央政</w:t>
      </w:r>
      <w:r w:rsidRPr="002C60C1">
        <w:rPr>
          <w:rFonts w:ascii="標楷體" w:eastAsia="標楷體" w:hAnsi="標楷體" w:cstheme="minorBidi" w:hint="eastAsia"/>
          <w:spacing w:val="-2"/>
          <w:szCs w:val="32"/>
        </w:rPr>
        <w:t>府各部會與22個市縣政府（含6個直轄市、13個縣及3個市），僅臺北市及高雄市政府各發行6檔（社會責任債券）及1檔（綠色債券），發行總額為120億元（</w:t>
      </w:r>
      <w:r w:rsidRPr="006678C5">
        <w:rPr>
          <w:rFonts w:ascii="標楷體" w:eastAsia="標楷體" w:hAnsi="標楷體" w:cstheme="minorBidi" w:hint="eastAsia"/>
          <w:color w:val="000000" w:themeColor="text1"/>
          <w:spacing w:val="-2"/>
          <w:szCs w:val="32"/>
        </w:rPr>
        <w:t>表1</w:t>
      </w:r>
      <w:r w:rsidR="00D60F85" w:rsidRPr="006678C5">
        <w:rPr>
          <w:rFonts w:ascii="標楷體" w:eastAsia="標楷體" w:hAnsi="標楷體" w:cstheme="minorBidi" w:hint="eastAsia"/>
          <w:color w:val="000000" w:themeColor="text1"/>
          <w:spacing w:val="-2"/>
          <w:szCs w:val="32"/>
        </w:rPr>
        <w:t>6</w:t>
      </w:r>
      <w:r w:rsidRPr="002C60C1">
        <w:rPr>
          <w:rFonts w:ascii="標楷體" w:eastAsia="標楷體" w:hAnsi="標楷體" w:cstheme="minorBidi" w:hint="eastAsia"/>
          <w:spacing w:val="-2"/>
          <w:szCs w:val="32"/>
        </w:rPr>
        <w:t>），各級政府發行永續發</w:t>
      </w:r>
      <w:r w:rsidR="00351E4B" w:rsidRPr="002C60C1">
        <w:rPr>
          <w:rFonts w:ascii="標楷體" w:eastAsia="標楷體" w:hAnsi="標楷體" w:cstheme="minorBidi" w:hint="eastAsia"/>
          <w:noProof/>
          <w:spacing w:val="-2"/>
          <w:sz w:val="32"/>
          <w:szCs w:val="32"/>
        </w:rPr>
        <mc:AlternateContent>
          <mc:Choice Requires="wps">
            <w:drawing>
              <wp:anchor distT="0" distB="0" distL="114300" distR="114300" simplePos="0" relativeHeight="251639808" behindDoc="0" locked="0" layoutInCell="1" allowOverlap="1" wp14:anchorId="406883DF" wp14:editId="30906A80">
                <wp:simplePos x="0" y="0"/>
                <wp:positionH relativeFrom="margin">
                  <wp:posOffset>2390140</wp:posOffset>
                </wp:positionH>
                <wp:positionV relativeFrom="paragraph">
                  <wp:posOffset>1767840</wp:posOffset>
                </wp:positionV>
                <wp:extent cx="3912870" cy="2531110"/>
                <wp:effectExtent l="0" t="0" r="0" b="2540"/>
                <wp:wrapSquare wrapText="bothSides"/>
                <wp:docPr id="14" name="文字方塊 14"/>
                <wp:cNvGraphicFramePr/>
                <a:graphic xmlns:a="http://schemas.openxmlformats.org/drawingml/2006/main">
                  <a:graphicData uri="http://schemas.microsoft.com/office/word/2010/wordprocessingShape">
                    <wps:wsp>
                      <wps:cNvSpPr txBox="1"/>
                      <wps:spPr>
                        <a:xfrm>
                          <a:off x="0" y="0"/>
                          <a:ext cx="3912870" cy="2531110"/>
                        </a:xfrm>
                        <a:prstGeom prst="rect">
                          <a:avLst/>
                        </a:prstGeom>
                        <a:solidFill>
                          <a:sysClr val="window" lastClr="FFFFFF"/>
                        </a:solidFill>
                        <a:ln w="6350">
                          <a:noFill/>
                        </a:ln>
                      </wps:spPr>
                      <wps:txbx>
                        <w:txbxContent>
                          <w:tbl>
                            <w:tblPr>
                              <w:tblW w:w="6096" w:type="dxa"/>
                              <w:jc w:val="center"/>
                              <w:tblCellMar>
                                <w:left w:w="28" w:type="dxa"/>
                                <w:right w:w="28" w:type="dxa"/>
                              </w:tblCellMar>
                              <w:tblLook w:val="04A0" w:firstRow="1" w:lastRow="0" w:firstColumn="1" w:lastColumn="0" w:noHBand="0" w:noVBand="1"/>
                            </w:tblPr>
                            <w:tblGrid>
                              <w:gridCol w:w="1134"/>
                              <w:gridCol w:w="2268"/>
                              <w:gridCol w:w="567"/>
                              <w:gridCol w:w="1134"/>
                              <w:gridCol w:w="993"/>
                            </w:tblGrid>
                            <w:tr w:rsidR="00A0212B" w:rsidRPr="00A075ED" w14:paraId="1F421916" w14:textId="77777777" w:rsidTr="002314E4">
                              <w:trPr>
                                <w:trHeight w:val="274"/>
                                <w:jc w:val="center"/>
                              </w:trPr>
                              <w:tc>
                                <w:tcPr>
                                  <w:tcW w:w="6096" w:type="dxa"/>
                                  <w:gridSpan w:val="5"/>
                                  <w:shd w:val="clear" w:color="auto" w:fill="auto"/>
                                  <w:noWrap/>
                                  <w:vAlign w:val="center"/>
                                </w:tcPr>
                                <w:p w14:paraId="53EBFC7D" w14:textId="162B7BD9" w:rsidR="00A0212B" w:rsidRDefault="00A0212B">
                                  <w:pPr>
                                    <w:widowControl/>
                                    <w:spacing w:line="320" w:lineRule="exact"/>
                                    <w:ind w:left="769" w:hangingChars="320" w:hanging="769"/>
                                    <w:jc w:val="both"/>
                                    <w:rPr>
                                      <w:rFonts w:ascii="標楷體" w:eastAsia="標楷體" w:hAnsi="標楷體" w:cs="新細明體"/>
                                      <w:kern w:val="0"/>
                                      <w:sz w:val="20"/>
                                    </w:rPr>
                                  </w:pPr>
                                  <w:r w:rsidRPr="002C60C1">
                                    <w:rPr>
                                      <w:rFonts w:ascii="標楷體" w:eastAsia="標楷體" w:hAnsi="標楷體" w:cs="新細明體" w:hint="eastAsia"/>
                                      <w:b/>
                                      <w:bCs/>
                                      <w:color w:val="000000" w:themeColor="text1"/>
                                      <w:kern w:val="0"/>
                                      <w:szCs w:val="24"/>
                                    </w:rPr>
                                    <w:t>表</w:t>
                                  </w:r>
                                  <w:r w:rsidRPr="002C60C1">
                                    <w:rPr>
                                      <w:rFonts w:ascii="標楷體" w:eastAsia="標楷體" w:hAnsi="標楷體" w:hint="eastAsia"/>
                                      <w:b/>
                                      <w:bCs/>
                                      <w:color w:val="000000" w:themeColor="text1"/>
                                      <w:szCs w:val="24"/>
                                    </w:rPr>
                                    <w:t>1</w:t>
                                  </w:r>
                                  <w:r>
                                    <w:rPr>
                                      <w:rFonts w:ascii="標楷體" w:eastAsia="標楷體" w:hAnsi="標楷體"/>
                                      <w:b/>
                                      <w:bCs/>
                                      <w:color w:val="000000" w:themeColor="text1"/>
                                      <w:szCs w:val="24"/>
                                    </w:rPr>
                                    <w:t>6</w:t>
                                  </w:r>
                                  <w:r w:rsidRPr="00DA59BD">
                                    <w:rPr>
                                      <w:rFonts w:ascii="標楷體" w:eastAsia="標楷體" w:hAnsi="標楷體" w:hint="eastAsia"/>
                                      <w:b/>
                                      <w:bCs/>
                                      <w:szCs w:val="24"/>
                                    </w:rPr>
                                    <w:t xml:space="preserve">　</w:t>
                                  </w:r>
                                  <w:r>
                                    <w:rPr>
                                      <w:rFonts w:ascii="標楷體" w:eastAsia="標楷體" w:hAnsi="標楷體" w:cs="新細明體" w:hint="eastAsia"/>
                                      <w:b/>
                                      <w:bCs/>
                                      <w:kern w:val="0"/>
                                      <w:szCs w:val="24"/>
                                    </w:rPr>
                                    <w:t>截</w:t>
                                  </w:r>
                                  <w:r>
                                    <w:rPr>
                                      <w:rFonts w:ascii="標楷體" w:eastAsia="標楷體" w:hAnsi="標楷體" w:cs="新細明體"/>
                                      <w:b/>
                                      <w:bCs/>
                                      <w:kern w:val="0"/>
                                      <w:szCs w:val="24"/>
                                    </w:rPr>
                                    <w:t>至</w:t>
                                  </w:r>
                                  <w:r>
                                    <w:rPr>
                                      <w:rFonts w:ascii="標楷體" w:eastAsia="標楷體" w:hAnsi="標楷體" w:cs="新細明體" w:hint="eastAsia"/>
                                      <w:b/>
                                      <w:bCs/>
                                      <w:kern w:val="0"/>
                                      <w:szCs w:val="24"/>
                                    </w:rPr>
                                    <w:t>113年3月</w:t>
                                  </w:r>
                                  <w:r>
                                    <w:rPr>
                                      <w:rFonts w:ascii="標楷體" w:eastAsia="標楷體" w:hAnsi="標楷體" w:cs="新細明體"/>
                                      <w:b/>
                                      <w:bCs/>
                                      <w:kern w:val="0"/>
                                      <w:szCs w:val="24"/>
                                    </w:rPr>
                                    <w:t>底</w:t>
                                  </w:r>
                                  <w:r>
                                    <w:rPr>
                                      <w:rFonts w:ascii="標楷體" w:eastAsia="標楷體" w:hAnsi="標楷體" w:cs="新細明體" w:hint="eastAsia"/>
                                      <w:b/>
                                      <w:bCs/>
                                      <w:kern w:val="0"/>
                                      <w:szCs w:val="24"/>
                                    </w:rPr>
                                    <w:t>各級</w:t>
                                  </w:r>
                                  <w:r w:rsidRPr="00A075ED">
                                    <w:rPr>
                                      <w:rFonts w:ascii="標楷體" w:eastAsia="標楷體" w:hAnsi="標楷體" w:cs="新細明體"/>
                                      <w:b/>
                                      <w:bCs/>
                                      <w:kern w:val="0"/>
                                      <w:szCs w:val="24"/>
                                    </w:rPr>
                                    <w:t>政府</w:t>
                                  </w:r>
                                  <w:r w:rsidRPr="00A075ED">
                                    <w:rPr>
                                      <w:rFonts w:ascii="標楷體" w:eastAsia="標楷體" w:hAnsi="標楷體" w:cs="新細明體" w:hint="eastAsia"/>
                                      <w:b/>
                                      <w:bCs/>
                                      <w:kern w:val="0"/>
                                      <w:szCs w:val="24"/>
                                    </w:rPr>
                                    <w:t>發行永續發展政府債券情形</w:t>
                                  </w:r>
                                </w:p>
                              </w:tc>
                            </w:tr>
                            <w:tr w:rsidR="00A0212B" w:rsidRPr="00A075ED" w14:paraId="4E11D20A" w14:textId="77777777" w:rsidTr="002314E4">
                              <w:trPr>
                                <w:trHeight w:val="282"/>
                                <w:jc w:val="center"/>
                              </w:trPr>
                              <w:tc>
                                <w:tcPr>
                                  <w:tcW w:w="6096" w:type="dxa"/>
                                  <w:gridSpan w:val="5"/>
                                  <w:tcBorders>
                                    <w:bottom w:val="single" w:sz="4" w:space="0" w:color="auto"/>
                                  </w:tcBorders>
                                  <w:shd w:val="clear" w:color="auto" w:fill="auto"/>
                                  <w:noWrap/>
                                  <w:vAlign w:val="center"/>
                                </w:tcPr>
                                <w:p w14:paraId="45C91405" w14:textId="77777777" w:rsidR="00A0212B" w:rsidRPr="006B6ADB" w:rsidRDefault="00A0212B" w:rsidP="002314E4">
                                  <w:pPr>
                                    <w:widowControl/>
                                    <w:spacing w:line="24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單位：新臺幣千元、檔</w:t>
                                  </w:r>
                                </w:p>
                              </w:tc>
                            </w:tr>
                            <w:tr w:rsidR="00A0212B" w:rsidRPr="00A075ED" w14:paraId="5261D5B6" w14:textId="77777777" w:rsidTr="002314E4">
                              <w:trPr>
                                <w:trHeight w:val="454"/>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3BBC0"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發行人名稱</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680BA"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債券</w:t>
                                  </w:r>
                                  <w:r>
                                    <w:rPr>
                                      <w:rFonts w:ascii="標楷體" w:eastAsia="標楷體" w:hAnsi="標楷體" w:cs="新細明體" w:hint="eastAsia"/>
                                      <w:kern w:val="0"/>
                                      <w:sz w:val="20"/>
                                    </w:rPr>
                                    <w:t>（</w:t>
                                  </w:r>
                                  <w:r w:rsidRPr="006B6ADB">
                                    <w:rPr>
                                      <w:rFonts w:ascii="標楷體" w:eastAsia="標楷體" w:hAnsi="標楷體" w:cs="新細明體" w:hint="eastAsia"/>
                                      <w:kern w:val="0"/>
                                      <w:sz w:val="20"/>
                                    </w:rPr>
                                    <w:t>計畫</w:t>
                                  </w:r>
                                  <w:r>
                                    <w:rPr>
                                      <w:rFonts w:ascii="標楷體" w:eastAsia="標楷體" w:hAnsi="標楷體" w:cs="新細明體"/>
                                      <w:kern w:val="0"/>
                                      <w:sz w:val="20"/>
                                    </w:rPr>
                                    <w:t>）</w:t>
                                  </w:r>
                                  <w:r w:rsidRPr="006B6ADB">
                                    <w:rPr>
                                      <w:rFonts w:ascii="標楷體" w:eastAsia="標楷體" w:hAnsi="標楷體" w:cs="新細明體" w:hint="eastAsia"/>
                                      <w:kern w:val="0"/>
                                      <w:sz w:val="20"/>
                                    </w:rPr>
                                    <w:t>類別</w:t>
                                  </w:r>
                                </w:p>
                              </w:tc>
                              <w:tc>
                                <w:tcPr>
                                  <w:tcW w:w="567" w:type="dxa"/>
                                  <w:tcBorders>
                                    <w:top w:val="single" w:sz="4" w:space="0" w:color="auto"/>
                                    <w:left w:val="single" w:sz="4" w:space="0" w:color="auto"/>
                                    <w:bottom w:val="single" w:sz="4" w:space="0" w:color="auto"/>
                                    <w:right w:val="single" w:sz="4" w:space="0" w:color="auto"/>
                                  </w:tcBorders>
                                  <w:vAlign w:val="center"/>
                                </w:tcPr>
                                <w:p w14:paraId="63F54073"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發行檔數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676A9"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發行總額</w:t>
                                  </w:r>
                                </w:p>
                              </w:tc>
                              <w:tc>
                                <w:tcPr>
                                  <w:tcW w:w="993" w:type="dxa"/>
                                  <w:tcBorders>
                                    <w:top w:val="single" w:sz="4" w:space="0" w:color="auto"/>
                                    <w:left w:val="single" w:sz="4" w:space="0" w:color="auto"/>
                                    <w:bottom w:val="single" w:sz="4" w:space="0" w:color="auto"/>
                                    <w:right w:val="single" w:sz="4" w:space="0" w:color="auto"/>
                                  </w:tcBorders>
                                  <w:vAlign w:val="center"/>
                                </w:tcPr>
                                <w:p w14:paraId="3CF3070A"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發行日期</w:t>
                                  </w:r>
                                </w:p>
                              </w:tc>
                            </w:tr>
                            <w:tr w:rsidR="00A0212B" w:rsidRPr="00A075ED" w14:paraId="5251D874" w14:textId="77777777" w:rsidTr="00E31547">
                              <w:trPr>
                                <w:trHeight w:val="340"/>
                                <w:jc w:val="center"/>
                              </w:trPr>
                              <w:tc>
                                <w:tcPr>
                                  <w:tcW w:w="34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E50811C" w14:textId="77777777" w:rsidR="00A0212B" w:rsidRPr="00BC6A8B" w:rsidRDefault="00A0212B" w:rsidP="002314E4">
                                  <w:pPr>
                                    <w:widowControl/>
                                    <w:spacing w:line="200" w:lineRule="exact"/>
                                    <w:jc w:val="center"/>
                                    <w:rPr>
                                      <w:rFonts w:ascii="標楷體" w:eastAsia="標楷體" w:hAnsi="標楷體" w:cs="新細明體"/>
                                      <w:b/>
                                      <w:kern w:val="0"/>
                                      <w:sz w:val="20"/>
                                    </w:rPr>
                                  </w:pPr>
                                  <w:r w:rsidRPr="00BC6A8B">
                                    <w:rPr>
                                      <w:rFonts w:ascii="標楷體" w:eastAsia="標楷體" w:hAnsi="標楷體" w:cs="新細明體" w:hint="eastAsia"/>
                                      <w:b/>
                                      <w:kern w:val="0"/>
                                      <w:sz w:val="20"/>
                                    </w:rPr>
                                    <w:t xml:space="preserve">合 </w:t>
                                  </w:r>
                                  <w:r w:rsidRPr="00BC6A8B">
                                    <w:rPr>
                                      <w:rFonts w:ascii="標楷體" w:eastAsia="標楷體" w:hAnsi="標楷體" w:cs="新細明體"/>
                                      <w:b/>
                                      <w:kern w:val="0"/>
                                      <w:sz w:val="20"/>
                                    </w:rPr>
                                    <w:t xml:space="preserve"> </w:t>
                                  </w:r>
                                  <w:r w:rsidRPr="00BC6A8B">
                                    <w:rPr>
                                      <w:rFonts w:ascii="標楷體" w:eastAsia="標楷體" w:hAnsi="標楷體" w:cs="新細明體" w:hint="eastAsia"/>
                                      <w:b/>
                                      <w:kern w:val="0"/>
                                      <w:sz w:val="20"/>
                                    </w:rPr>
                                    <w:t>計</w:t>
                                  </w:r>
                                </w:p>
                              </w:tc>
                              <w:tc>
                                <w:tcPr>
                                  <w:tcW w:w="567" w:type="dxa"/>
                                  <w:tcBorders>
                                    <w:top w:val="single" w:sz="4" w:space="0" w:color="auto"/>
                                    <w:left w:val="single" w:sz="4" w:space="0" w:color="auto"/>
                                    <w:bottom w:val="single" w:sz="4" w:space="0" w:color="auto"/>
                                    <w:right w:val="single" w:sz="4" w:space="0" w:color="auto"/>
                                  </w:tcBorders>
                                  <w:vAlign w:val="center"/>
                                </w:tcPr>
                                <w:p w14:paraId="4175C86B" w14:textId="77777777" w:rsidR="00A0212B" w:rsidRPr="00BC6A8B" w:rsidRDefault="00A0212B" w:rsidP="002314E4">
                                  <w:pPr>
                                    <w:widowControl/>
                                    <w:spacing w:line="200" w:lineRule="exact"/>
                                    <w:jc w:val="right"/>
                                    <w:rPr>
                                      <w:rFonts w:ascii="標楷體" w:eastAsia="標楷體" w:hAnsi="標楷體" w:cs="新細明體"/>
                                      <w:b/>
                                      <w:kern w:val="0"/>
                                      <w:sz w:val="20"/>
                                    </w:rPr>
                                  </w:pPr>
                                  <w:r w:rsidRPr="00BC6A8B">
                                    <w:rPr>
                                      <w:rFonts w:ascii="標楷體" w:eastAsia="標楷體" w:hAnsi="標楷體" w:cs="新細明體" w:hint="eastAsia"/>
                                      <w:b/>
                                      <w:kern w:val="0"/>
                                      <w:sz w:val="20"/>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68204" w14:textId="77777777" w:rsidR="00A0212B" w:rsidRPr="00BC6A8B" w:rsidRDefault="00A0212B" w:rsidP="002314E4">
                                  <w:pPr>
                                    <w:widowControl/>
                                    <w:spacing w:line="200" w:lineRule="exact"/>
                                    <w:jc w:val="right"/>
                                    <w:rPr>
                                      <w:rFonts w:ascii="標楷體" w:eastAsia="標楷體" w:hAnsi="標楷體" w:cs="新細明體"/>
                                      <w:b/>
                                      <w:kern w:val="0"/>
                                      <w:sz w:val="20"/>
                                    </w:rPr>
                                  </w:pPr>
                                  <w:r w:rsidRPr="00BC6A8B">
                                    <w:rPr>
                                      <w:rFonts w:ascii="標楷體" w:eastAsia="標楷體" w:hAnsi="標楷體" w:cs="新細明體" w:hint="eastAsia"/>
                                      <w:b/>
                                      <w:kern w:val="0"/>
                                      <w:sz w:val="20"/>
                                    </w:rPr>
                                    <w:t>1</w:t>
                                  </w:r>
                                  <w:r w:rsidRPr="00BC6A8B">
                                    <w:rPr>
                                      <w:rFonts w:ascii="標楷體" w:eastAsia="標楷體" w:hAnsi="標楷體" w:cs="新細明體"/>
                                      <w:b/>
                                      <w:kern w:val="0"/>
                                      <w:sz w:val="20"/>
                                    </w:rPr>
                                    <w:t>2,000,000</w:t>
                                  </w:r>
                                </w:p>
                              </w:tc>
                              <w:tc>
                                <w:tcPr>
                                  <w:tcW w:w="993"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4F06C8CA" w14:textId="77777777" w:rsidR="00A0212B" w:rsidRPr="006B6ADB" w:rsidRDefault="00A0212B" w:rsidP="002314E4">
                                  <w:pPr>
                                    <w:widowControl/>
                                    <w:spacing w:line="200" w:lineRule="exact"/>
                                    <w:jc w:val="center"/>
                                    <w:rPr>
                                      <w:rFonts w:ascii="標楷體" w:eastAsia="標楷體" w:hAnsi="標楷體" w:cs="新細明體"/>
                                      <w:kern w:val="0"/>
                                      <w:sz w:val="20"/>
                                    </w:rPr>
                                  </w:pPr>
                                </w:p>
                              </w:tc>
                            </w:tr>
                            <w:tr w:rsidR="00A0212B" w:rsidRPr="00A075ED" w14:paraId="28EF7057" w14:textId="77777777" w:rsidTr="00E31547">
                              <w:trPr>
                                <w:trHeight w:val="283"/>
                                <w:jc w:val="center"/>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8E9C9A3" w14:textId="77777777" w:rsidR="00A0212B" w:rsidRPr="006B6ADB" w:rsidRDefault="00A0212B" w:rsidP="002314E4">
                                  <w:pPr>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臺北市政府</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9307B" w14:textId="77777777" w:rsidR="00A0212B" w:rsidRPr="006B6ADB" w:rsidRDefault="00A0212B" w:rsidP="002314E4">
                                  <w:pPr>
                                    <w:widowControl/>
                                    <w:spacing w:line="200" w:lineRule="exact"/>
                                    <w:jc w:val="center"/>
                                    <w:rPr>
                                      <w:rFonts w:ascii="標楷體" w:eastAsia="標楷體" w:hAnsi="標楷體" w:cs="新細明體"/>
                                      <w:b/>
                                      <w:kern w:val="0"/>
                                      <w:sz w:val="20"/>
                                    </w:rPr>
                                  </w:pPr>
                                  <w:r w:rsidRPr="006B6ADB">
                                    <w:rPr>
                                      <w:rFonts w:ascii="標楷體" w:eastAsia="標楷體" w:hAnsi="標楷體" w:cs="新細明體" w:hint="eastAsia"/>
                                      <w:b/>
                                      <w:kern w:val="0"/>
                                      <w:sz w:val="20"/>
                                    </w:rPr>
                                    <w:t xml:space="preserve">小 </w:t>
                                  </w:r>
                                  <w:r w:rsidRPr="006B6ADB">
                                    <w:rPr>
                                      <w:rFonts w:ascii="標楷體" w:eastAsia="標楷體" w:hAnsi="標楷體" w:cs="新細明體"/>
                                      <w:b/>
                                      <w:kern w:val="0"/>
                                      <w:sz w:val="20"/>
                                    </w:rPr>
                                    <w:t xml:space="preserve"> </w:t>
                                  </w:r>
                                  <w:r w:rsidRPr="006B6ADB">
                                    <w:rPr>
                                      <w:rFonts w:ascii="標楷體" w:eastAsia="標楷體" w:hAnsi="標楷體" w:cs="新細明體" w:hint="eastAsia"/>
                                      <w:b/>
                                      <w:kern w:val="0"/>
                                      <w:sz w:val="20"/>
                                    </w:rPr>
                                    <w:t>計</w:t>
                                  </w:r>
                                </w:p>
                              </w:tc>
                              <w:tc>
                                <w:tcPr>
                                  <w:tcW w:w="567" w:type="dxa"/>
                                  <w:tcBorders>
                                    <w:top w:val="single" w:sz="4" w:space="0" w:color="auto"/>
                                    <w:left w:val="single" w:sz="4" w:space="0" w:color="auto"/>
                                    <w:bottom w:val="single" w:sz="4" w:space="0" w:color="auto"/>
                                    <w:right w:val="single" w:sz="4" w:space="0" w:color="auto"/>
                                  </w:tcBorders>
                                  <w:vAlign w:val="center"/>
                                </w:tcPr>
                                <w:p w14:paraId="2BF5B65A" w14:textId="77777777" w:rsidR="00A0212B" w:rsidRPr="006B6ADB" w:rsidRDefault="00A0212B" w:rsidP="002314E4">
                                  <w:pPr>
                                    <w:widowControl/>
                                    <w:spacing w:line="200" w:lineRule="exact"/>
                                    <w:jc w:val="right"/>
                                    <w:rPr>
                                      <w:rFonts w:ascii="標楷體" w:eastAsia="標楷體" w:hAnsi="標楷體" w:cs="新細明體"/>
                                      <w:b/>
                                      <w:kern w:val="0"/>
                                      <w:sz w:val="20"/>
                                    </w:rPr>
                                  </w:pPr>
                                  <w:r w:rsidRPr="006B6ADB">
                                    <w:rPr>
                                      <w:rFonts w:ascii="標楷體" w:eastAsia="標楷體" w:hAnsi="標楷體" w:cs="新細明體" w:hint="eastAsia"/>
                                      <w:b/>
                                      <w:kern w:val="0"/>
                                      <w:sz w:val="20"/>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1621B" w14:textId="77777777" w:rsidR="00A0212B" w:rsidRPr="006B6ADB" w:rsidRDefault="00A0212B" w:rsidP="002314E4">
                                  <w:pPr>
                                    <w:widowControl/>
                                    <w:spacing w:line="200" w:lineRule="exact"/>
                                    <w:jc w:val="right"/>
                                    <w:rPr>
                                      <w:rFonts w:ascii="標楷體" w:eastAsia="標楷體" w:hAnsi="標楷體" w:cs="新細明體"/>
                                      <w:b/>
                                      <w:kern w:val="0"/>
                                      <w:sz w:val="20"/>
                                    </w:rPr>
                                  </w:pPr>
                                  <w:r w:rsidRPr="006B6ADB">
                                    <w:rPr>
                                      <w:rFonts w:ascii="標楷體" w:eastAsia="標楷體" w:hAnsi="標楷體" w:cs="新細明體" w:hint="eastAsia"/>
                                      <w:b/>
                                      <w:kern w:val="0"/>
                                      <w:sz w:val="20"/>
                                    </w:rPr>
                                    <w:t>1</w:t>
                                  </w:r>
                                  <w:r w:rsidRPr="006B6ADB">
                                    <w:rPr>
                                      <w:rFonts w:ascii="標楷體" w:eastAsia="標楷體" w:hAnsi="標楷體" w:cs="新細明體"/>
                                      <w:b/>
                                      <w:kern w:val="0"/>
                                      <w:sz w:val="20"/>
                                    </w:rPr>
                                    <w:t>0,000,000</w:t>
                                  </w:r>
                                </w:p>
                              </w:tc>
                              <w:tc>
                                <w:tcPr>
                                  <w:tcW w:w="993" w:type="dxa"/>
                                  <w:vMerge/>
                                  <w:tcBorders>
                                    <w:top w:val="single" w:sz="4" w:space="0" w:color="auto"/>
                                    <w:left w:val="single" w:sz="4" w:space="0" w:color="auto"/>
                                    <w:bottom w:val="single" w:sz="4" w:space="0" w:color="auto"/>
                                    <w:right w:val="single" w:sz="4" w:space="0" w:color="auto"/>
                                    <w:tl2br w:val="single" w:sz="4" w:space="0" w:color="auto"/>
                                  </w:tcBorders>
                                  <w:vAlign w:val="center"/>
                                </w:tcPr>
                                <w:p w14:paraId="0EFD5D42" w14:textId="77777777" w:rsidR="00A0212B" w:rsidRPr="006B6ADB" w:rsidRDefault="00A0212B" w:rsidP="002314E4">
                                  <w:pPr>
                                    <w:widowControl/>
                                    <w:spacing w:line="200" w:lineRule="exact"/>
                                    <w:jc w:val="center"/>
                                    <w:rPr>
                                      <w:rFonts w:ascii="標楷體" w:eastAsia="標楷體" w:hAnsi="標楷體" w:cs="新細明體"/>
                                      <w:kern w:val="0"/>
                                      <w:sz w:val="20"/>
                                    </w:rPr>
                                  </w:pPr>
                                </w:p>
                              </w:tc>
                            </w:tr>
                            <w:tr w:rsidR="00A0212B" w:rsidRPr="00A075ED" w14:paraId="0B52221F" w14:textId="77777777" w:rsidTr="00E31547">
                              <w:trPr>
                                <w:trHeight w:val="340"/>
                                <w:jc w:val="center"/>
                              </w:trPr>
                              <w:tc>
                                <w:tcPr>
                                  <w:tcW w:w="1134"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57866" w14:textId="77777777" w:rsidR="00A0212B" w:rsidRPr="006B6ADB" w:rsidRDefault="00A0212B" w:rsidP="002314E4">
                                  <w:pPr>
                                    <w:widowControl/>
                                    <w:spacing w:line="200" w:lineRule="exact"/>
                                    <w:jc w:val="center"/>
                                    <w:rPr>
                                      <w:rFonts w:ascii="標楷體" w:eastAsia="標楷體" w:hAnsi="標楷體" w:cs="新細明體"/>
                                      <w:kern w:val="0"/>
                                      <w:sz w:val="20"/>
                                    </w:rPr>
                                  </w:pP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89CC6"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社會責任債券</w:t>
                                  </w:r>
                                </w:p>
                                <w:p w14:paraId="510328DA" w14:textId="77777777" w:rsidR="00A0212B" w:rsidRPr="006B6ADB" w:rsidRDefault="00A0212B" w:rsidP="002314E4">
                                  <w:pPr>
                                    <w:widowControl/>
                                    <w:spacing w:line="200" w:lineRule="exact"/>
                                    <w:ind w:leftChars="-50" w:left="-120" w:rightChars="-50" w:right="-120"/>
                                    <w:jc w:val="center"/>
                                    <w:rPr>
                                      <w:rFonts w:ascii="標楷體" w:eastAsia="標楷體" w:hAnsi="標楷體" w:cs="新細明體"/>
                                      <w:kern w:val="0"/>
                                      <w:sz w:val="20"/>
                                    </w:rPr>
                                  </w:pPr>
                                  <w:r>
                                    <w:rPr>
                                      <w:rFonts w:ascii="標楷體" w:eastAsia="標楷體" w:hAnsi="標楷體" w:cs="新細明體" w:hint="eastAsia"/>
                                      <w:kern w:val="0"/>
                                      <w:sz w:val="20"/>
                                    </w:rPr>
                                    <w:t>（</w:t>
                                  </w:r>
                                  <w:r w:rsidRPr="006B6ADB">
                                    <w:rPr>
                                      <w:rFonts w:ascii="標楷體" w:eastAsia="標楷體" w:hAnsi="標楷體" w:cs="新細明體" w:hint="eastAsia"/>
                                      <w:kern w:val="0"/>
                                      <w:sz w:val="20"/>
                                    </w:rPr>
                                    <w:t>可負擔的基礎生活設施</w:t>
                                  </w:r>
                                  <w:r>
                                    <w:rPr>
                                      <w:rFonts w:ascii="標楷體" w:eastAsia="標楷體" w:hAnsi="標楷體" w:cs="新細明體"/>
                                      <w:kern w:val="0"/>
                                      <w:sz w:val="20"/>
                                    </w:rPr>
                                    <w:t>）</w:t>
                                  </w:r>
                                </w:p>
                              </w:tc>
                              <w:tc>
                                <w:tcPr>
                                  <w:tcW w:w="567" w:type="dxa"/>
                                  <w:tcBorders>
                                    <w:top w:val="single" w:sz="4" w:space="0" w:color="auto"/>
                                    <w:left w:val="single" w:sz="4" w:space="0" w:color="auto"/>
                                    <w:bottom w:val="single" w:sz="4" w:space="0" w:color="auto"/>
                                    <w:right w:val="single" w:sz="4" w:space="0" w:color="auto"/>
                                  </w:tcBorders>
                                  <w:vAlign w:val="center"/>
                                </w:tcPr>
                                <w:p w14:paraId="014313A2"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4D891"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kern w:val="0"/>
                                      <w:sz w:val="20"/>
                                    </w:rPr>
                                    <w:t>2,500,000</w:t>
                                  </w:r>
                                  <w:r w:rsidRPr="006B6ADB">
                                    <w:rPr>
                                      <w:rFonts w:ascii="標楷體" w:eastAsia="標楷體" w:hAnsi="標楷體" w:cs="新細明體" w:hint="eastAsia"/>
                                      <w:kern w:val="0"/>
                                      <w:sz w:val="20"/>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04D452"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1</w:t>
                                  </w:r>
                                  <w:r w:rsidRPr="006B6ADB">
                                    <w:rPr>
                                      <w:rFonts w:ascii="標楷體" w:eastAsia="標楷體" w:hAnsi="標楷體" w:cs="新細明體"/>
                                      <w:kern w:val="0"/>
                                      <w:sz w:val="20"/>
                                    </w:rPr>
                                    <w:t>13.01.10</w:t>
                                  </w:r>
                                </w:p>
                              </w:tc>
                            </w:tr>
                            <w:tr w:rsidR="00A0212B" w:rsidRPr="00A075ED" w14:paraId="2C50EAF6" w14:textId="77777777" w:rsidTr="00E31547">
                              <w:trPr>
                                <w:trHeight w:val="340"/>
                                <w:jc w:val="center"/>
                              </w:trPr>
                              <w:tc>
                                <w:tcPr>
                                  <w:tcW w:w="1134" w:type="dxa"/>
                                  <w:vMerge/>
                                  <w:tcBorders>
                                    <w:top w:val="single" w:sz="4" w:space="0" w:color="auto"/>
                                    <w:left w:val="single" w:sz="4" w:space="0" w:color="auto"/>
                                    <w:bottom w:val="single" w:sz="4" w:space="0" w:color="auto"/>
                                    <w:right w:val="single" w:sz="4" w:space="0" w:color="auto"/>
                                  </w:tcBorders>
                                  <w:vAlign w:val="center"/>
                                </w:tcPr>
                                <w:p w14:paraId="68F3A8A8" w14:textId="77777777" w:rsidR="00A0212B" w:rsidRPr="006B6ADB" w:rsidRDefault="00A0212B" w:rsidP="002314E4">
                                  <w:pPr>
                                    <w:widowControl/>
                                    <w:spacing w:line="200" w:lineRule="exact"/>
                                    <w:rPr>
                                      <w:rFonts w:ascii="標楷體" w:eastAsia="標楷體" w:hAnsi="標楷體" w:cs="新細明體"/>
                                      <w:kern w:val="0"/>
                                      <w:sz w:val="20"/>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669A2FB9" w14:textId="77777777" w:rsidR="00A0212B" w:rsidRPr="006B6ADB" w:rsidRDefault="00A0212B" w:rsidP="002314E4">
                                  <w:pPr>
                                    <w:widowControl/>
                                    <w:spacing w:line="200" w:lineRule="exact"/>
                                    <w:jc w:val="center"/>
                                    <w:rPr>
                                      <w:rFonts w:ascii="標楷體" w:eastAsia="標楷體" w:hAnsi="標楷體" w:cs="新細明體"/>
                                      <w:kern w:val="0"/>
                                      <w:sz w:val="20"/>
                                    </w:rPr>
                                  </w:pPr>
                                </w:p>
                              </w:tc>
                              <w:tc>
                                <w:tcPr>
                                  <w:tcW w:w="567" w:type="dxa"/>
                                  <w:tcBorders>
                                    <w:top w:val="single" w:sz="4" w:space="0" w:color="auto"/>
                                    <w:left w:val="single" w:sz="4" w:space="0" w:color="auto"/>
                                    <w:bottom w:val="single" w:sz="4" w:space="0" w:color="auto"/>
                                    <w:right w:val="single" w:sz="4" w:space="0" w:color="auto"/>
                                  </w:tcBorders>
                                  <w:vAlign w:val="center"/>
                                </w:tcPr>
                                <w:p w14:paraId="4425C9F0"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0CE15"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7</w:t>
                                  </w:r>
                                  <w:r w:rsidRPr="006B6ADB">
                                    <w:rPr>
                                      <w:rFonts w:ascii="標楷體" w:eastAsia="標楷體" w:hAnsi="標楷體" w:cs="新細明體"/>
                                      <w:kern w:val="0"/>
                                      <w:sz w:val="20"/>
                                    </w:rPr>
                                    <w:t>,500,000</w:t>
                                  </w:r>
                                </w:p>
                              </w:tc>
                              <w:tc>
                                <w:tcPr>
                                  <w:tcW w:w="993" w:type="dxa"/>
                                  <w:tcBorders>
                                    <w:top w:val="single" w:sz="4" w:space="0" w:color="auto"/>
                                    <w:left w:val="single" w:sz="4" w:space="0" w:color="auto"/>
                                    <w:bottom w:val="single" w:sz="4" w:space="0" w:color="auto"/>
                                    <w:right w:val="single" w:sz="4" w:space="0" w:color="auto"/>
                                  </w:tcBorders>
                                  <w:vAlign w:val="center"/>
                                </w:tcPr>
                                <w:p w14:paraId="17AEE9ED"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1</w:t>
                                  </w:r>
                                  <w:r w:rsidRPr="006B6ADB">
                                    <w:rPr>
                                      <w:rFonts w:ascii="標楷體" w:eastAsia="標楷體" w:hAnsi="標楷體" w:cs="新細明體"/>
                                      <w:kern w:val="0"/>
                                      <w:sz w:val="20"/>
                                    </w:rPr>
                                    <w:t>13.03.25</w:t>
                                  </w:r>
                                </w:p>
                              </w:tc>
                            </w:tr>
                            <w:tr w:rsidR="00A0212B" w:rsidRPr="00A075ED" w14:paraId="3EDF2068" w14:textId="77777777" w:rsidTr="00E31547">
                              <w:trPr>
                                <w:trHeight w:val="340"/>
                                <w:jc w:val="center"/>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752AC3F" w14:textId="77777777" w:rsidR="00A0212B" w:rsidRPr="006B6ADB" w:rsidRDefault="00A0212B" w:rsidP="002314E4">
                                  <w:pPr>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高雄市政府</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6AE4C" w14:textId="77777777" w:rsidR="00A0212B" w:rsidRPr="006B6ADB" w:rsidRDefault="00A0212B" w:rsidP="002314E4">
                                  <w:pPr>
                                    <w:widowControl/>
                                    <w:spacing w:line="200" w:lineRule="exact"/>
                                    <w:jc w:val="center"/>
                                    <w:rPr>
                                      <w:rFonts w:ascii="標楷體" w:eastAsia="標楷體" w:hAnsi="標楷體" w:cs="新細明體"/>
                                      <w:b/>
                                      <w:kern w:val="0"/>
                                      <w:sz w:val="20"/>
                                    </w:rPr>
                                  </w:pPr>
                                  <w:r w:rsidRPr="006B6ADB">
                                    <w:rPr>
                                      <w:rFonts w:ascii="標楷體" w:eastAsia="標楷體" w:hAnsi="標楷體" w:cs="新細明體" w:hint="eastAsia"/>
                                      <w:b/>
                                      <w:kern w:val="0"/>
                                      <w:sz w:val="20"/>
                                    </w:rPr>
                                    <w:t xml:space="preserve">小 </w:t>
                                  </w:r>
                                  <w:r w:rsidRPr="006B6ADB">
                                    <w:rPr>
                                      <w:rFonts w:ascii="標楷體" w:eastAsia="標楷體" w:hAnsi="標楷體" w:cs="新細明體"/>
                                      <w:b/>
                                      <w:kern w:val="0"/>
                                      <w:sz w:val="20"/>
                                    </w:rPr>
                                    <w:t xml:space="preserve"> </w:t>
                                  </w:r>
                                  <w:r w:rsidRPr="006B6ADB">
                                    <w:rPr>
                                      <w:rFonts w:ascii="標楷體" w:eastAsia="標楷體" w:hAnsi="標楷體" w:cs="新細明體" w:hint="eastAsia"/>
                                      <w:b/>
                                      <w:kern w:val="0"/>
                                      <w:sz w:val="20"/>
                                    </w:rPr>
                                    <w:t>計</w:t>
                                  </w:r>
                                </w:p>
                              </w:tc>
                              <w:tc>
                                <w:tcPr>
                                  <w:tcW w:w="567" w:type="dxa"/>
                                  <w:tcBorders>
                                    <w:top w:val="single" w:sz="4" w:space="0" w:color="auto"/>
                                    <w:left w:val="single" w:sz="4" w:space="0" w:color="auto"/>
                                    <w:bottom w:val="single" w:sz="4" w:space="0" w:color="auto"/>
                                    <w:right w:val="single" w:sz="4" w:space="0" w:color="auto"/>
                                  </w:tcBorders>
                                  <w:vAlign w:val="center"/>
                                </w:tcPr>
                                <w:p w14:paraId="0A798968" w14:textId="77777777" w:rsidR="00A0212B" w:rsidRPr="006B6ADB" w:rsidRDefault="00A0212B" w:rsidP="002314E4">
                                  <w:pPr>
                                    <w:widowControl/>
                                    <w:spacing w:line="200" w:lineRule="exact"/>
                                    <w:jc w:val="right"/>
                                    <w:rPr>
                                      <w:rFonts w:ascii="標楷體" w:eastAsia="標楷體" w:hAnsi="標楷體" w:cs="新細明體"/>
                                      <w:b/>
                                      <w:kern w:val="0"/>
                                      <w:sz w:val="20"/>
                                    </w:rPr>
                                  </w:pPr>
                                  <w:r w:rsidRPr="006B6ADB">
                                    <w:rPr>
                                      <w:rFonts w:ascii="標楷體" w:eastAsia="標楷體" w:hAnsi="標楷體" w:cs="新細明體" w:hint="eastAsia"/>
                                      <w:b/>
                                      <w:kern w:val="0"/>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90E8E" w14:textId="77777777" w:rsidR="00A0212B" w:rsidRPr="006B6ADB" w:rsidRDefault="00A0212B" w:rsidP="002314E4">
                                  <w:pPr>
                                    <w:widowControl/>
                                    <w:spacing w:line="200" w:lineRule="exact"/>
                                    <w:jc w:val="right"/>
                                    <w:rPr>
                                      <w:rFonts w:ascii="標楷體" w:eastAsia="標楷體" w:hAnsi="標楷體" w:cs="新細明體"/>
                                      <w:b/>
                                      <w:kern w:val="0"/>
                                      <w:sz w:val="20"/>
                                    </w:rPr>
                                  </w:pPr>
                                  <w:r w:rsidRPr="006B6ADB">
                                    <w:rPr>
                                      <w:rFonts w:ascii="標楷體" w:eastAsia="標楷體" w:hAnsi="標楷體" w:cs="新細明體"/>
                                      <w:b/>
                                      <w:kern w:val="0"/>
                                      <w:sz w:val="20"/>
                                    </w:rPr>
                                    <w:t>2,000,000</w:t>
                                  </w:r>
                                </w:p>
                              </w:tc>
                              <w:tc>
                                <w:tcPr>
                                  <w:tcW w:w="993" w:type="dxa"/>
                                  <w:tcBorders>
                                    <w:top w:val="single" w:sz="4" w:space="0" w:color="auto"/>
                                    <w:left w:val="single" w:sz="4" w:space="0" w:color="auto"/>
                                    <w:bottom w:val="single" w:sz="4" w:space="0" w:color="auto"/>
                                    <w:right w:val="single" w:sz="4" w:space="0" w:color="auto"/>
                                    <w:tl2br w:val="single" w:sz="4" w:space="0" w:color="auto"/>
                                  </w:tcBorders>
                                </w:tcPr>
                                <w:p w14:paraId="51D04B21" w14:textId="77777777" w:rsidR="00A0212B" w:rsidRPr="006B6ADB" w:rsidRDefault="00A0212B" w:rsidP="002314E4">
                                  <w:pPr>
                                    <w:widowControl/>
                                    <w:spacing w:line="200" w:lineRule="exact"/>
                                    <w:jc w:val="right"/>
                                    <w:rPr>
                                      <w:rFonts w:ascii="標楷體" w:eastAsia="標楷體" w:hAnsi="標楷體" w:cs="新細明體"/>
                                      <w:kern w:val="0"/>
                                      <w:sz w:val="20"/>
                                    </w:rPr>
                                  </w:pPr>
                                </w:p>
                              </w:tc>
                            </w:tr>
                            <w:tr w:rsidR="00A0212B" w:rsidRPr="00A075ED" w14:paraId="263606A7" w14:textId="77777777" w:rsidTr="00E31547">
                              <w:trPr>
                                <w:trHeight w:val="454"/>
                                <w:jc w:val="center"/>
                              </w:trPr>
                              <w:tc>
                                <w:tcPr>
                                  <w:tcW w:w="1134"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B1372" w14:textId="77777777" w:rsidR="00A0212B" w:rsidRPr="006B6ADB" w:rsidRDefault="00A0212B" w:rsidP="002314E4">
                                  <w:pPr>
                                    <w:widowControl/>
                                    <w:spacing w:line="200" w:lineRule="exact"/>
                                    <w:jc w:val="center"/>
                                    <w:rPr>
                                      <w:rFonts w:ascii="標楷體" w:eastAsia="標楷體" w:hAnsi="標楷體" w:cs="新細明體"/>
                                      <w:kern w:val="0"/>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5B1D7"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綠色債券</w:t>
                                  </w:r>
                                </w:p>
                                <w:p w14:paraId="63944C23" w14:textId="77777777" w:rsidR="00A0212B" w:rsidRPr="006B6ADB" w:rsidRDefault="00A0212B" w:rsidP="002314E4">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w:t>
                                  </w:r>
                                  <w:r w:rsidRPr="006B6ADB">
                                    <w:rPr>
                                      <w:rFonts w:ascii="標楷體" w:eastAsia="標楷體" w:hAnsi="標楷體" w:cs="新細明體" w:hint="eastAsia"/>
                                      <w:kern w:val="0"/>
                                      <w:sz w:val="20"/>
                                    </w:rPr>
                                    <w:t>溫室氣體減量</w:t>
                                  </w:r>
                                  <w:r>
                                    <w:rPr>
                                      <w:rFonts w:ascii="標楷體" w:eastAsia="標楷體" w:hAnsi="標楷體" w:cs="新細明體"/>
                                      <w:kern w:val="0"/>
                                      <w:sz w:val="20"/>
                                    </w:rPr>
                                    <w:t>）</w:t>
                                  </w:r>
                                </w:p>
                              </w:tc>
                              <w:tc>
                                <w:tcPr>
                                  <w:tcW w:w="567" w:type="dxa"/>
                                  <w:tcBorders>
                                    <w:top w:val="single" w:sz="4" w:space="0" w:color="auto"/>
                                    <w:left w:val="single" w:sz="4" w:space="0" w:color="auto"/>
                                    <w:bottom w:val="single" w:sz="4" w:space="0" w:color="auto"/>
                                    <w:right w:val="single" w:sz="4" w:space="0" w:color="auto"/>
                                  </w:tcBorders>
                                  <w:vAlign w:val="center"/>
                                </w:tcPr>
                                <w:p w14:paraId="4B39BC0C"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FF054" w14:textId="4947E862"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 xml:space="preserve">2,000,000 </w:t>
                                  </w:r>
                                </w:p>
                              </w:tc>
                              <w:tc>
                                <w:tcPr>
                                  <w:tcW w:w="993" w:type="dxa"/>
                                  <w:tcBorders>
                                    <w:top w:val="single" w:sz="4" w:space="0" w:color="auto"/>
                                    <w:left w:val="single" w:sz="4" w:space="0" w:color="auto"/>
                                    <w:bottom w:val="single" w:sz="4" w:space="0" w:color="auto"/>
                                    <w:right w:val="single" w:sz="4" w:space="0" w:color="auto"/>
                                  </w:tcBorders>
                                  <w:vAlign w:val="center"/>
                                </w:tcPr>
                                <w:p w14:paraId="0FE38370"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1</w:t>
                                  </w:r>
                                  <w:r w:rsidRPr="006B6ADB">
                                    <w:rPr>
                                      <w:rFonts w:ascii="標楷體" w:eastAsia="標楷體" w:hAnsi="標楷體" w:cs="新細明體"/>
                                      <w:kern w:val="0"/>
                                      <w:sz w:val="20"/>
                                    </w:rPr>
                                    <w:t>13.01.12</w:t>
                                  </w:r>
                                </w:p>
                              </w:tc>
                            </w:tr>
                            <w:tr w:rsidR="00A0212B" w:rsidRPr="00A075ED" w14:paraId="728FC341" w14:textId="77777777" w:rsidTr="002314E4">
                              <w:trPr>
                                <w:trHeight w:val="324"/>
                                <w:jc w:val="center"/>
                              </w:trPr>
                              <w:tc>
                                <w:tcPr>
                                  <w:tcW w:w="6096" w:type="dxa"/>
                                  <w:gridSpan w:val="5"/>
                                  <w:tcBorders>
                                    <w:top w:val="single" w:sz="4" w:space="0" w:color="auto"/>
                                  </w:tcBorders>
                                  <w:shd w:val="clear" w:color="auto" w:fill="auto"/>
                                  <w:noWrap/>
                                  <w:vAlign w:val="center"/>
                                </w:tcPr>
                                <w:p w14:paraId="01AA0508" w14:textId="3E67A76B" w:rsidR="00A0212B" w:rsidRDefault="00A0212B" w:rsidP="002314E4">
                                  <w:pPr>
                                    <w:widowControl/>
                                    <w:spacing w:line="240" w:lineRule="exact"/>
                                    <w:rPr>
                                      <w:rFonts w:ascii="標楷體" w:eastAsia="標楷體" w:hAnsi="標楷體" w:cs="新細明體"/>
                                      <w:kern w:val="0"/>
                                      <w:sz w:val="20"/>
                                    </w:rPr>
                                  </w:pPr>
                                  <w:r w:rsidRPr="00A075ED">
                                    <w:rPr>
                                      <w:rFonts w:ascii="標楷體" w:eastAsia="標楷體" w:hAnsi="標楷體" w:cs="新細明體" w:hint="eastAsia"/>
                                      <w:kern w:val="0"/>
                                      <w:sz w:val="18"/>
                                      <w:szCs w:val="18"/>
                                    </w:rPr>
                                    <w:t>資料來源：整理</w:t>
                                  </w:r>
                                  <w:r w:rsidRPr="00A075ED">
                                    <w:rPr>
                                      <w:rFonts w:ascii="標楷體" w:eastAsia="標楷體" w:hAnsi="標楷體" w:cs="新細明體"/>
                                      <w:kern w:val="0"/>
                                      <w:sz w:val="18"/>
                                      <w:szCs w:val="18"/>
                                    </w:rPr>
                                    <w:t>自</w:t>
                                  </w:r>
                                  <w:r w:rsidRPr="00A866D0">
                                    <w:rPr>
                                      <w:rFonts w:ascii="標楷體" w:eastAsia="標楷體" w:hAnsi="標楷體" w:cs="新細明體" w:hint="eastAsia"/>
                                      <w:kern w:val="0"/>
                                      <w:sz w:val="18"/>
                                      <w:szCs w:val="18"/>
                                    </w:rPr>
                                    <w:t>財團法人證券櫃檯買賣中心</w:t>
                                  </w:r>
                                  <w:r w:rsidRPr="00A075ED">
                                    <w:rPr>
                                      <w:rFonts w:ascii="標楷體" w:eastAsia="標楷體" w:hAnsi="標楷體" w:cs="新細明體" w:hint="eastAsia"/>
                                      <w:kern w:val="0"/>
                                      <w:sz w:val="18"/>
                                      <w:szCs w:val="18"/>
                                    </w:rPr>
                                    <w:t>公告資料。</w:t>
                                  </w:r>
                                </w:p>
                              </w:tc>
                            </w:tr>
                          </w:tbl>
                          <w:p w14:paraId="104297C8" w14:textId="77777777" w:rsidR="00A0212B" w:rsidRPr="00470A0F" w:rsidRDefault="00A0212B" w:rsidP="002C60C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6883DF" id="文字方塊 14" o:spid="_x0000_s1055" type="#_x0000_t202" style="position:absolute;left:0;text-align:left;margin-left:188.2pt;margin-top:139.2pt;width:308.1pt;height:199.3pt;z-index:251639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" fillcolor="window" stroked="f" strokeweight=".5pt">
                <v:textbox>
                  <w:txbxContent>
                    <w:tbl>
                      <w:tblPr>
                        <w:tblW w:w="6096" w:type="dxa"/>
                        <w:jc w:val="center"/>
                        <w:tblCellMar>
                          <w:left w:w="28" w:type="dxa"/>
                          <w:right w:w="28" w:type="dxa"/>
                        </w:tblCellMar>
                        <w:tblLook w:val="04A0" w:firstRow="1" w:lastRow="0" w:firstColumn="1" w:lastColumn="0" w:noHBand="0" w:noVBand="1"/>
                      </w:tblPr>
                      <w:tblGrid>
                        <w:gridCol w:w="1134"/>
                        <w:gridCol w:w="2268"/>
                        <w:gridCol w:w="567"/>
                        <w:gridCol w:w="1134"/>
                        <w:gridCol w:w="993"/>
                      </w:tblGrid>
                      <w:tr w:rsidR="00A0212B" w:rsidRPr="00A075ED" w14:paraId="1F421916" w14:textId="77777777" w:rsidTr="002314E4">
                        <w:trPr>
                          <w:trHeight w:val="274"/>
                          <w:jc w:val="center"/>
                        </w:trPr>
                        <w:tc>
                          <w:tcPr>
                            <w:tcW w:w="6096" w:type="dxa"/>
                            <w:gridSpan w:val="5"/>
                            <w:shd w:val="clear" w:color="auto" w:fill="auto"/>
                            <w:noWrap/>
                            <w:vAlign w:val="center"/>
                          </w:tcPr>
                          <w:p w14:paraId="53EBFC7D" w14:textId="162B7BD9" w:rsidR="00A0212B" w:rsidRDefault="00A0212B">
                            <w:pPr>
                              <w:widowControl/>
                              <w:spacing w:line="320" w:lineRule="exact"/>
                              <w:ind w:left="769" w:hangingChars="320" w:hanging="769"/>
                              <w:jc w:val="both"/>
                              <w:rPr>
                                <w:rFonts w:ascii="標楷體" w:eastAsia="標楷體" w:hAnsi="標楷體" w:cs="新細明體"/>
                                <w:kern w:val="0"/>
                                <w:sz w:val="20"/>
                              </w:rPr>
                            </w:pPr>
                            <w:r w:rsidRPr="002C60C1">
                              <w:rPr>
                                <w:rFonts w:ascii="標楷體" w:eastAsia="標楷體" w:hAnsi="標楷體" w:cs="新細明體" w:hint="eastAsia"/>
                                <w:b/>
                                <w:bCs/>
                                <w:color w:val="000000" w:themeColor="text1"/>
                                <w:kern w:val="0"/>
                                <w:szCs w:val="24"/>
                              </w:rPr>
                              <w:t>表</w:t>
                            </w:r>
                            <w:r w:rsidRPr="002C60C1">
                              <w:rPr>
                                <w:rFonts w:ascii="標楷體" w:eastAsia="標楷體" w:hAnsi="標楷體" w:hint="eastAsia"/>
                                <w:b/>
                                <w:bCs/>
                                <w:color w:val="000000" w:themeColor="text1"/>
                                <w:szCs w:val="24"/>
                              </w:rPr>
                              <w:t>1</w:t>
                            </w:r>
                            <w:r>
                              <w:rPr>
                                <w:rFonts w:ascii="標楷體" w:eastAsia="標楷體" w:hAnsi="標楷體"/>
                                <w:b/>
                                <w:bCs/>
                                <w:color w:val="000000" w:themeColor="text1"/>
                                <w:szCs w:val="24"/>
                              </w:rPr>
                              <w:t>6</w:t>
                            </w:r>
                            <w:r w:rsidRPr="00DA59BD">
                              <w:rPr>
                                <w:rFonts w:ascii="標楷體" w:eastAsia="標楷體" w:hAnsi="標楷體" w:hint="eastAsia"/>
                                <w:b/>
                                <w:bCs/>
                                <w:szCs w:val="24"/>
                              </w:rPr>
                              <w:t xml:space="preserve">　</w:t>
                            </w:r>
                            <w:r>
                              <w:rPr>
                                <w:rFonts w:ascii="標楷體" w:eastAsia="標楷體" w:hAnsi="標楷體" w:cs="新細明體" w:hint="eastAsia"/>
                                <w:b/>
                                <w:bCs/>
                                <w:kern w:val="0"/>
                                <w:szCs w:val="24"/>
                              </w:rPr>
                              <w:t>截</w:t>
                            </w:r>
                            <w:r>
                              <w:rPr>
                                <w:rFonts w:ascii="標楷體" w:eastAsia="標楷體" w:hAnsi="標楷體" w:cs="新細明體"/>
                                <w:b/>
                                <w:bCs/>
                                <w:kern w:val="0"/>
                                <w:szCs w:val="24"/>
                              </w:rPr>
                              <w:t>至</w:t>
                            </w:r>
                            <w:r>
                              <w:rPr>
                                <w:rFonts w:ascii="標楷體" w:eastAsia="標楷體" w:hAnsi="標楷體" w:cs="新細明體" w:hint="eastAsia"/>
                                <w:b/>
                                <w:bCs/>
                                <w:kern w:val="0"/>
                                <w:szCs w:val="24"/>
                              </w:rPr>
                              <w:t>113年3月</w:t>
                            </w:r>
                            <w:r>
                              <w:rPr>
                                <w:rFonts w:ascii="標楷體" w:eastAsia="標楷體" w:hAnsi="標楷體" w:cs="新細明體"/>
                                <w:b/>
                                <w:bCs/>
                                <w:kern w:val="0"/>
                                <w:szCs w:val="24"/>
                              </w:rPr>
                              <w:t>底</w:t>
                            </w:r>
                            <w:r>
                              <w:rPr>
                                <w:rFonts w:ascii="標楷體" w:eastAsia="標楷體" w:hAnsi="標楷體" w:cs="新細明體" w:hint="eastAsia"/>
                                <w:b/>
                                <w:bCs/>
                                <w:kern w:val="0"/>
                                <w:szCs w:val="24"/>
                              </w:rPr>
                              <w:t>各級</w:t>
                            </w:r>
                            <w:r w:rsidRPr="00A075ED">
                              <w:rPr>
                                <w:rFonts w:ascii="標楷體" w:eastAsia="標楷體" w:hAnsi="標楷體" w:cs="新細明體"/>
                                <w:b/>
                                <w:bCs/>
                                <w:kern w:val="0"/>
                                <w:szCs w:val="24"/>
                              </w:rPr>
                              <w:t>政府</w:t>
                            </w:r>
                            <w:r w:rsidRPr="00A075ED">
                              <w:rPr>
                                <w:rFonts w:ascii="標楷體" w:eastAsia="標楷體" w:hAnsi="標楷體" w:cs="新細明體" w:hint="eastAsia"/>
                                <w:b/>
                                <w:bCs/>
                                <w:kern w:val="0"/>
                                <w:szCs w:val="24"/>
                              </w:rPr>
                              <w:t>發行永續發展政府債券情形</w:t>
                            </w:r>
                          </w:p>
                        </w:tc>
                      </w:tr>
                      <w:tr w:rsidR="00A0212B" w:rsidRPr="00A075ED" w14:paraId="4E11D20A" w14:textId="77777777" w:rsidTr="002314E4">
                        <w:trPr>
                          <w:trHeight w:val="282"/>
                          <w:jc w:val="center"/>
                        </w:trPr>
                        <w:tc>
                          <w:tcPr>
                            <w:tcW w:w="6096" w:type="dxa"/>
                            <w:gridSpan w:val="5"/>
                            <w:tcBorders>
                              <w:bottom w:val="single" w:sz="4" w:space="0" w:color="auto"/>
                            </w:tcBorders>
                            <w:shd w:val="clear" w:color="auto" w:fill="auto"/>
                            <w:noWrap/>
                            <w:vAlign w:val="center"/>
                          </w:tcPr>
                          <w:p w14:paraId="45C91405" w14:textId="77777777" w:rsidR="00A0212B" w:rsidRPr="006B6ADB" w:rsidRDefault="00A0212B" w:rsidP="002314E4">
                            <w:pPr>
                              <w:widowControl/>
                              <w:spacing w:line="24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單位：新臺幣千元、檔</w:t>
                            </w:r>
                          </w:p>
                        </w:tc>
                      </w:tr>
                      <w:tr w:rsidR="00A0212B" w:rsidRPr="00A075ED" w14:paraId="5261D5B6" w14:textId="77777777" w:rsidTr="002314E4">
                        <w:trPr>
                          <w:trHeight w:val="454"/>
                          <w:jc w:val="center"/>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3BBC0"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發行人名稱</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680BA"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債券</w:t>
                            </w:r>
                            <w:r>
                              <w:rPr>
                                <w:rFonts w:ascii="標楷體" w:eastAsia="標楷體" w:hAnsi="標楷體" w:cs="新細明體" w:hint="eastAsia"/>
                                <w:kern w:val="0"/>
                                <w:sz w:val="20"/>
                              </w:rPr>
                              <w:t>（</w:t>
                            </w:r>
                            <w:r w:rsidRPr="006B6ADB">
                              <w:rPr>
                                <w:rFonts w:ascii="標楷體" w:eastAsia="標楷體" w:hAnsi="標楷體" w:cs="新細明體" w:hint="eastAsia"/>
                                <w:kern w:val="0"/>
                                <w:sz w:val="20"/>
                              </w:rPr>
                              <w:t>計畫</w:t>
                            </w:r>
                            <w:r>
                              <w:rPr>
                                <w:rFonts w:ascii="標楷體" w:eastAsia="標楷體" w:hAnsi="標楷體" w:cs="新細明體"/>
                                <w:kern w:val="0"/>
                                <w:sz w:val="20"/>
                              </w:rPr>
                              <w:t>）</w:t>
                            </w:r>
                            <w:r w:rsidRPr="006B6ADB">
                              <w:rPr>
                                <w:rFonts w:ascii="標楷體" w:eastAsia="標楷體" w:hAnsi="標楷體" w:cs="新細明體" w:hint="eastAsia"/>
                                <w:kern w:val="0"/>
                                <w:sz w:val="20"/>
                              </w:rPr>
                              <w:t>類別</w:t>
                            </w:r>
                          </w:p>
                        </w:tc>
                        <w:tc>
                          <w:tcPr>
                            <w:tcW w:w="567" w:type="dxa"/>
                            <w:tcBorders>
                              <w:top w:val="single" w:sz="4" w:space="0" w:color="auto"/>
                              <w:left w:val="single" w:sz="4" w:space="0" w:color="auto"/>
                              <w:bottom w:val="single" w:sz="4" w:space="0" w:color="auto"/>
                              <w:right w:val="single" w:sz="4" w:space="0" w:color="auto"/>
                            </w:tcBorders>
                            <w:vAlign w:val="center"/>
                          </w:tcPr>
                          <w:p w14:paraId="63F54073"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發行檔數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676A9"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發行總額</w:t>
                            </w:r>
                          </w:p>
                        </w:tc>
                        <w:tc>
                          <w:tcPr>
                            <w:tcW w:w="993" w:type="dxa"/>
                            <w:tcBorders>
                              <w:top w:val="single" w:sz="4" w:space="0" w:color="auto"/>
                              <w:left w:val="single" w:sz="4" w:space="0" w:color="auto"/>
                              <w:bottom w:val="single" w:sz="4" w:space="0" w:color="auto"/>
                              <w:right w:val="single" w:sz="4" w:space="0" w:color="auto"/>
                            </w:tcBorders>
                            <w:vAlign w:val="center"/>
                          </w:tcPr>
                          <w:p w14:paraId="3CF3070A"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發行日期</w:t>
                            </w:r>
                          </w:p>
                        </w:tc>
                      </w:tr>
                      <w:tr w:rsidR="00A0212B" w:rsidRPr="00A075ED" w14:paraId="5251D874" w14:textId="77777777" w:rsidTr="00E31547">
                        <w:trPr>
                          <w:trHeight w:val="340"/>
                          <w:jc w:val="center"/>
                        </w:trPr>
                        <w:tc>
                          <w:tcPr>
                            <w:tcW w:w="34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E50811C" w14:textId="77777777" w:rsidR="00A0212B" w:rsidRPr="00BC6A8B" w:rsidRDefault="00A0212B" w:rsidP="002314E4">
                            <w:pPr>
                              <w:widowControl/>
                              <w:spacing w:line="200" w:lineRule="exact"/>
                              <w:jc w:val="center"/>
                              <w:rPr>
                                <w:rFonts w:ascii="標楷體" w:eastAsia="標楷體" w:hAnsi="標楷體" w:cs="新細明體"/>
                                <w:b/>
                                <w:kern w:val="0"/>
                                <w:sz w:val="20"/>
                              </w:rPr>
                            </w:pPr>
                            <w:r w:rsidRPr="00BC6A8B">
                              <w:rPr>
                                <w:rFonts w:ascii="標楷體" w:eastAsia="標楷體" w:hAnsi="標楷體" w:cs="新細明體" w:hint="eastAsia"/>
                                <w:b/>
                                <w:kern w:val="0"/>
                                <w:sz w:val="20"/>
                              </w:rPr>
                              <w:t xml:space="preserve">合 </w:t>
                            </w:r>
                            <w:r w:rsidRPr="00BC6A8B">
                              <w:rPr>
                                <w:rFonts w:ascii="標楷體" w:eastAsia="標楷體" w:hAnsi="標楷體" w:cs="新細明體"/>
                                <w:b/>
                                <w:kern w:val="0"/>
                                <w:sz w:val="20"/>
                              </w:rPr>
                              <w:t xml:space="preserve"> </w:t>
                            </w:r>
                            <w:r w:rsidRPr="00BC6A8B">
                              <w:rPr>
                                <w:rFonts w:ascii="標楷體" w:eastAsia="標楷體" w:hAnsi="標楷體" w:cs="新細明體" w:hint="eastAsia"/>
                                <w:b/>
                                <w:kern w:val="0"/>
                                <w:sz w:val="20"/>
                              </w:rPr>
                              <w:t>計</w:t>
                            </w:r>
                          </w:p>
                        </w:tc>
                        <w:tc>
                          <w:tcPr>
                            <w:tcW w:w="567" w:type="dxa"/>
                            <w:tcBorders>
                              <w:top w:val="single" w:sz="4" w:space="0" w:color="auto"/>
                              <w:left w:val="single" w:sz="4" w:space="0" w:color="auto"/>
                              <w:bottom w:val="single" w:sz="4" w:space="0" w:color="auto"/>
                              <w:right w:val="single" w:sz="4" w:space="0" w:color="auto"/>
                            </w:tcBorders>
                            <w:vAlign w:val="center"/>
                          </w:tcPr>
                          <w:p w14:paraId="4175C86B" w14:textId="77777777" w:rsidR="00A0212B" w:rsidRPr="00BC6A8B" w:rsidRDefault="00A0212B" w:rsidP="002314E4">
                            <w:pPr>
                              <w:widowControl/>
                              <w:spacing w:line="200" w:lineRule="exact"/>
                              <w:jc w:val="right"/>
                              <w:rPr>
                                <w:rFonts w:ascii="標楷體" w:eastAsia="標楷體" w:hAnsi="標楷體" w:cs="新細明體"/>
                                <w:b/>
                                <w:kern w:val="0"/>
                                <w:sz w:val="20"/>
                              </w:rPr>
                            </w:pPr>
                            <w:r w:rsidRPr="00BC6A8B">
                              <w:rPr>
                                <w:rFonts w:ascii="標楷體" w:eastAsia="標楷體" w:hAnsi="標楷體" w:cs="新細明體" w:hint="eastAsia"/>
                                <w:b/>
                                <w:kern w:val="0"/>
                                <w:sz w:val="20"/>
                              </w:rPr>
                              <w:t>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968204" w14:textId="77777777" w:rsidR="00A0212B" w:rsidRPr="00BC6A8B" w:rsidRDefault="00A0212B" w:rsidP="002314E4">
                            <w:pPr>
                              <w:widowControl/>
                              <w:spacing w:line="200" w:lineRule="exact"/>
                              <w:jc w:val="right"/>
                              <w:rPr>
                                <w:rFonts w:ascii="標楷體" w:eastAsia="標楷體" w:hAnsi="標楷體" w:cs="新細明體"/>
                                <w:b/>
                                <w:kern w:val="0"/>
                                <w:sz w:val="20"/>
                              </w:rPr>
                            </w:pPr>
                            <w:r w:rsidRPr="00BC6A8B">
                              <w:rPr>
                                <w:rFonts w:ascii="標楷體" w:eastAsia="標楷體" w:hAnsi="標楷體" w:cs="新細明體" w:hint="eastAsia"/>
                                <w:b/>
                                <w:kern w:val="0"/>
                                <w:sz w:val="20"/>
                              </w:rPr>
                              <w:t>1</w:t>
                            </w:r>
                            <w:r w:rsidRPr="00BC6A8B">
                              <w:rPr>
                                <w:rFonts w:ascii="標楷體" w:eastAsia="標楷體" w:hAnsi="標楷體" w:cs="新細明體"/>
                                <w:b/>
                                <w:kern w:val="0"/>
                                <w:sz w:val="20"/>
                              </w:rPr>
                              <w:t>2,000,000</w:t>
                            </w:r>
                          </w:p>
                        </w:tc>
                        <w:tc>
                          <w:tcPr>
                            <w:tcW w:w="993"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4F06C8CA" w14:textId="77777777" w:rsidR="00A0212B" w:rsidRPr="006B6ADB" w:rsidRDefault="00A0212B" w:rsidP="002314E4">
                            <w:pPr>
                              <w:widowControl/>
                              <w:spacing w:line="200" w:lineRule="exact"/>
                              <w:jc w:val="center"/>
                              <w:rPr>
                                <w:rFonts w:ascii="標楷體" w:eastAsia="標楷體" w:hAnsi="標楷體" w:cs="新細明體"/>
                                <w:kern w:val="0"/>
                                <w:sz w:val="20"/>
                              </w:rPr>
                            </w:pPr>
                          </w:p>
                        </w:tc>
                      </w:tr>
                      <w:tr w:rsidR="00A0212B" w:rsidRPr="00A075ED" w14:paraId="28EF7057" w14:textId="77777777" w:rsidTr="00E31547">
                        <w:trPr>
                          <w:trHeight w:val="283"/>
                          <w:jc w:val="center"/>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8E9C9A3" w14:textId="77777777" w:rsidR="00A0212B" w:rsidRPr="006B6ADB" w:rsidRDefault="00A0212B" w:rsidP="002314E4">
                            <w:pPr>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臺北市政府</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E9307B" w14:textId="77777777" w:rsidR="00A0212B" w:rsidRPr="006B6ADB" w:rsidRDefault="00A0212B" w:rsidP="002314E4">
                            <w:pPr>
                              <w:widowControl/>
                              <w:spacing w:line="200" w:lineRule="exact"/>
                              <w:jc w:val="center"/>
                              <w:rPr>
                                <w:rFonts w:ascii="標楷體" w:eastAsia="標楷體" w:hAnsi="標楷體" w:cs="新細明體"/>
                                <w:b/>
                                <w:kern w:val="0"/>
                                <w:sz w:val="20"/>
                              </w:rPr>
                            </w:pPr>
                            <w:r w:rsidRPr="006B6ADB">
                              <w:rPr>
                                <w:rFonts w:ascii="標楷體" w:eastAsia="標楷體" w:hAnsi="標楷體" w:cs="新細明體" w:hint="eastAsia"/>
                                <w:b/>
                                <w:kern w:val="0"/>
                                <w:sz w:val="20"/>
                              </w:rPr>
                              <w:t xml:space="preserve">小 </w:t>
                            </w:r>
                            <w:r w:rsidRPr="006B6ADB">
                              <w:rPr>
                                <w:rFonts w:ascii="標楷體" w:eastAsia="標楷體" w:hAnsi="標楷體" w:cs="新細明體"/>
                                <w:b/>
                                <w:kern w:val="0"/>
                                <w:sz w:val="20"/>
                              </w:rPr>
                              <w:t xml:space="preserve"> </w:t>
                            </w:r>
                            <w:r w:rsidRPr="006B6ADB">
                              <w:rPr>
                                <w:rFonts w:ascii="標楷體" w:eastAsia="標楷體" w:hAnsi="標楷體" w:cs="新細明體" w:hint="eastAsia"/>
                                <w:b/>
                                <w:kern w:val="0"/>
                                <w:sz w:val="20"/>
                              </w:rPr>
                              <w:t>計</w:t>
                            </w:r>
                          </w:p>
                        </w:tc>
                        <w:tc>
                          <w:tcPr>
                            <w:tcW w:w="567" w:type="dxa"/>
                            <w:tcBorders>
                              <w:top w:val="single" w:sz="4" w:space="0" w:color="auto"/>
                              <w:left w:val="single" w:sz="4" w:space="0" w:color="auto"/>
                              <w:bottom w:val="single" w:sz="4" w:space="0" w:color="auto"/>
                              <w:right w:val="single" w:sz="4" w:space="0" w:color="auto"/>
                            </w:tcBorders>
                            <w:vAlign w:val="center"/>
                          </w:tcPr>
                          <w:p w14:paraId="2BF5B65A" w14:textId="77777777" w:rsidR="00A0212B" w:rsidRPr="006B6ADB" w:rsidRDefault="00A0212B" w:rsidP="002314E4">
                            <w:pPr>
                              <w:widowControl/>
                              <w:spacing w:line="200" w:lineRule="exact"/>
                              <w:jc w:val="right"/>
                              <w:rPr>
                                <w:rFonts w:ascii="標楷體" w:eastAsia="標楷體" w:hAnsi="標楷體" w:cs="新細明體"/>
                                <w:b/>
                                <w:kern w:val="0"/>
                                <w:sz w:val="20"/>
                              </w:rPr>
                            </w:pPr>
                            <w:r w:rsidRPr="006B6ADB">
                              <w:rPr>
                                <w:rFonts w:ascii="標楷體" w:eastAsia="標楷體" w:hAnsi="標楷體" w:cs="新細明體" w:hint="eastAsia"/>
                                <w:b/>
                                <w:kern w:val="0"/>
                                <w:sz w:val="20"/>
                              </w:rPr>
                              <w:t>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61621B" w14:textId="77777777" w:rsidR="00A0212B" w:rsidRPr="006B6ADB" w:rsidRDefault="00A0212B" w:rsidP="002314E4">
                            <w:pPr>
                              <w:widowControl/>
                              <w:spacing w:line="200" w:lineRule="exact"/>
                              <w:jc w:val="right"/>
                              <w:rPr>
                                <w:rFonts w:ascii="標楷體" w:eastAsia="標楷體" w:hAnsi="標楷體" w:cs="新細明體"/>
                                <w:b/>
                                <w:kern w:val="0"/>
                                <w:sz w:val="20"/>
                              </w:rPr>
                            </w:pPr>
                            <w:r w:rsidRPr="006B6ADB">
                              <w:rPr>
                                <w:rFonts w:ascii="標楷體" w:eastAsia="標楷體" w:hAnsi="標楷體" w:cs="新細明體" w:hint="eastAsia"/>
                                <w:b/>
                                <w:kern w:val="0"/>
                                <w:sz w:val="20"/>
                              </w:rPr>
                              <w:t>1</w:t>
                            </w:r>
                            <w:r w:rsidRPr="006B6ADB">
                              <w:rPr>
                                <w:rFonts w:ascii="標楷體" w:eastAsia="標楷體" w:hAnsi="標楷體" w:cs="新細明體"/>
                                <w:b/>
                                <w:kern w:val="0"/>
                                <w:sz w:val="20"/>
                              </w:rPr>
                              <w:t>0,000,000</w:t>
                            </w:r>
                          </w:p>
                        </w:tc>
                        <w:tc>
                          <w:tcPr>
                            <w:tcW w:w="993" w:type="dxa"/>
                            <w:vMerge/>
                            <w:tcBorders>
                              <w:top w:val="single" w:sz="4" w:space="0" w:color="auto"/>
                              <w:left w:val="single" w:sz="4" w:space="0" w:color="auto"/>
                              <w:bottom w:val="single" w:sz="4" w:space="0" w:color="auto"/>
                              <w:right w:val="single" w:sz="4" w:space="0" w:color="auto"/>
                              <w:tl2br w:val="single" w:sz="4" w:space="0" w:color="auto"/>
                            </w:tcBorders>
                            <w:vAlign w:val="center"/>
                          </w:tcPr>
                          <w:p w14:paraId="0EFD5D42" w14:textId="77777777" w:rsidR="00A0212B" w:rsidRPr="006B6ADB" w:rsidRDefault="00A0212B" w:rsidP="002314E4">
                            <w:pPr>
                              <w:widowControl/>
                              <w:spacing w:line="200" w:lineRule="exact"/>
                              <w:jc w:val="center"/>
                              <w:rPr>
                                <w:rFonts w:ascii="標楷體" w:eastAsia="標楷體" w:hAnsi="標楷體" w:cs="新細明體"/>
                                <w:kern w:val="0"/>
                                <w:sz w:val="20"/>
                              </w:rPr>
                            </w:pPr>
                          </w:p>
                        </w:tc>
                      </w:tr>
                      <w:tr w:rsidR="00A0212B" w:rsidRPr="00A075ED" w14:paraId="0B52221F" w14:textId="77777777" w:rsidTr="00E31547">
                        <w:trPr>
                          <w:trHeight w:val="340"/>
                          <w:jc w:val="center"/>
                        </w:trPr>
                        <w:tc>
                          <w:tcPr>
                            <w:tcW w:w="1134"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57866" w14:textId="77777777" w:rsidR="00A0212B" w:rsidRPr="006B6ADB" w:rsidRDefault="00A0212B" w:rsidP="002314E4">
                            <w:pPr>
                              <w:widowControl/>
                              <w:spacing w:line="200" w:lineRule="exact"/>
                              <w:jc w:val="center"/>
                              <w:rPr>
                                <w:rFonts w:ascii="標楷體" w:eastAsia="標楷體" w:hAnsi="標楷體" w:cs="新細明體"/>
                                <w:kern w:val="0"/>
                                <w:sz w:val="20"/>
                              </w:rPr>
                            </w:pP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89CC6"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社會責任債券</w:t>
                            </w:r>
                          </w:p>
                          <w:p w14:paraId="510328DA" w14:textId="77777777" w:rsidR="00A0212B" w:rsidRPr="006B6ADB" w:rsidRDefault="00A0212B" w:rsidP="002314E4">
                            <w:pPr>
                              <w:widowControl/>
                              <w:spacing w:line="200" w:lineRule="exact"/>
                              <w:ind w:leftChars="-50" w:left="-120" w:rightChars="-50" w:right="-120"/>
                              <w:jc w:val="center"/>
                              <w:rPr>
                                <w:rFonts w:ascii="標楷體" w:eastAsia="標楷體" w:hAnsi="標楷體" w:cs="新細明體"/>
                                <w:kern w:val="0"/>
                                <w:sz w:val="20"/>
                              </w:rPr>
                            </w:pPr>
                            <w:r>
                              <w:rPr>
                                <w:rFonts w:ascii="標楷體" w:eastAsia="標楷體" w:hAnsi="標楷體" w:cs="新細明體" w:hint="eastAsia"/>
                                <w:kern w:val="0"/>
                                <w:sz w:val="20"/>
                              </w:rPr>
                              <w:t>（</w:t>
                            </w:r>
                            <w:r w:rsidRPr="006B6ADB">
                              <w:rPr>
                                <w:rFonts w:ascii="標楷體" w:eastAsia="標楷體" w:hAnsi="標楷體" w:cs="新細明體" w:hint="eastAsia"/>
                                <w:kern w:val="0"/>
                                <w:sz w:val="20"/>
                              </w:rPr>
                              <w:t>可負擔的基礎生活設施</w:t>
                            </w:r>
                            <w:r>
                              <w:rPr>
                                <w:rFonts w:ascii="標楷體" w:eastAsia="標楷體" w:hAnsi="標楷體" w:cs="新細明體"/>
                                <w:kern w:val="0"/>
                                <w:sz w:val="20"/>
                              </w:rPr>
                              <w:t>）</w:t>
                            </w:r>
                          </w:p>
                        </w:tc>
                        <w:tc>
                          <w:tcPr>
                            <w:tcW w:w="567" w:type="dxa"/>
                            <w:tcBorders>
                              <w:top w:val="single" w:sz="4" w:space="0" w:color="auto"/>
                              <w:left w:val="single" w:sz="4" w:space="0" w:color="auto"/>
                              <w:bottom w:val="single" w:sz="4" w:space="0" w:color="auto"/>
                              <w:right w:val="single" w:sz="4" w:space="0" w:color="auto"/>
                            </w:tcBorders>
                            <w:vAlign w:val="center"/>
                          </w:tcPr>
                          <w:p w14:paraId="014313A2"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4D891"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kern w:val="0"/>
                                <w:sz w:val="20"/>
                              </w:rPr>
                              <w:t>2,500,000</w:t>
                            </w:r>
                            <w:r w:rsidRPr="006B6ADB">
                              <w:rPr>
                                <w:rFonts w:ascii="標楷體" w:eastAsia="標楷體" w:hAnsi="標楷體" w:cs="新細明體" w:hint="eastAsia"/>
                                <w:kern w:val="0"/>
                                <w:sz w:val="20"/>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304D452"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1</w:t>
                            </w:r>
                            <w:r w:rsidRPr="006B6ADB">
                              <w:rPr>
                                <w:rFonts w:ascii="標楷體" w:eastAsia="標楷體" w:hAnsi="標楷體" w:cs="新細明體"/>
                                <w:kern w:val="0"/>
                                <w:sz w:val="20"/>
                              </w:rPr>
                              <w:t>13.01.10</w:t>
                            </w:r>
                          </w:p>
                        </w:tc>
                      </w:tr>
                      <w:tr w:rsidR="00A0212B" w:rsidRPr="00A075ED" w14:paraId="2C50EAF6" w14:textId="77777777" w:rsidTr="00E31547">
                        <w:trPr>
                          <w:trHeight w:val="340"/>
                          <w:jc w:val="center"/>
                        </w:trPr>
                        <w:tc>
                          <w:tcPr>
                            <w:tcW w:w="1134" w:type="dxa"/>
                            <w:vMerge/>
                            <w:tcBorders>
                              <w:top w:val="single" w:sz="4" w:space="0" w:color="auto"/>
                              <w:left w:val="single" w:sz="4" w:space="0" w:color="auto"/>
                              <w:bottom w:val="single" w:sz="4" w:space="0" w:color="auto"/>
                              <w:right w:val="single" w:sz="4" w:space="0" w:color="auto"/>
                            </w:tcBorders>
                            <w:vAlign w:val="center"/>
                          </w:tcPr>
                          <w:p w14:paraId="68F3A8A8" w14:textId="77777777" w:rsidR="00A0212B" w:rsidRPr="006B6ADB" w:rsidRDefault="00A0212B" w:rsidP="002314E4">
                            <w:pPr>
                              <w:widowControl/>
                              <w:spacing w:line="200" w:lineRule="exact"/>
                              <w:rPr>
                                <w:rFonts w:ascii="標楷體" w:eastAsia="標楷體" w:hAnsi="標楷體" w:cs="新細明體"/>
                                <w:kern w:val="0"/>
                                <w:sz w:val="20"/>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669A2FB9" w14:textId="77777777" w:rsidR="00A0212B" w:rsidRPr="006B6ADB" w:rsidRDefault="00A0212B" w:rsidP="002314E4">
                            <w:pPr>
                              <w:widowControl/>
                              <w:spacing w:line="200" w:lineRule="exact"/>
                              <w:jc w:val="center"/>
                              <w:rPr>
                                <w:rFonts w:ascii="標楷體" w:eastAsia="標楷體" w:hAnsi="標楷體" w:cs="新細明體"/>
                                <w:kern w:val="0"/>
                                <w:sz w:val="20"/>
                              </w:rPr>
                            </w:pPr>
                          </w:p>
                        </w:tc>
                        <w:tc>
                          <w:tcPr>
                            <w:tcW w:w="567" w:type="dxa"/>
                            <w:tcBorders>
                              <w:top w:val="single" w:sz="4" w:space="0" w:color="auto"/>
                              <w:left w:val="single" w:sz="4" w:space="0" w:color="auto"/>
                              <w:bottom w:val="single" w:sz="4" w:space="0" w:color="auto"/>
                              <w:right w:val="single" w:sz="4" w:space="0" w:color="auto"/>
                            </w:tcBorders>
                            <w:vAlign w:val="center"/>
                          </w:tcPr>
                          <w:p w14:paraId="4425C9F0"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0CE15"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7</w:t>
                            </w:r>
                            <w:r w:rsidRPr="006B6ADB">
                              <w:rPr>
                                <w:rFonts w:ascii="標楷體" w:eastAsia="標楷體" w:hAnsi="標楷體" w:cs="新細明體"/>
                                <w:kern w:val="0"/>
                                <w:sz w:val="20"/>
                              </w:rPr>
                              <w:t>,500,000</w:t>
                            </w:r>
                          </w:p>
                        </w:tc>
                        <w:tc>
                          <w:tcPr>
                            <w:tcW w:w="993" w:type="dxa"/>
                            <w:tcBorders>
                              <w:top w:val="single" w:sz="4" w:space="0" w:color="auto"/>
                              <w:left w:val="single" w:sz="4" w:space="0" w:color="auto"/>
                              <w:bottom w:val="single" w:sz="4" w:space="0" w:color="auto"/>
                              <w:right w:val="single" w:sz="4" w:space="0" w:color="auto"/>
                            </w:tcBorders>
                            <w:vAlign w:val="center"/>
                          </w:tcPr>
                          <w:p w14:paraId="17AEE9ED"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1</w:t>
                            </w:r>
                            <w:r w:rsidRPr="006B6ADB">
                              <w:rPr>
                                <w:rFonts w:ascii="標楷體" w:eastAsia="標楷體" w:hAnsi="標楷體" w:cs="新細明體"/>
                                <w:kern w:val="0"/>
                                <w:sz w:val="20"/>
                              </w:rPr>
                              <w:t>13.03.25</w:t>
                            </w:r>
                          </w:p>
                        </w:tc>
                      </w:tr>
                      <w:tr w:rsidR="00A0212B" w:rsidRPr="00A075ED" w14:paraId="3EDF2068" w14:textId="77777777" w:rsidTr="00E31547">
                        <w:trPr>
                          <w:trHeight w:val="340"/>
                          <w:jc w:val="center"/>
                        </w:trPr>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752AC3F" w14:textId="77777777" w:rsidR="00A0212B" w:rsidRPr="006B6ADB" w:rsidRDefault="00A0212B" w:rsidP="002314E4">
                            <w:pPr>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高雄市政府</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6AE4C" w14:textId="77777777" w:rsidR="00A0212B" w:rsidRPr="006B6ADB" w:rsidRDefault="00A0212B" w:rsidP="002314E4">
                            <w:pPr>
                              <w:widowControl/>
                              <w:spacing w:line="200" w:lineRule="exact"/>
                              <w:jc w:val="center"/>
                              <w:rPr>
                                <w:rFonts w:ascii="標楷體" w:eastAsia="標楷體" w:hAnsi="標楷體" w:cs="新細明體"/>
                                <w:b/>
                                <w:kern w:val="0"/>
                                <w:sz w:val="20"/>
                              </w:rPr>
                            </w:pPr>
                            <w:r w:rsidRPr="006B6ADB">
                              <w:rPr>
                                <w:rFonts w:ascii="標楷體" w:eastAsia="標楷體" w:hAnsi="標楷體" w:cs="新細明體" w:hint="eastAsia"/>
                                <w:b/>
                                <w:kern w:val="0"/>
                                <w:sz w:val="20"/>
                              </w:rPr>
                              <w:t xml:space="preserve">小 </w:t>
                            </w:r>
                            <w:r w:rsidRPr="006B6ADB">
                              <w:rPr>
                                <w:rFonts w:ascii="標楷體" w:eastAsia="標楷體" w:hAnsi="標楷體" w:cs="新細明體"/>
                                <w:b/>
                                <w:kern w:val="0"/>
                                <w:sz w:val="20"/>
                              </w:rPr>
                              <w:t xml:space="preserve"> </w:t>
                            </w:r>
                            <w:r w:rsidRPr="006B6ADB">
                              <w:rPr>
                                <w:rFonts w:ascii="標楷體" w:eastAsia="標楷體" w:hAnsi="標楷體" w:cs="新細明體" w:hint="eastAsia"/>
                                <w:b/>
                                <w:kern w:val="0"/>
                                <w:sz w:val="20"/>
                              </w:rPr>
                              <w:t>計</w:t>
                            </w:r>
                          </w:p>
                        </w:tc>
                        <w:tc>
                          <w:tcPr>
                            <w:tcW w:w="567" w:type="dxa"/>
                            <w:tcBorders>
                              <w:top w:val="single" w:sz="4" w:space="0" w:color="auto"/>
                              <w:left w:val="single" w:sz="4" w:space="0" w:color="auto"/>
                              <w:bottom w:val="single" w:sz="4" w:space="0" w:color="auto"/>
                              <w:right w:val="single" w:sz="4" w:space="0" w:color="auto"/>
                            </w:tcBorders>
                            <w:vAlign w:val="center"/>
                          </w:tcPr>
                          <w:p w14:paraId="0A798968" w14:textId="77777777" w:rsidR="00A0212B" w:rsidRPr="006B6ADB" w:rsidRDefault="00A0212B" w:rsidP="002314E4">
                            <w:pPr>
                              <w:widowControl/>
                              <w:spacing w:line="200" w:lineRule="exact"/>
                              <w:jc w:val="right"/>
                              <w:rPr>
                                <w:rFonts w:ascii="標楷體" w:eastAsia="標楷體" w:hAnsi="標楷體" w:cs="新細明體"/>
                                <w:b/>
                                <w:kern w:val="0"/>
                                <w:sz w:val="20"/>
                              </w:rPr>
                            </w:pPr>
                            <w:r w:rsidRPr="006B6ADB">
                              <w:rPr>
                                <w:rFonts w:ascii="標楷體" w:eastAsia="標楷體" w:hAnsi="標楷體" w:cs="新細明體" w:hint="eastAsia"/>
                                <w:b/>
                                <w:kern w:val="0"/>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990E8E" w14:textId="77777777" w:rsidR="00A0212B" w:rsidRPr="006B6ADB" w:rsidRDefault="00A0212B" w:rsidP="002314E4">
                            <w:pPr>
                              <w:widowControl/>
                              <w:spacing w:line="200" w:lineRule="exact"/>
                              <w:jc w:val="right"/>
                              <w:rPr>
                                <w:rFonts w:ascii="標楷體" w:eastAsia="標楷體" w:hAnsi="標楷體" w:cs="新細明體"/>
                                <w:b/>
                                <w:kern w:val="0"/>
                                <w:sz w:val="20"/>
                              </w:rPr>
                            </w:pPr>
                            <w:r w:rsidRPr="006B6ADB">
                              <w:rPr>
                                <w:rFonts w:ascii="標楷體" w:eastAsia="標楷體" w:hAnsi="標楷體" w:cs="新細明體"/>
                                <w:b/>
                                <w:kern w:val="0"/>
                                <w:sz w:val="20"/>
                              </w:rPr>
                              <w:t>2,000,000</w:t>
                            </w:r>
                          </w:p>
                        </w:tc>
                        <w:tc>
                          <w:tcPr>
                            <w:tcW w:w="993" w:type="dxa"/>
                            <w:tcBorders>
                              <w:top w:val="single" w:sz="4" w:space="0" w:color="auto"/>
                              <w:left w:val="single" w:sz="4" w:space="0" w:color="auto"/>
                              <w:bottom w:val="single" w:sz="4" w:space="0" w:color="auto"/>
                              <w:right w:val="single" w:sz="4" w:space="0" w:color="auto"/>
                              <w:tl2br w:val="single" w:sz="4" w:space="0" w:color="auto"/>
                            </w:tcBorders>
                          </w:tcPr>
                          <w:p w14:paraId="51D04B21" w14:textId="77777777" w:rsidR="00A0212B" w:rsidRPr="006B6ADB" w:rsidRDefault="00A0212B" w:rsidP="002314E4">
                            <w:pPr>
                              <w:widowControl/>
                              <w:spacing w:line="200" w:lineRule="exact"/>
                              <w:jc w:val="right"/>
                              <w:rPr>
                                <w:rFonts w:ascii="標楷體" w:eastAsia="標楷體" w:hAnsi="標楷體" w:cs="新細明體"/>
                                <w:kern w:val="0"/>
                                <w:sz w:val="20"/>
                              </w:rPr>
                            </w:pPr>
                          </w:p>
                        </w:tc>
                      </w:tr>
                      <w:tr w:rsidR="00A0212B" w:rsidRPr="00A075ED" w14:paraId="263606A7" w14:textId="77777777" w:rsidTr="00E31547">
                        <w:trPr>
                          <w:trHeight w:val="454"/>
                          <w:jc w:val="center"/>
                        </w:trPr>
                        <w:tc>
                          <w:tcPr>
                            <w:tcW w:w="1134"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B1372" w14:textId="77777777" w:rsidR="00A0212B" w:rsidRPr="006B6ADB" w:rsidRDefault="00A0212B" w:rsidP="002314E4">
                            <w:pPr>
                              <w:widowControl/>
                              <w:spacing w:line="200" w:lineRule="exact"/>
                              <w:jc w:val="center"/>
                              <w:rPr>
                                <w:rFonts w:ascii="標楷體" w:eastAsia="標楷體" w:hAnsi="標楷體" w:cs="新細明體"/>
                                <w:kern w:val="0"/>
                                <w:sz w:val="20"/>
                              </w:rPr>
                            </w:pP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5B1D7"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綠色債券</w:t>
                            </w:r>
                          </w:p>
                          <w:p w14:paraId="63944C23" w14:textId="77777777" w:rsidR="00A0212B" w:rsidRPr="006B6ADB" w:rsidRDefault="00A0212B" w:rsidP="002314E4">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w:t>
                            </w:r>
                            <w:r w:rsidRPr="006B6ADB">
                              <w:rPr>
                                <w:rFonts w:ascii="標楷體" w:eastAsia="標楷體" w:hAnsi="標楷體" w:cs="新細明體" w:hint="eastAsia"/>
                                <w:kern w:val="0"/>
                                <w:sz w:val="20"/>
                              </w:rPr>
                              <w:t>溫室氣體減量</w:t>
                            </w:r>
                            <w:r>
                              <w:rPr>
                                <w:rFonts w:ascii="標楷體" w:eastAsia="標楷體" w:hAnsi="標楷體" w:cs="新細明體"/>
                                <w:kern w:val="0"/>
                                <w:sz w:val="20"/>
                              </w:rPr>
                              <w:t>）</w:t>
                            </w:r>
                          </w:p>
                        </w:tc>
                        <w:tc>
                          <w:tcPr>
                            <w:tcW w:w="567" w:type="dxa"/>
                            <w:tcBorders>
                              <w:top w:val="single" w:sz="4" w:space="0" w:color="auto"/>
                              <w:left w:val="single" w:sz="4" w:space="0" w:color="auto"/>
                              <w:bottom w:val="single" w:sz="4" w:space="0" w:color="auto"/>
                              <w:right w:val="single" w:sz="4" w:space="0" w:color="auto"/>
                            </w:tcBorders>
                            <w:vAlign w:val="center"/>
                          </w:tcPr>
                          <w:p w14:paraId="4B39BC0C" w14:textId="77777777"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FF054" w14:textId="4947E862" w:rsidR="00A0212B" w:rsidRPr="006B6ADB" w:rsidRDefault="00A0212B" w:rsidP="002314E4">
                            <w:pPr>
                              <w:widowControl/>
                              <w:spacing w:line="200" w:lineRule="exact"/>
                              <w:jc w:val="right"/>
                              <w:rPr>
                                <w:rFonts w:ascii="標楷體" w:eastAsia="標楷體" w:hAnsi="標楷體" w:cs="新細明體"/>
                                <w:kern w:val="0"/>
                                <w:sz w:val="20"/>
                              </w:rPr>
                            </w:pPr>
                            <w:r w:rsidRPr="006B6ADB">
                              <w:rPr>
                                <w:rFonts w:ascii="標楷體" w:eastAsia="標楷體" w:hAnsi="標楷體" w:cs="新細明體" w:hint="eastAsia"/>
                                <w:kern w:val="0"/>
                                <w:sz w:val="20"/>
                              </w:rPr>
                              <w:t xml:space="preserve">2,000,000 </w:t>
                            </w:r>
                          </w:p>
                        </w:tc>
                        <w:tc>
                          <w:tcPr>
                            <w:tcW w:w="993" w:type="dxa"/>
                            <w:tcBorders>
                              <w:top w:val="single" w:sz="4" w:space="0" w:color="auto"/>
                              <w:left w:val="single" w:sz="4" w:space="0" w:color="auto"/>
                              <w:bottom w:val="single" w:sz="4" w:space="0" w:color="auto"/>
                              <w:right w:val="single" w:sz="4" w:space="0" w:color="auto"/>
                            </w:tcBorders>
                            <w:vAlign w:val="center"/>
                          </w:tcPr>
                          <w:p w14:paraId="0FE38370" w14:textId="77777777" w:rsidR="00A0212B" w:rsidRPr="006B6ADB" w:rsidRDefault="00A0212B" w:rsidP="002314E4">
                            <w:pPr>
                              <w:widowControl/>
                              <w:spacing w:line="200" w:lineRule="exact"/>
                              <w:jc w:val="center"/>
                              <w:rPr>
                                <w:rFonts w:ascii="標楷體" w:eastAsia="標楷體" w:hAnsi="標楷體" w:cs="新細明體"/>
                                <w:kern w:val="0"/>
                                <w:sz w:val="20"/>
                              </w:rPr>
                            </w:pPr>
                            <w:r w:rsidRPr="006B6ADB">
                              <w:rPr>
                                <w:rFonts w:ascii="標楷體" w:eastAsia="標楷體" w:hAnsi="標楷體" w:cs="新細明體" w:hint="eastAsia"/>
                                <w:kern w:val="0"/>
                                <w:sz w:val="20"/>
                              </w:rPr>
                              <w:t>1</w:t>
                            </w:r>
                            <w:r w:rsidRPr="006B6ADB">
                              <w:rPr>
                                <w:rFonts w:ascii="標楷體" w:eastAsia="標楷體" w:hAnsi="標楷體" w:cs="新細明體"/>
                                <w:kern w:val="0"/>
                                <w:sz w:val="20"/>
                              </w:rPr>
                              <w:t>13.01.12</w:t>
                            </w:r>
                          </w:p>
                        </w:tc>
                      </w:tr>
                      <w:tr w:rsidR="00A0212B" w:rsidRPr="00A075ED" w14:paraId="728FC341" w14:textId="77777777" w:rsidTr="002314E4">
                        <w:trPr>
                          <w:trHeight w:val="324"/>
                          <w:jc w:val="center"/>
                        </w:trPr>
                        <w:tc>
                          <w:tcPr>
                            <w:tcW w:w="6096" w:type="dxa"/>
                            <w:gridSpan w:val="5"/>
                            <w:tcBorders>
                              <w:top w:val="single" w:sz="4" w:space="0" w:color="auto"/>
                            </w:tcBorders>
                            <w:shd w:val="clear" w:color="auto" w:fill="auto"/>
                            <w:noWrap/>
                            <w:vAlign w:val="center"/>
                          </w:tcPr>
                          <w:p w14:paraId="01AA0508" w14:textId="3E67A76B" w:rsidR="00A0212B" w:rsidRDefault="00A0212B" w:rsidP="002314E4">
                            <w:pPr>
                              <w:widowControl/>
                              <w:spacing w:line="240" w:lineRule="exact"/>
                              <w:rPr>
                                <w:rFonts w:ascii="標楷體" w:eastAsia="標楷體" w:hAnsi="標楷體" w:cs="新細明體"/>
                                <w:kern w:val="0"/>
                                <w:sz w:val="20"/>
                              </w:rPr>
                            </w:pPr>
                            <w:r w:rsidRPr="00A075ED">
                              <w:rPr>
                                <w:rFonts w:ascii="標楷體" w:eastAsia="標楷體" w:hAnsi="標楷體" w:cs="新細明體" w:hint="eastAsia"/>
                                <w:kern w:val="0"/>
                                <w:sz w:val="18"/>
                                <w:szCs w:val="18"/>
                              </w:rPr>
                              <w:t>資料來源：整理</w:t>
                            </w:r>
                            <w:r w:rsidRPr="00A075ED">
                              <w:rPr>
                                <w:rFonts w:ascii="標楷體" w:eastAsia="標楷體" w:hAnsi="標楷體" w:cs="新細明體"/>
                                <w:kern w:val="0"/>
                                <w:sz w:val="18"/>
                                <w:szCs w:val="18"/>
                              </w:rPr>
                              <w:t>自</w:t>
                            </w:r>
                            <w:r w:rsidRPr="00A866D0">
                              <w:rPr>
                                <w:rFonts w:ascii="標楷體" w:eastAsia="標楷體" w:hAnsi="標楷體" w:cs="新細明體" w:hint="eastAsia"/>
                                <w:kern w:val="0"/>
                                <w:sz w:val="18"/>
                                <w:szCs w:val="18"/>
                              </w:rPr>
                              <w:t>財團法人證券櫃檯買賣中心</w:t>
                            </w:r>
                            <w:r w:rsidRPr="00A075ED">
                              <w:rPr>
                                <w:rFonts w:ascii="標楷體" w:eastAsia="標楷體" w:hAnsi="標楷體" w:cs="新細明體" w:hint="eastAsia"/>
                                <w:kern w:val="0"/>
                                <w:sz w:val="18"/>
                                <w:szCs w:val="18"/>
                              </w:rPr>
                              <w:t>公告資料。</w:t>
                            </w:r>
                          </w:p>
                        </w:tc>
                      </w:tr>
                    </w:tbl>
                    <w:p w14:paraId="104297C8" w14:textId="77777777" w:rsidR="00A0212B" w:rsidRPr="00470A0F" w:rsidRDefault="00A0212B" w:rsidP="002C60C1"/>
                  </w:txbxContent>
                </v:textbox>
                <w10:wrap type="square" anchorx="margin"/>
              </v:shape>
            </w:pict>
          </mc:Fallback>
        </mc:AlternateContent>
      </w:r>
      <w:r w:rsidRPr="002C60C1">
        <w:rPr>
          <w:rFonts w:ascii="標楷體" w:eastAsia="標楷體" w:hAnsi="標楷體" w:cstheme="minorBidi" w:hint="eastAsia"/>
          <w:spacing w:val="-2"/>
          <w:szCs w:val="32"/>
        </w:rPr>
        <w:t>展債券額度尚低，又臺灣銀行公司及臺灣土地銀行公司等國營銀行流通在外之永續發展債券發行餘額僅75億元，占國內永續發展債券發行餘額5,236億元之1.43％，顯示各級政府及國營銀行發行檔數及金額仍低。鑑於113年度中央政府總預算攸關我國永續發展之淨零轉型預算達964億元，較112年增加300億元，增幅逾45％，並已有12個市縣政府宣布2050淨零排</w:t>
      </w:r>
      <w:r w:rsidR="00351E4B">
        <w:rPr>
          <w:rFonts w:ascii="標楷體" w:eastAsia="標楷體" w:hAnsi="標楷體" w:cstheme="minorBidi" w:hint="eastAsia"/>
          <w:spacing w:val="-2"/>
          <w:szCs w:val="32"/>
        </w:rPr>
        <w:t>放</w:t>
      </w:r>
      <w:r w:rsidRPr="002C60C1">
        <w:rPr>
          <w:rFonts w:ascii="標楷體" w:eastAsia="標楷體" w:hAnsi="標楷體" w:cstheme="minorBidi" w:hint="eastAsia"/>
          <w:spacing w:val="-2"/>
          <w:szCs w:val="32"/>
        </w:rPr>
        <w:t>目標，經函請行政院鼓勵或輔導各市縣政府及相關部會積極發行永續發展政府債券，以利籌措推動淨零轉型所需資金。</w:t>
      </w:r>
      <w:r w:rsidRPr="004D7C92">
        <w:rPr>
          <w:rFonts w:ascii="標楷體" w:eastAsia="標楷體" w:hAnsi="標楷體" w:cstheme="minorBidi" w:hint="eastAsia"/>
          <w:spacing w:val="-2"/>
          <w:szCs w:val="32"/>
        </w:rPr>
        <w:t>據復：</w:t>
      </w:r>
      <w:r w:rsidR="00351E4B" w:rsidRPr="004D7C92">
        <w:rPr>
          <w:rFonts w:ascii="標楷體" w:eastAsia="標楷體" w:hAnsi="標楷體" w:cstheme="minorBidi" w:hint="eastAsia"/>
          <w:spacing w:val="-2"/>
          <w:szCs w:val="32"/>
        </w:rPr>
        <w:t>財政部已規劃適度調降中央政府乙類公債發行規模，擴大永續發展債券發行機會，並提供地方政府「永續發展政府債券發行與上櫃流程常見問答集」及修正「債務管理績效考核」之考核項目，且增設發行永續發展債券政府債券獎，作為地方政府發行誘因；另臺灣銀行公司及臺灣土地銀行公司等國營事業嗣將賡續發行永續發展債券，以配合政府推動淨零轉型。</w:t>
      </w:r>
    </w:p>
    <w:p w14:paraId="1ED73066" w14:textId="3A4CB00C" w:rsidR="002C60C1" w:rsidRPr="002C60C1" w:rsidRDefault="002C60C1" w:rsidP="00E31547">
      <w:pPr>
        <w:overflowPunct w:val="0"/>
        <w:spacing w:line="460" w:lineRule="exact"/>
        <w:ind w:firstLineChars="450" w:firstLine="1081"/>
        <w:jc w:val="both"/>
        <w:rPr>
          <w:rFonts w:ascii="標楷體" w:eastAsia="標楷體" w:hAnsi="標楷體" w:cstheme="minorBidi"/>
          <w:szCs w:val="32"/>
        </w:rPr>
      </w:pPr>
      <w:r w:rsidRPr="002C60C1">
        <w:rPr>
          <w:rFonts w:ascii="標楷體" w:eastAsia="標楷體" w:hAnsi="標楷體" w:cstheme="minorBidi" w:hint="eastAsia"/>
          <w:b/>
          <w:szCs w:val="32"/>
        </w:rPr>
        <w:t>3.</w:t>
      </w:r>
      <w:r w:rsidRPr="002C60C1">
        <w:rPr>
          <w:rFonts w:ascii="標楷體" w:eastAsia="標楷體" w:hAnsi="標楷體" w:cstheme="minorBidi" w:hint="eastAsia"/>
          <w:b/>
          <w:bCs/>
          <w:sz w:val="28"/>
          <w:szCs w:val="16"/>
        </w:rPr>
        <w:t xml:space="preserve">　</w:t>
      </w:r>
      <w:r w:rsidRPr="002C60C1">
        <w:rPr>
          <w:rFonts w:ascii="標楷體" w:eastAsia="標楷體" w:hAnsi="標楷體" w:cstheme="minorBidi" w:hint="eastAsia"/>
          <w:b/>
          <w:szCs w:val="32"/>
        </w:rPr>
        <w:t>部分國營事業營業項目多與能源轉型及永續金融息息相關，有待妥為規劃國營事業導入國際永續揭露準則實施計畫，以提升永續資訊揭露品質：</w:t>
      </w:r>
      <w:r w:rsidRPr="002C60C1">
        <w:rPr>
          <w:rFonts w:ascii="標楷體" w:eastAsia="標楷體" w:hAnsi="標楷體" w:cstheme="minorBidi" w:hint="eastAsia"/>
          <w:szCs w:val="32"/>
        </w:rPr>
        <w:t>國際永續準則理事會（International Sustainability Standards Board, ISSB）為增加永續資訊之可比較性及資訊品質，於112年6月26日發布永續揭露準則第S1號「永續相關財務資訊揭露之一般規定」及第S2號「氣候相關揭露」（下稱IFRS S1、S2），金管會隨即於112年8月17日發布「我國接軌IFRS永續揭露準則藍圖」，將自115年起分階段推動上市櫃公司接軌IFRS永續揭露準則，未來企業</w:t>
      </w:r>
      <w:r w:rsidR="00251D75">
        <w:rPr>
          <w:rFonts w:ascii="標楷體" w:eastAsia="標楷體" w:hAnsi="標楷體" w:cstheme="minorBidi" w:hint="eastAsia"/>
          <w:szCs w:val="32"/>
        </w:rPr>
        <w:t>須</w:t>
      </w:r>
      <w:r w:rsidRPr="002C60C1">
        <w:rPr>
          <w:rFonts w:ascii="標楷體" w:eastAsia="標楷體" w:hAnsi="標楷體" w:cstheme="minorBidi" w:hint="eastAsia"/>
          <w:szCs w:val="32"/>
        </w:rPr>
        <w:t>於年報揭露永續資訊，並</w:t>
      </w:r>
      <w:r w:rsidR="00251D75">
        <w:rPr>
          <w:rFonts w:ascii="標楷體" w:eastAsia="標楷體" w:hAnsi="標楷體" w:cstheme="minorBidi" w:hint="eastAsia"/>
          <w:szCs w:val="32"/>
        </w:rPr>
        <w:t>須</w:t>
      </w:r>
      <w:r w:rsidRPr="002C60C1">
        <w:rPr>
          <w:rFonts w:ascii="標楷體" w:eastAsia="標楷體" w:hAnsi="標楷體" w:cstheme="minorBidi" w:hint="eastAsia"/>
          <w:szCs w:val="32"/>
        </w:rPr>
        <w:t>強制揭露溫室氣體範疇</w:t>
      </w:r>
      <w:r w:rsidR="006F7C55">
        <w:rPr>
          <w:rFonts w:ascii="標楷體" w:eastAsia="標楷體" w:hAnsi="標楷體" w:cstheme="minorBidi" w:hint="eastAsia"/>
          <w:szCs w:val="32"/>
        </w:rPr>
        <w:t>三</w:t>
      </w:r>
      <w:r w:rsidRPr="002C60C1">
        <w:rPr>
          <w:rFonts w:ascii="標楷體" w:eastAsia="標楷體" w:hAnsi="標楷體" w:cstheme="minorBidi" w:hint="eastAsia"/>
          <w:szCs w:val="32"/>
        </w:rPr>
        <w:t>之盤查與驗證情形。經查經濟部、財政部及交通部所屬之台灣電力公司等11家公司組織之國營事業，112年度均係依循GRI準則編製永續報告書，與未來IFRS S1及S2導入後之差異事項，包含：永續資訊之攸關性及可驗證</w:t>
      </w:r>
      <w:r w:rsidRPr="002C60C1">
        <w:rPr>
          <w:rFonts w:ascii="標楷體" w:eastAsia="標楷體" w:hAnsi="標楷體" w:cstheme="minorBidi" w:hint="eastAsia"/>
          <w:szCs w:val="32"/>
        </w:rPr>
        <w:lastRenderedPageBreak/>
        <w:t>性、應公允表達可合理預期將影響事業未來展望之永續相關風險與機會、應辨認與永續相關財務揭露有關之財務報表等項，又其需揭露與永續相關風險與機會資訊，可能影響事業現金流或籌資成本等資訊，亦與各該事業現行年度決算書等財務報告係側重歷史財務資訊之表達有所不同，且揆諸現有國營事業之所營事業，諸如：台灣電力公司需配合政府2050淨零排放政策，推動「增氣、減煤、展綠、非核」為主軸之能源轉型，並為籌募風力、水力、地熱等再生能源發電計畫所需經費，</w:t>
      </w:r>
      <w:r w:rsidRPr="00222A61">
        <w:rPr>
          <w:rFonts w:ascii="標楷體" w:eastAsia="標楷體" w:hAnsi="標楷體" w:cstheme="minorBidi" w:hint="eastAsia"/>
          <w:szCs w:val="32"/>
        </w:rPr>
        <w:t>發行綠色債券，且據環境部登錄資料，該公司溫室氣體排放量居電力業之首；</w:t>
      </w:r>
      <w:r w:rsidRPr="006F7C55">
        <w:rPr>
          <w:rFonts w:ascii="標楷體" w:eastAsia="標楷體" w:hAnsi="標楷體" w:cstheme="minorBidi" w:hint="eastAsia"/>
          <w:szCs w:val="32"/>
        </w:rPr>
        <w:t>台灣中油公司</w:t>
      </w:r>
      <w:r w:rsidR="006F7C55" w:rsidRPr="006F7C55">
        <w:rPr>
          <w:rFonts w:ascii="標楷體" w:eastAsia="標楷體" w:hAnsi="標楷體" w:cstheme="minorBidi" w:hint="eastAsia"/>
          <w:szCs w:val="32"/>
        </w:rPr>
        <w:t>之產品結構及營運</w:t>
      </w:r>
      <w:r w:rsidRPr="006F7C55">
        <w:rPr>
          <w:rFonts w:ascii="標楷體" w:eastAsia="標楷體" w:hAnsi="標楷體" w:cstheme="minorBidi" w:hint="eastAsia"/>
          <w:szCs w:val="32"/>
        </w:rPr>
        <w:t>面臨各國減碳意識抬頭驅動能源需求結構改變之壓力；台灣自來水公司之穩定供水、輸水效率及管線韌性及集水區保育，均與氣候變遷息息相關；臺灣金融控股公司及臺灣土地銀行公司等金融國營事業，透過投、融資等方式引導資金挹注綠能產業；桃園國際機場公司亦</w:t>
      </w:r>
      <w:r w:rsidR="006F7C55" w:rsidRPr="006F7C55">
        <w:rPr>
          <w:rFonts w:ascii="標楷體" w:eastAsia="標楷體" w:hAnsi="標楷體" w:cstheme="minorBidi" w:hint="eastAsia"/>
          <w:szCs w:val="32"/>
        </w:rPr>
        <w:t>與</w:t>
      </w:r>
      <w:r w:rsidRPr="006F7C55">
        <w:rPr>
          <w:rFonts w:ascii="標楷體" w:eastAsia="標楷體" w:hAnsi="標楷體" w:cstheme="minorBidi" w:hint="eastAsia"/>
          <w:szCs w:val="32"/>
        </w:rPr>
        <w:t>航空公司共同推動減碳永續行動目標。</w:t>
      </w:r>
      <w:r w:rsidR="006F7C55" w:rsidRPr="006F7C55">
        <w:rPr>
          <w:rFonts w:ascii="標楷體" w:eastAsia="標楷體" w:hAnsi="標楷體" w:cstheme="minorBidi" w:hint="eastAsia"/>
          <w:szCs w:val="32"/>
        </w:rPr>
        <w:t>考量永續相關風險與機會攸關各事業主要營運項目及產銷計畫</w:t>
      </w:r>
      <w:r w:rsidRPr="002C60C1">
        <w:rPr>
          <w:rFonts w:ascii="標楷體" w:eastAsia="標楷體" w:hAnsi="標楷體" w:cstheme="minorBidi" w:hint="eastAsia"/>
          <w:szCs w:val="32"/>
        </w:rPr>
        <w:t>，並因部分事業發行永續債券或辦理永續投、融資業務，將可能影響事業現金流量或籌資成本，經函請行政院督促各主管機關妥為規劃國營事業導入國際永續揭露準則實施計畫，以提升國營事業永續資訊揭露品質。</w:t>
      </w:r>
      <w:r w:rsidRPr="004D7C92">
        <w:rPr>
          <w:rFonts w:ascii="標楷體" w:eastAsia="標楷體" w:hAnsi="標楷體" w:cstheme="minorBidi" w:hint="eastAsia"/>
          <w:szCs w:val="32"/>
        </w:rPr>
        <w:t>據復：</w:t>
      </w:r>
      <w:r w:rsidR="00351E4B" w:rsidRPr="004D7C92">
        <w:rPr>
          <w:rFonts w:ascii="標楷體" w:eastAsia="標楷體" w:hAnsi="標楷體" w:cstheme="minorBidi" w:hint="eastAsia"/>
          <w:szCs w:val="32"/>
        </w:rPr>
        <w:t>財政部、經濟部、交通部等主管機關將持續督導所屬國營事業依循國際永續揭露準則，及金管會推動接軌</w:t>
      </w:r>
      <w:r w:rsidR="00351E4B" w:rsidRPr="004D7C92">
        <w:rPr>
          <w:rFonts w:ascii="標楷體" w:eastAsia="標楷體" w:hAnsi="標楷體" w:cstheme="minorBidi"/>
          <w:szCs w:val="32"/>
        </w:rPr>
        <w:t>IFRS永續揭露準則期程，持續優化永續資訊揭露品質。</w:t>
      </w:r>
    </w:p>
    <w:bookmarkEnd w:id="6"/>
    <w:bookmarkEnd w:id="7"/>
    <w:bookmarkEnd w:id="8"/>
    <w:bookmarkEnd w:id="9"/>
    <w:bookmarkEnd w:id="10"/>
    <w:bookmarkEnd w:id="11"/>
    <w:p w14:paraId="3A74DA80" w14:textId="4538F658" w:rsidR="00EB17B4" w:rsidRPr="00EB17B4" w:rsidRDefault="00EB17B4" w:rsidP="00E31547">
      <w:pPr>
        <w:overflowPunct w:val="0"/>
        <w:spacing w:beforeLines="20" w:before="72" w:afterLines="20" w:after="72" w:line="460" w:lineRule="exact"/>
        <w:ind w:firstLineChars="200" w:firstLine="561"/>
        <w:jc w:val="both"/>
        <w:outlineLvl w:val="1"/>
        <w:rPr>
          <w:rFonts w:ascii="標楷體" w:eastAsia="標楷體" w:hAnsi="標楷體" w:cstheme="minorBidi"/>
          <w:b/>
          <w:sz w:val="28"/>
          <w:szCs w:val="22"/>
        </w:rPr>
      </w:pPr>
      <w:r w:rsidRPr="00EB17B4">
        <w:rPr>
          <w:rFonts w:ascii="標楷體" w:eastAsia="標楷體" w:hAnsi="標楷體" w:cstheme="minorBidi" w:hint="eastAsia"/>
          <w:b/>
          <w:sz w:val="28"/>
          <w:szCs w:val="22"/>
        </w:rPr>
        <w:t>（</w:t>
      </w:r>
      <w:r>
        <w:rPr>
          <w:rFonts w:ascii="標楷體" w:eastAsia="標楷體" w:hAnsi="標楷體" w:cstheme="minorBidi" w:hint="eastAsia"/>
          <w:b/>
          <w:sz w:val="28"/>
          <w:szCs w:val="22"/>
        </w:rPr>
        <w:t>十一</w:t>
      </w:r>
      <w:r w:rsidRPr="00EB17B4">
        <w:rPr>
          <w:rFonts w:ascii="標楷體" w:eastAsia="標楷體" w:hAnsi="標楷體" w:cstheme="minorBidi" w:hint="eastAsia"/>
          <w:b/>
          <w:sz w:val="28"/>
          <w:szCs w:val="22"/>
        </w:rPr>
        <w:t xml:space="preserve">）　</w:t>
      </w:r>
      <w:r w:rsidR="00771B17" w:rsidRPr="00771B17">
        <w:rPr>
          <w:rFonts w:ascii="標楷體" w:eastAsia="標楷體" w:hAnsi="標楷體" w:cstheme="minorBidi" w:hint="eastAsia"/>
          <w:b/>
          <w:sz w:val="28"/>
          <w:szCs w:val="22"/>
        </w:rPr>
        <w:t>太陽光電建置容量逐年上升，</w:t>
      </w:r>
      <w:r w:rsidR="00CE6858">
        <w:rPr>
          <w:rFonts w:ascii="標楷體" w:eastAsia="標楷體" w:hAnsi="標楷體" w:cstheme="minorBidi" w:hint="eastAsia"/>
          <w:b/>
          <w:sz w:val="28"/>
          <w:szCs w:val="22"/>
        </w:rPr>
        <w:t>有助提升能源自主及電力多元發展，</w:t>
      </w:r>
      <w:r w:rsidR="00771B17" w:rsidRPr="00771B17">
        <w:rPr>
          <w:rFonts w:ascii="標楷體" w:eastAsia="標楷體" w:hAnsi="標楷體" w:cstheme="minorBidi" w:hint="eastAsia"/>
          <w:b/>
          <w:sz w:val="28"/>
          <w:szCs w:val="22"/>
        </w:rPr>
        <w:t>惟仍未達成整體預計目標，且差額逐年擴大，又部分案場審查時間冗長、缺乏推動案源，或漁電共生專區規劃仍待精進等情，允宜督促研謀善策妥處，俾提升太陽光電設置成效，以達成能源轉型目標</w:t>
      </w:r>
      <w:r w:rsidRPr="00EB17B4">
        <w:rPr>
          <w:rFonts w:ascii="標楷體" w:eastAsia="標楷體" w:hAnsi="標楷體" w:cstheme="minorBidi" w:hint="eastAsia"/>
          <w:b/>
          <w:sz w:val="28"/>
          <w:szCs w:val="22"/>
        </w:rPr>
        <w:t>。</w:t>
      </w:r>
    </w:p>
    <w:p w14:paraId="2FEF35FF" w14:textId="1CE59D79" w:rsidR="00EB17B4" w:rsidRPr="00EB17B4" w:rsidRDefault="00771B17" w:rsidP="00BA5A34">
      <w:pPr>
        <w:overflowPunct w:val="0"/>
        <w:adjustRightInd w:val="0"/>
        <w:snapToGrid w:val="0"/>
        <w:spacing w:line="448" w:lineRule="exact"/>
        <w:ind w:firstLineChars="200" w:firstLine="480"/>
        <w:jc w:val="both"/>
        <w:rPr>
          <w:rFonts w:ascii="標楷體" w:eastAsia="標楷體" w:hAnsi="標楷體" w:cstheme="minorBidi"/>
          <w:szCs w:val="22"/>
        </w:rPr>
      </w:pPr>
      <w:r w:rsidRPr="00771B17">
        <w:rPr>
          <w:rFonts w:ascii="標楷體" w:eastAsia="標楷體" w:hAnsi="標楷體" w:cstheme="minorBidi" w:hint="eastAsia"/>
          <w:szCs w:val="22"/>
        </w:rPr>
        <w:t>政府考量國內使用能源98％仰賴進口，且屬孤島型電網，電力無法跨國支應，提升能源自主及電力多元發展至為重要，且世界各國為因應全球暖化與傳統能源快速耗竭，積極致力發展綠色能源，爰於105年10月提出能源轉型政策，全力開發低碳之再生能源，規劃2025年、2050年達成綠能占總發電量之20％、逾60％政策目標，並以發展太陽光電為主要推動策略。經查太陽光電設置情形，核有下列事項</w:t>
      </w:r>
      <w:r w:rsidR="00EB17B4" w:rsidRPr="00EB17B4">
        <w:rPr>
          <w:rFonts w:ascii="標楷體" w:eastAsia="標楷體" w:hAnsi="標楷體" w:cstheme="minorBidi" w:hint="eastAsia"/>
          <w:szCs w:val="22"/>
        </w:rPr>
        <w:t>：</w:t>
      </w:r>
    </w:p>
    <w:p w14:paraId="06F734C8" w14:textId="35911749" w:rsidR="00EB17B4" w:rsidRPr="00EB17B4" w:rsidRDefault="00771B17" w:rsidP="00E31547">
      <w:pPr>
        <w:overflowPunct w:val="0"/>
        <w:spacing w:line="440" w:lineRule="exact"/>
        <w:ind w:firstLineChars="450" w:firstLine="1081"/>
        <w:jc w:val="both"/>
        <w:rPr>
          <w:rFonts w:ascii="標楷體" w:eastAsia="標楷體" w:hAnsi="標楷體" w:cstheme="minorBidi"/>
          <w:szCs w:val="24"/>
          <w:shd w:val="pct15" w:color="auto" w:fill="FFFFFF"/>
        </w:rPr>
      </w:pPr>
      <w:r w:rsidRPr="00B707EE">
        <w:rPr>
          <w:rFonts w:ascii="標楷體" w:eastAsia="標楷體" w:hAnsi="標楷體" w:hint="eastAsia"/>
          <w:b/>
        </w:rPr>
        <w:t>1</w:t>
      </w:r>
      <w:r w:rsidRPr="00B707EE">
        <w:rPr>
          <w:rFonts w:ascii="標楷體" w:eastAsia="標楷體" w:hAnsi="標楷體"/>
          <w:b/>
        </w:rPr>
        <w:t>.</w:t>
      </w:r>
      <w:r w:rsidRPr="00B707EE">
        <w:rPr>
          <w:rFonts w:ascii="標楷體" w:eastAsia="標楷體" w:hAnsi="標楷體" w:hint="eastAsia"/>
          <w:b/>
        </w:rPr>
        <w:t xml:space="preserve">　太陽光電裝置容量已多年未達成目標，且差額有逐年擴大趨勢，又經濟部等9個機關單位提出之專案，部分執行成效未如預期或整體達成率偏低：</w:t>
      </w:r>
      <w:r w:rsidR="00EB17B4" w:rsidRPr="00EB17B4">
        <w:rPr>
          <w:rFonts w:ascii="標楷體" w:eastAsia="標楷體" w:hAnsi="標楷體" w:cstheme="minorBidi" w:hint="eastAsia"/>
          <w:szCs w:val="22"/>
        </w:rPr>
        <w:t>政府</w:t>
      </w:r>
      <w:r w:rsidRPr="00771B17">
        <w:rPr>
          <w:rFonts w:ascii="標楷體" w:eastAsia="標楷體" w:hAnsi="標楷體" w:cstheme="minorBidi" w:hint="eastAsia"/>
          <w:szCs w:val="22"/>
        </w:rPr>
        <w:t>於105年推動「太陽光電2年推動計畫」，設定114年太陽光電目標分別為屋頂型3GW（十億瓦），地面型17GW，嗣屋頂型太陽光電建置成效良好，先後於108及110年間2次調升目標至6GW及8GW，至地面型太陽光電則面臨土地取得不易及涉及環保爭議問題等，2次下修目標為14GW及12GW，截至112年底止，屋頂型太陽光電累計裝置容量為7,720.2MW（百萬瓦），占114年目標之達成率96.50％，</w:t>
      </w:r>
      <w:r w:rsidRPr="00771B17">
        <w:rPr>
          <w:rFonts w:ascii="標楷體" w:eastAsia="標楷體" w:hAnsi="標楷體" w:cstheme="minorBidi" w:hint="eastAsia"/>
          <w:szCs w:val="22"/>
        </w:rPr>
        <w:lastRenderedPageBreak/>
        <w:t>惟地面型太陽光電累計裝置容量為4,697.5MW，占114年目標之達成率僅39.15％，建置成效欠佳，又屋頂型與地面型太陽光電合計累計裝置容量為12,417.7MW，較112年底之目標量14,000MW</w:t>
      </w:r>
      <w:r w:rsidR="00351E4B" w:rsidRPr="00EB17B4">
        <w:rPr>
          <w:rFonts w:asciiTheme="minorHAnsi" w:eastAsiaTheme="minorEastAsia" w:hAnsiTheme="minorHAnsi" w:cstheme="minorBidi"/>
          <w:b/>
          <w:noProof/>
          <w:szCs w:val="22"/>
        </w:rPr>
        <w:drawing>
          <wp:anchor distT="0" distB="0" distL="114300" distR="114300" simplePos="0" relativeHeight="251649024" behindDoc="0" locked="0" layoutInCell="1" allowOverlap="1" wp14:anchorId="798D0E78" wp14:editId="18A63E3B">
            <wp:simplePos x="0" y="0"/>
            <wp:positionH relativeFrom="margin">
              <wp:posOffset>2655993</wp:posOffset>
            </wp:positionH>
            <wp:positionV relativeFrom="paragraph">
              <wp:posOffset>744432</wp:posOffset>
            </wp:positionV>
            <wp:extent cx="3629660" cy="2459355"/>
            <wp:effectExtent l="0" t="0" r="8890" b="17145"/>
            <wp:wrapSquare wrapText="bothSides"/>
            <wp:docPr id="457" name="圖表 4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Pr="00771B17">
        <w:rPr>
          <w:rFonts w:ascii="標楷體" w:eastAsia="標楷體" w:hAnsi="標楷體" w:cstheme="minorBidi" w:hint="eastAsia"/>
          <w:szCs w:val="22"/>
        </w:rPr>
        <w:t>減少1,582.3MW，約11.30％，且差額由107年底之98.9MW，逐年擴大至112年底之1,582.3MW</w:t>
      </w:r>
      <w:r w:rsidR="00EB17B4" w:rsidRPr="00EB17B4">
        <w:rPr>
          <w:rFonts w:ascii="標楷體" w:eastAsia="標楷體" w:hAnsi="標楷體" w:cstheme="minorBidi" w:hint="eastAsia"/>
          <w:spacing w:val="-2"/>
          <w:szCs w:val="22"/>
        </w:rPr>
        <w:t>（</w:t>
      </w:r>
      <w:r w:rsidR="00EB17B4" w:rsidRPr="00855CF4">
        <w:rPr>
          <w:rFonts w:ascii="標楷體" w:eastAsia="標楷體" w:hAnsi="標楷體" w:cstheme="minorBidi" w:hint="eastAsia"/>
          <w:color w:val="000000" w:themeColor="text1"/>
          <w:spacing w:val="-2"/>
          <w:szCs w:val="22"/>
        </w:rPr>
        <w:t>圖1</w:t>
      </w:r>
      <w:r w:rsidR="00BF1DCA" w:rsidRPr="00855CF4">
        <w:rPr>
          <w:rFonts w:ascii="標楷體" w:eastAsia="標楷體" w:hAnsi="標楷體" w:cstheme="minorBidi" w:hint="eastAsia"/>
          <w:color w:val="000000" w:themeColor="text1"/>
          <w:spacing w:val="-2"/>
          <w:szCs w:val="22"/>
        </w:rPr>
        <w:t>2</w:t>
      </w:r>
      <w:r w:rsidR="00EB17B4" w:rsidRPr="00EB17B4">
        <w:rPr>
          <w:rFonts w:ascii="標楷體" w:eastAsia="標楷體" w:hAnsi="標楷體" w:cstheme="minorBidi" w:hint="eastAsia"/>
          <w:spacing w:val="-2"/>
          <w:szCs w:val="22"/>
        </w:rPr>
        <w:t>），主要係未取得地方民眾支持、業</w:t>
      </w:r>
      <w:r w:rsidR="00EB17B4" w:rsidRPr="004D7C92">
        <w:rPr>
          <w:rFonts w:ascii="標楷體" w:eastAsia="標楷體" w:hAnsi="標楷體" w:cstheme="minorBidi" w:hint="eastAsia"/>
          <w:szCs w:val="22"/>
        </w:rPr>
        <w:t>者施作量能不足、</w:t>
      </w:r>
      <w:r w:rsidRPr="004D7C92">
        <w:rPr>
          <w:rFonts w:ascii="標楷體" w:eastAsia="標楷體" w:hAnsi="標楷體" w:cstheme="minorBidi" w:hint="eastAsia"/>
          <w:szCs w:val="22"/>
        </w:rPr>
        <w:t>行政程序尚未完成及案源不足等因素，影響地面型太陽光電推動成效所致。另政府為達成太陽光電設置目標，由經濟部等</w:t>
      </w:r>
      <w:r w:rsidRPr="004D7C92">
        <w:rPr>
          <w:rFonts w:ascii="標楷體" w:eastAsia="標楷體" w:hAnsi="標楷體" w:cstheme="minorBidi"/>
          <w:szCs w:val="22"/>
        </w:rPr>
        <w:t>9個機關單位規劃嘉義鹽業用地等45項專案，截至112年底止，除科技部、教育部、環境部及內政部等4個機關主導之10項專案均達目標外，其餘農業部等5個機關單位主導之35項專案，計有台灣糖業公司不適耕作地等14項專案之設置成效未如預期，裝置容量較預計減少1,524.2MW</w:t>
      </w:r>
      <w:r w:rsidR="00EB17B4" w:rsidRPr="004D7C92">
        <w:rPr>
          <w:rFonts w:ascii="標楷體" w:eastAsia="標楷體" w:hAnsi="標楷體" w:cstheme="minorBidi" w:hint="eastAsia"/>
          <w:szCs w:val="22"/>
        </w:rPr>
        <w:t>（</w:t>
      </w:r>
      <w:r w:rsidR="00EB17B4" w:rsidRPr="006678C5">
        <w:rPr>
          <w:rFonts w:ascii="標楷體" w:eastAsia="標楷體" w:hAnsi="標楷體" w:cstheme="minorBidi" w:hint="eastAsia"/>
          <w:color w:val="000000" w:themeColor="text1"/>
          <w:szCs w:val="22"/>
        </w:rPr>
        <w:t>表</w:t>
      </w:r>
      <w:r w:rsidR="00EB17B4" w:rsidRPr="006678C5">
        <w:rPr>
          <w:rFonts w:ascii="標楷體" w:eastAsia="標楷體" w:hAnsi="標楷體" w:cstheme="minorBidi"/>
          <w:color w:val="000000" w:themeColor="text1"/>
          <w:szCs w:val="22"/>
        </w:rPr>
        <w:t>1</w:t>
      </w:r>
      <w:r w:rsidR="00E47A7D" w:rsidRPr="006678C5">
        <w:rPr>
          <w:rFonts w:ascii="標楷體" w:eastAsia="標楷體" w:hAnsi="標楷體" w:cstheme="minorBidi"/>
          <w:color w:val="000000" w:themeColor="text1"/>
          <w:szCs w:val="22"/>
        </w:rPr>
        <w:t>7</w:t>
      </w:r>
      <w:r w:rsidR="00EB17B4" w:rsidRPr="004D7C92">
        <w:rPr>
          <w:rFonts w:ascii="標楷體" w:eastAsia="標楷體" w:hAnsi="標楷體" w:cstheme="minorBidi" w:hint="eastAsia"/>
          <w:szCs w:val="22"/>
        </w:rPr>
        <w:t>），其中農業部主導埤塘圳路等</w:t>
      </w:r>
      <w:r w:rsidR="00EB17B4" w:rsidRPr="004D7C92">
        <w:rPr>
          <w:rFonts w:ascii="標楷體" w:eastAsia="標楷體" w:hAnsi="標楷體" w:cstheme="minorBidi"/>
          <w:szCs w:val="22"/>
        </w:rPr>
        <w:t>6項專案，全數未達成目標，合計短缺裝置容量1,380.4MW，約占全部短缺容量1,524.2MW之90.57％；經濟部與財政部等4個機關單位主導閒置土地等8</w:t>
      </w:r>
      <w:r w:rsidR="00351E4B" w:rsidRPr="00D55497">
        <w:rPr>
          <w:rFonts w:ascii="標楷體" w:eastAsia="標楷體" w:hAnsi="標楷體" w:cstheme="minorBidi"/>
          <w:b/>
          <w:noProof/>
          <w:szCs w:val="22"/>
        </w:rPr>
        <mc:AlternateContent>
          <mc:Choice Requires="wps">
            <w:drawing>
              <wp:anchor distT="45720" distB="45720" distL="114300" distR="114300" simplePos="0" relativeHeight="251652096" behindDoc="0" locked="0" layoutInCell="1" allowOverlap="1" wp14:anchorId="24C66E70" wp14:editId="07E912F4">
                <wp:simplePos x="0" y="0"/>
                <wp:positionH relativeFrom="margin">
                  <wp:posOffset>25400</wp:posOffset>
                </wp:positionH>
                <wp:positionV relativeFrom="paragraph">
                  <wp:posOffset>5038725</wp:posOffset>
                </wp:positionV>
                <wp:extent cx="6273800" cy="3820795"/>
                <wp:effectExtent l="0" t="0" r="0" b="8255"/>
                <wp:wrapSquare wrapText="bothSides"/>
                <wp:docPr id="4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3800" cy="3820795"/>
                        </a:xfrm>
                        <a:prstGeom prst="rect">
                          <a:avLst/>
                        </a:prstGeom>
                        <a:solidFill>
                          <a:srgbClr val="FFFFFF"/>
                        </a:solidFill>
                        <a:ln w="9525">
                          <a:noFill/>
                          <a:miter lim="800000"/>
                          <a:headEnd/>
                          <a:tailEnd/>
                        </a:ln>
                      </wps:spPr>
                      <wps:txbx>
                        <w:txbxContent>
                          <w:tbl>
                            <w:tblPr>
                              <w:tblW w:w="4992" w:type="pct"/>
                              <w:tblCellMar>
                                <w:left w:w="28" w:type="dxa"/>
                                <w:right w:w="28" w:type="dxa"/>
                              </w:tblCellMar>
                              <w:tblLook w:val="04A0" w:firstRow="1" w:lastRow="0" w:firstColumn="1" w:lastColumn="0" w:noHBand="0" w:noVBand="1"/>
                            </w:tblPr>
                            <w:tblGrid>
                              <w:gridCol w:w="710"/>
                              <w:gridCol w:w="1699"/>
                              <w:gridCol w:w="2031"/>
                              <w:gridCol w:w="1089"/>
                              <w:gridCol w:w="1089"/>
                              <w:gridCol w:w="1139"/>
                              <w:gridCol w:w="1089"/>
                              <w:gridCol w:w="788"/>
                            </w:tblGrid>
                            <w:tr w:rsidR="00A0212B" w:rsidRPr="00BF4FC7" w14:paraId="4D740212" w14:textId="77777777" w:rsidTr="002314E4">
                              <w:tc>
                                <w:tcPr>
                                  <w:tcW w:w="5000" w:type="pct"/>
                                  <w:gridSpan w:val="8"/>
                                  <w:shd w:val="clear" w:color="auto" w:fill="auto"/>
                                  <w:vAlign w:val="center"/>
                                </w:tcPr>
                                <w:p w14:paraId="18D8BA69" w14:textId="2DC87C30" w:rsidR="00A0212B" w:rsidRPr="00AF1E53" w:rsidRDefault="00A0212B" w:rsidP="00EB17B4">
                                  <w:pPr>
                                    <w:widowControl/>
                                    <w:spacing w:beforeLines="20" w:before="72" w:line="280" w:lineRule="exact"/>
                                    <w:jc w:val="center"/>
                                    <w:rPr>
                                      <w:rFonts w:ascii="標楷體" w:eastAsia="標楷體" w:hAnsi="標楷體"/>
                                      <w:b/>
                                      <w:kern w:val="0"/>
                                      <w:szCs w:val="24"/>
                                    </w:rPr>
                                  </w:pPr>
                                  <w:r w:rsidRPr="00EB17B4">
                                    <w:rPr>
                                      <w:rFonts w:ascii="標楷體" w:eastAsia="標楷體" w:hAnsi="標楷體" w:hint="eastAsia"/>
                                      <w:b/>
                                      <w:color w:val="000000" w:themeColor="text1"/>
                                      <w:kern w:val="0"/>
                                      <w:szCs w:val="24"/>
                                    </w:rPr>
                                    <w:t>表</w:t>
                                  </w:r>
                                  <w:r w:rsidRPr="00EB17B4">
                                    <w:rPr>
                                      <w:rFonts w:ascii="標楷體" w:eastAsia="標楷體" w:hAnsi="標楷體" w:hint="eastAsia"/>
                                      <w:b/>
                                      <w:color w:val="000000" w:themeColor="text1"/>
                                    </w:rPr>
                                    <w:t>1</w:t>
                                  </w:r>
                                  <w:r>
                                    <w:rPr>
                                      <w:rFonts w:ascii="標楷體" w:eastAsia="標楷體" w:hAnsi="標楷體"/>
                                      <w:b/>
                                      <w:color w:val="000000" w:themeColor="text1"/>
                                    </w:rPr>
                                    <w:t>7</w:t>
                                  </w:r>
                                  <w:r>
                                    <w:rPr>
                                      <w:rFonts w:ascii="標楷體" w:eastAsia="標楷體" w:hAnsi="標楷體" w:hint="eastAsia"/>
                                      <w:b/>
                                      <w:kern w:val="0"/>
                                      <w:szCs w:val="24"/>
                                    </w:rPr>
                                    <w:t xml:space="preserve">　太陽光電專案建置</w:t>
                                  </w:r>
                                  <w:r w:rsidRPr="00AF1E53">
                                    <w:rPr>
                                      <w:rFonts w:ascii="標楷體" w:eastAsia="標楷體" w:hAnsi="標楷體" w:hint="eastAsia"/>
                                      <w:b/>
                                      <w:kern w:val="0"/>
                                      <w:szCs w:val="24"/>
                                    </w:rPr>
                                    <w:t>目標</w:t>
                                  </w:r>
                                  <w:r>
                                    <w:rPr>
                                      <w:rFonts w:ascii="標楷體" w:eastAsia="標楷體" w:hAnsi="標楷體" w:hint="eastAsia"/>
                                      <w:b/>
                                      <w:kern w:val="0"/>
                                      <w:szCs w:val="24"/>
                                    </w:rPr>
                                    <w:t>達成</w:t>
                                  </w:r>
                                  <w:r w:rsidRPr="00AF1E53">
                                    <w:rPr>
                                      <w:rFonts w:ascii="標楷體" w:eastAsia="標楷體" w:hAnsi="標楷體" w:hint="eastAsia"/>
                                      <w:b/>
                                      <w:kern w:val="0"/>
                                      <w:szCs w:val="24"/>
                                    </w:rPr>
                                    <w:t>情形</w:t>
                                  </w:r>
                                </w:p>
                              </w:tc>
                            </w:tr>
                            <w:tr w:rsidR="00A0212B" w:rsidRPr="006C70EA" w14:paraId="3163B10F" w14:textId="77777777" w:rsidTr="002314E4">
                              <w:tc>
                                <w:tcPr>
                                  <w:tcW w:w="5000" w:type="pct"/>
                                  <w:gridSpan w:val="8"/>
                                  <w:tcBorders>
                                    <w:bottom w:val="single" w:sz="4" w:space="0" w:color="auto"/>
                                  </w:tcBorders>
                                  <w:shd w:val="clear" w:color="auto" w:fill="auto"/>
                                  <w:vAlign w:val="center"/>
                                </w:tcPr>
                                <w:p w14:paraId="768041A8" w14:textId="77777777" w:rsidR="00A0212B" w:rsidRPr="006C70EA" w:rsidRDefault="00A0212B" w:rsidP="002314E4">
                                  <w:pPr>
                                    <w:widowControl/>
                                    <w:spacing w:line="220" w:lineRule="exact"/>
                                    <w:jc w:val="right"/>
                                    <w:rPr>
                                      <w:rFonts w:ascii="標楷體" w:eastAsia="標楷體" w:hAnsi="標楷體"/>
                                      <w:kern w:val="0"/>
                                      <w:sz w:val="20"/>
                                      <w:szCs w:val="24"/>
                                    </w:rPr>
                                  </w:pPr>
                                  <w:r w:rsidRPr="006C70EA">
                                    <w:rPr>
                                      <w:rFonts w:ascii="標楷體" w:eastAsia="標楷體" w:hAnsi="標楷體" w:hint="eastAsia"/>
                                      <w:kern w:val="0"/>
                                      <w:sz w:val="20"/>
                                      <w:szCs w:val="24"/>
                                    </w:rPr>
                                    <w:t>單位：M</w:t>
                                  </w:r>
                                  <w:r w:rsidRPr="006C70EA">
                                    <w:rPr>
                                      <w:rFonts w:ascii="標楷體" w:eastAsia="標楷體" w:hAnsi="標楷體"/>
                                      <w:kern w:val="0"/>
                                      <w:sz w:val="20"/>
                                      <w:szCs w:val="24"/>
                                    </w:rPr>
                                    <w:t>W</w:t>
                                  </w:r>
                                  <w:r>
                                    <w:rPr>
                                      <w:rFonts w:ascii="標楷體" w:eastAsia="標楷體" w:hAnsi="標楷體" w:hint="eastAsia"/>
                                      <w:kern w:val="0"/>
                                      <w:sz w:val="20"/>
                                      <w:szCs w:val="24"/>
                                    </w:rPr>
                                    <w:t>、％</w:t>
                                  </w:r>
                                </w:p>
                              </w:tc>
                            </w:tr>
                            <w:tr w:rsidR="00A0212B" w:rsidRPr="006C70EA" w14:paraId="1073455C" w14:textId="77777777" w:rsidTr="002314E4">
                              <w:trPr>
                                <w:trHeight w:val="232"/>
                              </w:trPr>
                              <w:tc>
                                <w:tcPr>
                                  <w:tcW w:w="1251" w:type="pct"/>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8C5CFF"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cs="Calibri" w:hint="eastAsia"/>
                                      <w:kern w:val="0"/>
                                      <w:sz w:val="20"/>
                                    </w:rPr>
                                    <w:t>機關單位</w:t>
                                  </w:r>
                                </w:p>
                              </w:tc>
                              <w:tc>
                                <w:tcPr>
                                  <w:tcW w:w="105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D88698"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cs="Calibri" w:hint="eastAsia"/>
                                      <w:kern w:val="0"/>
                                      <w:sz w:val="20"/>
                                    </w:rPr>
                                    <w:t>專案名稱</w:t>
                                  </w:r>
                                </w:p>
                              </w:tc>
                              <w:tc>
                                <w:tcPr>
                                  <w:tcW w:w="1721"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CB03488" w14:textId="77777777" w:rsidR="00A0212B" w:rsidRPr="00BF4FC7" w:rsidRDefault="00A0212B" w:rsidP="002314E4">
                                  <w:pPr>
                                    <w:widowControl/>
                                    <w:spacing w:line="220" w:lineRule="exact"/>
                                    <w:jc w:val="center"/>
                                    <w:rPr>
                                      <w:rFonts w:ascii="標楷體" w:eastAsia="標楷體" w:hAnsi="標楷體"/>
                                      <w:bCs/>
                                      <w:kern w:val="0"/>
                                      <w:sz w:val="20"/>
                                    </w:rPr>
                                  </w:pPr>
                                  <w:r w:rsidRPr="00BF4FC7">
                                    <w:rPr>
                                      <w:rFonts w:ascii="標楷體" w:eastAsia="標楷體" w:hAnsi="標楷體"/>
                                      <w:bCs/>
                                      <w:kern w:val="0"/>
                                      <w:sz w:val="20"/>
                                    </w:rPr>
                                    <w:t>112</w:t>
                                  </w:r>
                                  <w:r w:rsidRPr="00BF4FC7">
                                    <w:rPr>
                                      <w:rFonts w:ascii="標楷體" w:eastAsia="標楷體" w:hAnsi="標楷體" w:hint="eastAsia"/>
                                      <w:bCs/>
                                      <w:kern w:val="0"/>
                                      <w:sz w:val="20"/>
                                    </w:rPr>
                                    <w:t>年底</w:t>
                                  </w:r>
                                </w:p>
                              </w:tc>
                              <w:tc>
                                <w:tcPr>
                                  <w:tcW w:w="975"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DC31E6"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kern w:val="0"/>
                                      <w:sz w:val="20"/>
                                    </w:rPr>
                                    <w:t>114</w:t>
                                  </w:r>
                                  <w:r w:rsidRPr="00BF4FC7">
                                    <w:rPr>
                                      <w:rFonts w:ascii="標楷體" w:eastAsia="標楷體" w:hAnsi="標楷體" w:cs="Calibri" w:hint="eastAsia"/>
                                      <w:kern w:val="0"/>
                                      <w:sz w:val="20"/>
                                    </w:rPr>
                                    <w:t>年底</w:t>
                                  </w:r>
                                </w:p>
                              </w:tc>
                            </w:tr>
                            <w:tr w:rsidR="00A0212B" w:rsidRPr="006C70EA" w14:paraId="3A668A2C" w14:textId="77777777" w:rsidTr="002314E4">
                              <w:trPr>
                                <w:trHeight w:val="232"/>
                              </w:trPr>
                              <w:tc>
                                <w:tcPr>
                                  <w:tcW w:w="1251" w:type="pct"/>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1389731" w14:textId="77777777" w:rsidR="00A0212B" w:rsidRPr="00BF4FC7" w:rsidRDefault="00A0212B" w:rsidP="002314E4">
                                  <w:pPr>
                                    <w:widowControl/>
                                    <w:spacing w:line="220" w:lineRule="exact"/>
                                    <w:jc w:val="center"/>
                                    <w:rPr>
                                      <w:rFonts w:ascii="標楷體" w:eastAsia="標楷體" w:hAnsi="標楷體" w:cs="Calibri"/>
                                      <w:kern w:val="0"/>
                                      <w:sz w:val="20"/>
                                    </w:rPr>
                                  </w:pPr>
                                </w:p>
                              </w:tc>
                              <w:tc>
                                <w:tcPr>
                                  <w:tcW w:w="105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0CF230" w14:textId="77777777" w:rsidR="00A0212B" w:rsidRPr="00BF4FC7" w:rsidRDefault="00A0212B" w:rsidP="002314E4">
                                  <w:pPr>
                                    <w:widowControl/>
                                    <w:spacing w:line="220" w:lineRule="exact"/>
                                    <w:jc w:val="center"/>
                                    <w:rPr>
                                      <w:rFonts w:ascii="標楷體" w:eastAsia="標楷體" w:hAnsi="標楷體" w:cs="Calibri"/>
                                      <w:kern w:val="0"/>
                                      <w:sz w:val="20"/>
                                    </w:rPr>
                                  </w:pPr>
                                </w:p>
                              </w:tc>
                              <w:tc>
                                <w:tcPr>
                                  <w:tcW w:w="5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2B40EE8" w14:textId="77777777" w:rsidR="00A0212B" w:rsidRPr="00BF4FC7" w:rsidRDefault="00A0212B" w:rsidP="002314E4">
                                  <w:pPr>
                                    <w:widowControl/>
                                    <w:spacing w:line="220" w:lineRule="exact"/>
                                    <w:jc w:val="center"/>
                                    <w:rPr>
                                      <w:rFonts w:ascii="標楷體" w:eastAsia="標楷體" w:hAnsi="標楷體" w:cs="Calibri"/>
                                      <w:bCs/>
                                      <w:kern w:val="0"/>
                                      <w:sz w:val="20"/>
                                    </w:rPr>
                                  </w:pPr>
                                  <w:r w:rsidRPr="00BF4FC7">
                                    <w:rPr>
                                      <w:rFonts w:ascii="標楷體" w:eastAsia="標楷體" w:hAnsi="標楷體" w:cs="Calibri" w:hint="eastAsia"/>
                                      <w:bCs/>
                                      <w:kern w:val="0"/>
                                      <w:sz w:val="20"/>
                                    </w:rPr>
                                    <w:t>目標量</w:t>
                                  </w:r>
                                </w:p>
                              </w:tc>
                              <w:tc>
                                <w:tcPr>
                                  <w:tcW w:w="5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0AC8A3C" w14:textId="77777777" w:rsidR="00A0212B" w:rsidRPr="00BF4FC7" w:rsidRDefault="00A0212B" w:rsidP="002314E4">
                                  <w:pPr>
                                    <w:widowControl/>
                                    <w:spacing w:line="220" w:lineRule="exact"/>
                                    <w:jc w:val="center"/>
                                    <w:rPr>
                                      <w:rFonts w:ascii="標楷體" w:eastAsia="標楷體" w:hAnsi="標楷體" w:cs="Calibri"/>
                                      <w:bCs/>
                                      <w:kern w:val="0"/>
                                      <w:sz w:val="20"/>
                                    </w:rPr>
                                  </w:pPr>
                                  <w:r w:rsidRPr="00BF4FC7">
                                    <w:rPr>
                                      <w:rFonts w:ascii="標楷體" w:eastAsia="標楷體" w:hAnsi="標楷體" w:cs="Calibri" w:hint="eastAsia"/>
                                      <w:bCs/>
                                      <w:kern w:val="0"/>
                                      <w:sz w:val="20"/>
                                    </w:rPr>
                                    <w:t>實際量</w:t>
                                  </w:r>
                                </w:p>
                              </w:tc>
                              <w:tc>
                                <w:tcPr>
                                  <w:tcW w:w="591"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640033C"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cs="Calibri" w:hint="eastAsia"/>
                                      <w:kern w:val="0"/>
                                      <w:sz w:val="20"/>
                                    </w:rPr>
                                    <w:t>短缺量</w:t>
                                  </w:r>
                                </w:p>
                              </w:tc>
                              <w:tc>
                                <w:tcPr>
                                  <w:tcW w:w="5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0C8BA56" w14:textId="77777777" w:rsidR="00A0212B" w:rsidRPr="00BF4FC7" w:rsidRDefault="00A0212B" w:rsidP="002314E4">
                                  <w:pPr>
                                    <w:widowControl/>
                                    <w:spacing w:line="220" w:lineRule="exact"/>
                                    <w:jc w:val="center"/>
                                    <w:rPr>
                                      <w:rFonts w:ascii="標楷體" w:eastAsia="標楷體" w:hAnsi="標楷體" w:cs="Calibri"/>
                                      <w:bCs/>
                                      <w:kern w:val="0"/>
                                      <w:sz w:val="20"/>
                                    </w:rPr>
                                  </w:pPr>
                                  <w:r w:rsidRPr="00BF4FC7">
                                    <w:rPr>
                                      <w:rFonts w:ascii="標楷體" w:eastAsia="標楷體" w:hAnsi="標楷體" w:cs="Calibri" w:hint="eastAsia"/>
                                      <w:bCs/>
                                      <w:kern w:val="0"/>
                                      <w:sz w:val="20"/>
                                    </w:rPr>
                                    <w:t>目標量</w:t>
                                  </w:r>
                                </w:p>
                              </w:tc>
                              <w:tc>
                                <w:tcPr>
                                  <w:tcW w:w="41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FA14F29"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cs="Calibri" w:hint="eastAsia"/>
                                      <w:kern w:val="0"/>
                                      <w:sz w:val="20"/>
                                    </w:rPr>
                                    <w:t>達成率</w:t>
                                  </w:r>
                                </w:p>
                              </w:tc>
                            </w:tr>
                            <w:tr w:rsidR="00A0212B" w:rsidRPr="006C70EA" w14:paraId="7EE11E6D" w14:textId="77777777" w:rsidTr="002314E4">
                              <w:trPr>
                                <w:trHeight w:val="232"/>
                              </w:trPr>
                              <w:tc>
                                <w:tcPr>
                                  <w:tcW w:w="2305" w:type="pct"/>
                                  <w:gridSpan w:val="3"/>
                                  <w:tcBorders>
                                    <w:top w:val="single" w:sz="4" w:space="0" w:color="auto"/>
                                    <w:left w:val="single" w:sz="4" w:space="0" w:color="auto"/>
                                    <w:bottom w:val="single" w:sz="4" w:space="0" w:color="auto"/>
                                    <w:right w:val="single" w:sz="4" w:space="0" w:color="auto"/>
                                  </w:tcBorders>
                                  <w:vAlign w:val="center"/>
                                </w:tcPr>
                                <w:p w14:paraId="0ACF8F42" w14:textId="77777777" w:rsidR="00A0212B" w:rsidRPr="00BF4FC7" w:rsidRDefault="00A0212B" w:rsidP="002314E4">
                                  <w:pPr>
                                    <w:widowControl/>
                                    <w:spacing w:line="220" w:lineRule="exact"/>
                                    <w:jc w:val="center"/>
                                    <w:rPr>
                                      <w:rFonts w:ascii="標楷體" w:eastAsia="標楷體" w:hAnsi="標楷體" w:cs="Calibri"/>
                                      <w:b/>
                                      <w:kern w:val="0"/>
                                      <w:sz w:val="20"/>
                                    </w:rPr>
                                  </w:pPr>
                                  <w:r w:rsidRPr="00BF4FC7">
                                    <w:rPr>
                                      <w:rFonts w:ascii="標楷體" w:eastAsia="標楷體" w:hAnsi="標楷體" w:cs="Calibri" w:hint="eastAsia"/>
                                      <w:b/>
                                      <w:kern w:val="0"/>
                                      <w:sz w:val="20"/>
                                    </w:rPr>
                                    <w:t>合　　　計</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57B77F36" w14:textId="77777777" w:rsidR="00A0212B" w:rsidRPr="00BF4FC7" w:rsidRDefault="00A0212B" w:rsidP="002314E4">
                                  <w:pPr>
                                    <w:widowControl/>
                                    <w:spacing w:line="220" w:lineRule="exact"/>
                                    <w:jc w:val="right"/>
                                    <w:rPr>
                                      <w:rFonts w:ascii="標楷體" w:eastAsia="標楷體" w:hAnsi="標楷體" w:cs="Calibri"/>
                                      <w:b/>
                                      <w:bCs/>
                                      <w:kern w:val="0"/>
                                      <w:sz w:val="20"/>
                                    </w:rPr>
                                  </w:pPr>
                                  <w:r w:rsidRPr="00BF4FC7">
                                    <w:rPr>
                                      <w:rFonts w:ascii="標楷體" w:eastAsia="標楷體" w:hAnsi="標楷體" w:cs="Calibri" w:hint="eastAsia"/>
                                      <w:b/>
                                      <w:bCs/>
                                      <w:sz w:val="20"/>
                                    </w:rPr>
                                    <w:t>6,989.9</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35982936" w14:textId="77777777" w:rsidR="00A0212B" w:rsidRPr="00BF4FC7" w:rsidRDefault="00A0212B" w:rsidP="002314E4">
                                  <w:pPr>
                                    <w:widowControl/>
                                    <w:spacing w:line="220" w:lineRule="exact"/>
                                    <w:jc w:val="right"/>
                                    <w:rPr>
                                      <w:rFonts w:ascii="標楷體" w:eastAsia="標楷體" w:hAnsi="標楷體" w:cs="Calibri"/>
                                      <w:b/>
                                      <w:bCs/>
                                      <w:kern w:val="0"/>
                                      <w:sz w:val="20"/>
                                    </w:rPr>
                                  </w:pPr>
                                  <w:r w:rsidRPr="00BF4FC7">
                                    <w:rPr>
                                      <w:rFonts w:ascii="標楷體" w:eastAsia="標楷體" w:hAnsi="標楷體" w:cs="Calibri" w:hint="eastAsia"/>
                                      <w:b/>
                                      <w:bCs/>
                                      <w:sz w:val="20"/>
                                    </w:rPr>
                                    <w:t>5,465.7</w:t>
                                  </w:r>
                                </w:p>
                              </w:tc>
                              <w:tc>
                                <w:tcPr>
                                  <w:tcW w:w="5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71DA5B"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hint="eastAsia"/>
                                      <w:b/>
                                      <w:bCs/>
                                      <w:sz w:val="20"/>
                                    </w:rPr>
                                    <w:t>- 1,524.2</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0FD29174" w14:textId="77777777" w:rsidR="00A0212B" w:rsidRPr="00BF4FC7" w:rsidRDefault="00A0212B" w:rsidP="002314E4">
                                  <w:pPr>
                                    <w:widowControl/>
                                    <w:spacing w:line="220" w:lineRule="exact"/>
                                    <w:jc w:val="right"/>
                                    <w:rPr>
                                      <w:rFonts w:ascii="標楷體" w:eastAsia="標楷體" w:hAnsi="標楷體" w:cs="Calibri"/>
                                      <w:b/>
                                      <w:bCs/>
                                      <w:kern w:val="0"/>
                                      <w:sz w:val="20"/>
                                    </w:rPr>
                                  </w:pPr>
                                  <w:r w:rsidRPr="00BF4FC7">
                                    <w:rPr>
                                      <w:rFonts w:ascii="標楷體" w:eastAsia="標楷體" w:hAnsi="標楷體" w:cs="Calibri" w:hint="eastAsia"/>
                                      <w:b/>
                                      <w:bCs/>
                                      <w:sz w:val="20"/>
                                    </w:rPr>
                                    <w:t>12,393.0</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22D20E"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hint="eastAsia"/>
                                      <w:b/>
                                      <w:bCs/>
                                      <w:sz w:val="20"/>
                                    </w:rPr>
                                    <w:t>44.10</w:t>
                                  </w:r>
                                </w:p>
                              </w:tc>
                            </w:tr>
                            <w:tr w:rsidR="00A0212B" w:rsidRPr="006C70EA" w14:paraId="5A66A43C" w14:textId="77777777" w:rsidTr="002314E4">
                              <w:trPr>
                                <w:trHeight w:val="232"/>
                              </w:trPr>
                              <w:tc>
                                <w:tcPr>
                                  <w:tcW w:w="3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593668"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經濟部</w:t>
                                  </w:r>
                                </w:p>
                              </w:tc>
                              <w:tc>
                                <w:tcPr>
                                  <w:tcW w:w="1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90289" w14:textId="77777777" w:rsidR="00A0212B" w:rsidRPr="00BF4FC7" w:rsidRDefault="00A0212B" w:rsidP="002314E4">
                                  <w:pPr>
                                    <w:widowControl/>
                                    <w:spacing w:line="220" w:lineRule="exact"/>
                                    <w:jc w:val="center"/>
                                    <w:rPr>
                                      <w:rFonts w:ascii="標楷體" w:eastAsia="標楷體" w:hAnsi="標楷體" w:cs="Calibri"/>
                                      <w:b/>
                                      <w:kern w:val="0"/>
                                      <w:sz w:val="20"/>
                                    </w:rPr>
                                  </w:pPr>
                                  <w:r w:rsidRPr="00BF4FC7">
                                    <w:rPr>
                                      <w:rFonts w:ascii="標楷體" w:eastAsia="標楷體" w:hAnsi="標楷體" w:cs="Calibri" w:hint="eastAsia"/>
                                      <w:b/>
                                      <w:kern w:val="0"/>
                                      <w:sz w:val="20"/>
                                    </w:rPr>
                                    <w:t>小　計</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5D32F193"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bCs/>
                                      <w:sz w:val="20"/>
                                    </w:rPr>
                                    <w:t>1,939.8</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066A69E7" w14:textId="77777777" w:rsidR="00A0212B" w:rsidRPr="00BF4FC7" w:rsidRDefault="00A0212B" w:rsidP="002314E4">
                                  <w:pPr>
                                    <w:widowControl/>
                                    <w:spacing w:line="220" w:lineRule="exact"/>
                                    <w:jc w:val="right"/>
                                    <w:rPr>
                                      <w:rFonts w:ascii="標楷體" w:eastAsia="標楷體" w:hAnsi="標楷體"/>
                                      <w:b/>
                                      <w:bCs/>
                                      <w:kern w:val="0"/>
                                      <w:sz w:val="20"/>
                                    </w:rPr>
                                  </w:pPr>
                                  <w:r w:rsidRPr="00BF4FC7">
                                    <w:rPr>
                                      <w:rFonts w:ascii="標楷體" w:eastAsia="標楷體" w:hAnsi="標楷體"/>
                                      <w:b/>
                                      <w:bCs/>
                                      <w:sz w:val="20"/>
                                    </w:rPr>
                                    <w:t>1,916.1</w:t>
                                  </w:r>
                                </w:p>
                              </w:tc>
                              <w:tc>
                                <w:tcPr>
                                  <w:tcW w:w="5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6D70B3"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b/>
                                      <w:bCs/>
                                      <w:sz w:val="20"/>
                                    </w:rPr>
                                    <w:t>- 23.7</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70895C30"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bCs/>
                                      <w:sz w:val="20"/>
                                    </w:rPr>
                                    <w:t>2,448.6</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A2A37C"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b/>
                                      <w:bCs/>
                                      <w:sz w:val="20"/>
                                    </w:rPr>
                                    <w:t>78.25</w:t>
                                  </w:r>
                                </w:p>
                              </w:tc>
                            </w:tr>
                            <w:tr w:rsidR="00A0212B" w:rsidRPr="006C70EA" w14:paraId="45D98A0E"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B789FC" w14:textId="77777777" w:rsidR="00A0212B" w:rsidRPr="00BF4FC7" w:rsidRDefault="00A0212B" w:rsidP="00E31547">
                                  <w:pPr>
                                    <w:widowControl/>
                                    <w:spacing w:line="220" w:lineRule="exact"/>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52354982"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能源署</w:t>
                                  </w:r>
                                </w:p>
                              </w:tc>
                              <w:tc>
                                <w:tcPr>
                                  <w:tcW w:w="1054" w:type="pct"/>
                                  <w:tcBorders>
                                    <w:top w:val="single" w:sz="4" w:space="0" w:color="auto"/>
                                    <w:left w:val="nil"/>
                                    <w:bottom w:val="single" w:sz="4" w:space="0" w:color="auto"/>
                                    <w:right w:val="single" w:sz="4" w:space="0" w:color="auto"/>
                                  </w:tcBorders>
                                  <w:shd w:val="clear" w:color="auto" w:fill="auto"/>
                                  <w:vAlign w:val="center"/>
                                </w:tcPr>
                                <w:p w14:paraId="6151EC92"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民間專案</w:t>
                                  </w:r>
                                </w:p>
                              </w:tc>
                              <w:tc>
                                <w:tcPr>
                                  <w:tcW w:w="565" w:type="pct"/>
                                  <w:tcBorders>
                                    <w:top w:val="single" w:sz="4" w:space="0" w:color="auto"/>
                                    <w:left w:val="nil"/>
                                    <w:bottom w:val="single" w:sz="4" w:space="0" w:color="auto"/>
                                    <w:right w:val="single" w:sz="4" w:space="0" w:color="auto"/>
                                  </w:tcBorders>
                                  <w:shd w:val="clear" w:color="auto" w:fill="auto"/>
                                  <w:vAlign w:val="center"/>
                                </w:tcPr>
                                <w:p w14:paraId="1EED8FE8"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1,471.9</w:t>
                                  </w:r>
                                </w:p>
                              </w:tc>
                              <w:tc>
                                <w:tcPr>
                                  <w:tcW w:w="565" w:type="pct"/>
                                  <w:tcBorders>
                                    <w:top w:val="single" w:sz="4" w:space="0" w:color="auto"/>
                                    <w:left w:val="nil"/>
                                    <w:bottom w:val="single" w:sz="4" w:space="0" w:color="auto"/>
                                    <w:right w:val="single" w:sz="4" w:space="0" w:color="auto"/>
                                  </w:tcBorders>
                                  <w:shd w:val="clear" w:color="auto" w:fill="auto"/>
                                  <w:vAlign w:val="center"/>
                                </w:tcPr>
                                <w:p w14:paraId="1AB67C38"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1,449.6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65C82803"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- 22.3 </w:t>
                                  </w:r>
                                </w:p>
                              </w:tc>
                              <w:tc>
                                <w:tcPr>
                                  <w:tcW w:w="565" w:type="pct"/>
                                  <w:tcBorders>
                                    <w:top w:val="single" w:sz="4" w:space="0" w:color="auto"/>
                                    <w:left w:val="nil"/>
                                    <w:bottom w:val="single" w:sz="4" w:space="0" w:color="auto"/>
                                    <w:right w:val="single" w:sz="4" w:space="0" w:color="auto"/>
                                  </w:tcBorders>
                                  <w:shd w:val="clear" w:color="auto" w:fill="auto"/>
                                  <w:vAlign w:val="center"/>
                                </w:tcPr>
                                <w:p w14:paraId="4AB3F9B8"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1,890.8</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57FE0A1"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76.67</w:t>
                                  </w:r>
                                </w:p>
                              </w:tc>
                            </w:tr>
                            <w:tr w:rsidR="00A0212B" w:rsidRPr="006C70EA" w14:paraId="68B56ABA"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59227CF" w14:textId="77777777" w:rsidR="00A0212B" w:rsidRPr="00BF4FC7" w:rsidRDefault="00A0212B" w:rsidP="00E31547">
                                  <w:pPr>
                                    <w:widowControl/>
                                    <w:spacing w:line="220" w:lineRule="exact"/>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130DF92F"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台灣糖業公司</w:t>
                                  </w:r>
                                </w:p>
                              </w:tc>
                              <w:tc>
                                <w:tcPr>
                                  <w:tcW w:w="1054" w:type="pct"/>
                                  <w:tcBorders>
                                    <w:top w:val="single" w:sz="4" w:space="0" w:color="auto"/>
                                    <w:left w:val="nil"/>
                                    <w:bottom w:val="single" w:sz="4" w:space="0" w:color="auto"/>
                                    <w:right w:val="single" w:sz="4" w:space="0" w:color="auto"/>
                                  </w:tcBorders>
                                  <w:shd w:val="clear" w:color="auto" w:fill="auto"/>
                                  <w:vAlign w:val="center"/>
                                </w:tcPr>
                                <w:p w14:paraId="1A1D3068"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不適耕作地</w:t>
                                  </w:r>
                                </w:p>
                              </w:tc>
                              <w:tc>
                                <w:tcPr>
                                  <w:tcW w:w="565" w:type="pct"/>
                                  <w:tcBorders>
                                    <w:top w:val="single" w:sz="4" w:space="0" w:color="auto"/>
                                    <w:left w:val="nil"/>
                                    <w:bottom w:val="single" w:sz="4" w:space="0" w:color="auto"/>
                                    <w:right w:val="single" w:sz="4" w:space="0" w:color="auto"/>
                                  </w:tcBorders>
                                  <w:shd w:val="clear" w:color="auto" w:fill="auto"/>
                                  <w:vAlign w:val="center"/>
                                </w:tcPr>
                                <w:p w14:paraId="6CD6BF53"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388.8</w:t>
                                  </w:r>
                                </w:p>
                              </w:tc>
                              <w:tc>
                                <w:tcPr>
                                  <w:tcW w:w="565" w:type="pct"/>
                                  <w:tcBorders>
                                    <w:top w:val="single" w:sz="4" w:space="0" w:color="auto"/>
                                    <w:left w:val="nil"/>
                                    <w:bottom w:val="single" w:sz="4" w:space="0" w:color="auto"/>
                                    <w:right w:val="single" w:sz="4" w:space="0" w:color="auto"/>
                                  </w:tcBorders>
                                  <w:shd w:val="clear" w:color="auto" w:fill="auto"/>
                                  <w:vAlign w:val="center"/>
                                </w:tcPr>
                                <w:p w14:paraId="0576C02D"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388.6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37B73CEA"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- 0.2 </w:t>
                                  </w:r>
                                </w:p>
                              </w:tc>
                              <w:tc>
                                <w:tcPr>
                                  <w:tcW w:w="565" w:type="pct"/>
                                  <w:tcBorders>
                                    <w:top w:val="single" w:sz="4" w:space="0" w:color="auto"/>
                                    <w:left w:val="nil"/>
                                    <w:bottom w:val="single" w:sz="4" w:space="0" w:color="auto"/>
                                    <w:right w:val="single" w:sz="4" w:space="0" w:color="auto"/>
                                  </w:tcBorders>
                                  <w:shd w:val="clear" w:color="auto" w:fill="auto"/>
                                  <w:vAlign w:val="center"/>
                                </w:tcPr>
                                <w:p w14:paraId="0BA8AA30"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481.7</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095AA5C"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80.67</w:t>
                                  </w:r>
                                </w:p>
                              </w:tc>
                            </w:tr>
                            <w:tr w:rsidR="00A0212B" w:rsidRPr="006C70EA" w14:paraId="502BB0E0"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CC6393" w14:textId="77777777" w:rsidR="00A0212B" w:rsidRPr="00BF4FC7" w:rsidRDefault="00A0212B" w:rsidP="00E31547">
                                  <w:pPr>
                                    <w:spacing w:line="220" w:lineRule="exact"/>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4614B77F" w14:textId="77777777" w:rsidR="00A0212B" w:rsidRPr="00BF4FC7" w:rsidRDefault="00A0212B" w:rsidP="00E31547">
                                  <w:pPr>
                                    <w:widowControl/>
                                    <w:spacing w:line="220" w:lineRule="exact"/>
                                    <w:rPr>
                                      <w:rFonts w:ascii="標楷體" w:eastAsia="標楷體" w:hAnsi="標楷體" w:cs="Calibri"/>
                                      <w:spacing w:val="-4"/>
                                      <w:kern w:val="0"/>
                                      <w:sz w:val="20"/>
                                    </w:rPr>
                                  </w:pPr>
                                  <w:r w:rsidRPr="00BF4FC7">
                                    <w:rPr>
                                      <w:rFonts w:ascii="標楷體" w:eastAsia="標楷體" w:hAnsi="標楷體" w:cs="Calibri" w:hint="eastAsia"/>
                                      <w:spacing w:val="-4"/>
                                      <w:kern w:val="0"/>
                                      <w:sz w:val="20"/>
                                    </w:rPr>
                                    <w:t>產業園區管理局</w:t>
                                  </w:r>
                                </w:p>
                              </w:tc>
                              <w:tc>
                                <w:tcPr>
                                  <w:tcW w:w="1054" w:type="pct"/>
                                  <w:tcBorders>
                                    <w:top w:val="single" w:sz="4" w:space="0" w:color="auto"/>
                                    <w:left w:val="nil"/>
                                    <w:bottom w:val="single" w:sz="4" w:space="0" w:color="auto"/>
                                    <w:right w:val="single" w:sz="4" w:space="0" w:color="auto"/>
                                  </w:tcBorders>
                                  <w:shd w:val="clear" w:color="auto" w:fill="auto"/>
                                  <w:vAlign w:val="center"/>
                                </w:tcPr>
                                <w:p w14:paraId="23D06CB6"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加工出口區</w:t>
                                  </w:r>
                                </w:p>
                              </w:tc>
                              <w:tc>
                                <w:tcPr>
                                  <w:tcW w:w="565" w:type="pct"/>
                                  <w:tcBorders>
                                    <w:top w:val="single" w:sz="4" w:space="0" w:color="auto"/>
                                    <w:left w:val="nil"/>
                                    <w:bottom w:val="single" w:sz="4" w:space="0" w:color="auto"/>
                                    <w:right w:val="single" w:sz="4" w:space="0" w:color="auto"/>
                                  </w:tcBorders>
                                  <w:shd w:val="clear" w:color="auto" w:fill="auto"/>
                                  <w:vAlign w:val="center"/>
                                </w:tcPr>
                                <w:p w14:paraId="0DE75956"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59.1</w:t>
                                  </w:r>
                                </w:p>
                              </w:tc>
                              <w:tc>
                                <w:tcPr>
                                  <w:tcW w:w="565" w:type="pct"/>
                                  <w:tcBorders>
                                    <w:top w:val="single" w:sz="4" w:space="0" w:color="auto"/>
                                    <w:left w:val="nil"/>
                                    <w:bottom w:val="single" w:sz="4" w:space="0" w:color="auto"/>
                                    <w:right w:val="single" w:sz="4" w:space="0" w:color="auto"/>
                                  </w:tcBorders>
                                  <w:shd w:val="clear" w:color="auto" w:fill="auto"/>
                                  <w:vAlign w:val="center"/>
                                </w:tcPr>
                                <w:p w14:paraId="7F5AFC33"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58.6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608A2710"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- 0.5 </w:t>
                                  </w:r>
                                </w:p>
                              </w:tc>
                              <w:tc>
                                <w:tcPr>
                                  <w:tcW w:w="565" w:type="pct"/>
                                  <w:tcBorders>
                                    <w:top w:val="single" w:sz="4" w:space="0" w:color="auto"/>
                                    <w:left w:val="nil"/>
                                    <w:bottom w:val="single" w:sz="4" w:space="0" w:color="auto"/>
                                    <w:right w:val="single" w:sz="4" w:space="0" w:color="auto"/>
                                  </w:tcBorders>
                                  <w:shd w:val="clear" w:color="auto" w:fill="auto"/>
                                  <w:vAlign w:val="center"/>
                                </w:tcPr>
                                <w:p w14:paraId="2F097871"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59.1</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95E428C"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99.15</w:t>
                                  </w:r>
                                </w:p>
                              </w:tc>
                            </w:tr>
                            <w:tr w:rsidR="00A0212B" w:rsidRPr="006C70EA" w14:paraId="5975A4DD"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2D6E2C" w14:textId="77777777" w:rsidR="00A0212B" w:rsidRPr="00BF4FC7" w:rsidRDefault="00A0212B" w:rsidP="00E31547">
                                  <w:pPr>
                                    <w:widowControl/>
                                    <w:spacing w:line="220" w:lineRule="exact"/>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64E85DEE"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台灣電力公司</w:t>
                                  </w:r>
                                </w:p>
                              </w:tc>
                              <w:tc>
                                <w:tcPr>
                                  <w:tcW w:w="1054" w:type="pct"/>
                                  <w:tcBorders>
                                    <w:top w:val="single" w:sz="4" w:space="0" w:color="auto"/>
                                    <w:left w:val="nil"/>
                                    <w:bottom w:val="single" w:sz="4" w:space="0" w:color="auto"/>
                                    <w:right w:val="single" w:sz="4" w:space="0" w:color="auto"/>
                                  </w:tcBorders>
                                  <w:shd w:val="clear" w:color="auto" w:fill="auto"/>
                                  <w:vAlign w:val="center"/>
                                </w:tcPr>
                                <w:p w14:paraId="41686C65"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公有屋頂</w:t>
                                  </w:r>
                                </w:p>
                              </w:tc>
                              <w:tc>
                                <w:tcPr>
                                  <w:tcW w:w="565" w:type="pct"/>
                                  <w:tcBorders>
                                    <w:top w:val="single" w:sz="4" w:space="0" w:color="auto"/>
                                    <w:left w:val="nil"/>
                                    <w:bottom w:val="single" w:sz="4" w:space="0" w:color="auto"/>
                                    <w:right w:val="single" w:sz="4" w:space="0" w:color="auto"/>
                                  </w:tcBorders>
                                  <w:shd w:val="clear" w:color="auto" w:fill="auto"/>
                                  <w:vAlign w:val="center"/>
                                </w:tcPr>
                                <w:p w14:paraId="5E133EF9"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20</w:t>
                                  </w:r>
                                </w:p>
                              </w:tc>
                              <w:tc>
                                <w:tcPr>
                                  <w:tcW w:w="565" w:type="pct"/>
                                  <w:tcBorders>
                                    <w:top w:val="single" w:sz="4" w:space="0" w:color="auto"/>
                                    <w:left w:val="nil"/>
                                    <w:bottom w:val="single" w:sz="4" w:space="0" w:color="auto"/>
                                    <w:right w:val="single" w:sz="4" w:space="0" w:color="auto"/>
                                  </w:tcBorders>
                                  <w:shd w:val="clear" w:color="auto" w:fill="auto"/>
                                  <w:vAlign w:val="center"/>
                                </w:tcPr>
                                <w:p w14:paraId="2363BFF5"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19.3</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44C7EA41"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- 0.7 </w:t>
                                  </w:r>
                                </w:p>
                              </w:tc>
                              <w:tc>
                                <w:tcPr>
                                  <w:tcW w:w="565" w:type="pct"/>
                                  <w:tcBorders>
                                    <w:top w:val="single" w:sz="4" w:space="0" w:color="auto"/>
                                    <w:left w:val="nil"/>
                                    <w:bottom w:val="single" w:sz="4" w:space="0" w:color="auto"/>
                                    <w:right w:val="single" w:sz="4" w:space="0" w:color="auto"/>
                                  </w:tcBorders>
                                  <w:shd w:val="clear" w:color="auto" w:fill="auto"/>
                                  <w:vAlign w:val="center"/>
                                </w:tcPr>
                                <w:p w14:paraId="447287B2"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17.0</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8CC8776"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113.53</w:t>
                                  </w:r>
                                </w:p>
                              </w:tc>
                            </w:tr>
                            <w:tr w:rsidR="00A0212B" w:rsidRPr="006C70EA" w14:paraId="75A3F0F5" w14:textId="77777777" w:rsidTr="002314E4">
                              <w:trPr>
                                <w:trHeight w:val="232"/>
                              </w:trPr>
                              <w:tc>
                                <w:tcPr>
                                  <w:tcW w:w="36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429AD0"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農業部</w:t>
                                  </w:r>
                                </w:p>
                              </w:tc>
                              <w:tc>
                                <w:tcPr>
                                  <w:tcW w:w="1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39DFF3" w14:textId="77777777" w:rsidR="00A0212B" w:rsidRPr="00BF4FC7" w:rsidRDefault="00A0212B" w:rsidP="002314E4">
                                  <w:pPr>
                                    <w:widowControl/>
                                    <w:spacing w:line="220" w:lineRule="exact"/>
                                    <w:jc w:val="center"/>
                                    <w:rPr>
                                      <w:rFonts w:ascii="標楷體" w:eastAsia="標楷體" w:hAnsi="標楷體" w:cs="Calibri"/>
                                      <w:b/>
                                      <w:kern w:val="0"/>
                                      <w:sz w:val="20"/>
                                    </w:rPr>
                                  </w:pPr>
                                  <w:r w:rsidRPr="00BF4FC7">
                                    <w:rPr>
                                      <w:rFonts w:ascii="標楷體" w:eastAsia="標楷體" w:hAnsi="標楷體" w:cs="Calibri" w:hint="eastAsia"/>
                                      <w:b/>
                                      <w:kern w:val="0"/>
                                      <w:sz w:val="20"/>
                                    </w:rPr>
                                    <w:t>小　計</w:t>
                                  </w:r>
                                </w:p>
                              </w:tc>
                              <w:tc>
                                <w:tcPr>
                                  <w:tcW w:w="565" w:type="pct"/>
                                  <w:tcBorders>
                                    <w:top w:val="single" w:sz="4" w:space="0" w:color="auto"/>
                                    <w:left w:val="nil"/>
                                    <w:bottom w:val="single" w:sz="4" w:space="0" w:color="auto"/>
                                    <w:right w:val="single" w:sz="4" w:space="0" w:color="auto"/>
                                  </w:tcBorders>
                                  <w:shd w:val="clear" w:color="auto" w:fill="auto"/>
                                  <w:vAlign w:val="center"/>
                                </w:tcPr>
                                <w:p w14:paraId="1E514492"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kern w:val="0"/>
                                      <w:sz w:val="20"/>
                                    </w:rPr>
                                    <w:t>4,578.8</w:t>
                                  </w:r>
                                </w:p>
                              </w:tc>
                              <w:tc>
                                <w:tcPr>
                                  <w:tcW w:w="565" w:type="pct"/>
                                  <w:tcBorders>
                                    <w:top w:val="single" w:sz="4" w:space="0" w:color="auto"/>
                                    <w:left w:val="nil"/>
                                    <w:bottom w:val="single" w:sz="4" w:space="0" w:color="auto"/>
                                    <w:right w:val="single" w:sz="4" w:space="0" w:color="auto"/>
                                  </w:tcBorders>
                                  <w:shd w:val="clear" w:color="auto" w:fill="auto"/>
                                  <w:vAlign w:val="center"/>
                                </w:tcPr>
                                <w:p w14:paraId="2EC05FF8" w14:textId="77777777" w:rsidR="00A0212B" w:rsidRPr="00BF4FC7" w:rsidRDefault="00A0212B" w:rsidP="002314E4">
                                  <w:pPr>
                                    <w:widowControl/>
                                    <w:spacing w:line="220" w:lineRule="exact"/>
                                    <w:jc w:val="right"/>
                                    <w:rPr>
                                      <w:rFonts w:ascii="標楷體" w:eastAsia="標楷體" w:hAnsi="標楷體"/>
                                      <w:b/>
                                      <w:bCs/>
                                      <w:kern w:val="0"/>
                                      <w:sz w:val="20"/>
                                    </w:rPr>
                                  </w:pPr>
                                  <w:r w:rsidRPr="00BF4FC7">
                                    <w:rPr>
                                      <w:rFonts w:ascii="標楷體" w:eastAsia="標楷體" w:hAnsi="標楷體"/>
                                      <w:b/>
                                      <w:bCs/>
                                      <w:kern w:val="0"/>
                                      <w:sz w:val="20"/>
                                    </w:rPr>
                                    <w:t>3,198.4</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252E7926"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b/>
                                      <w:kern w:val="0"/>
                                      <w:sz w:val="20"/>
                                    </w:rPr>
                                    <w:t>- 1,380.4</w:t>
                                  </w:r>
                                </w:p>
                              </w:tc>
                              <w:tc>
                                <w:tcPr>
                                  <w:tcW w:w="565" w:type="pct"/>
                                  <w:tcBorders>
                                    <w:top w:val="single" w:sz="4" w:space="0" w:color="auto"/>
                                    <w:left w:val="nil"/>
                                    <w:bottom w:val="single" w:sz="4" w:space="0" w:color="auto"/>
                                    <w:right w:val="single" w:sz="4" w:space="0" w:color="auto"/>
                                  </w:tcBorders>
                                  <w:shd w:val="clear" w:color="auto" w:fill="auto"/>
                                  <w:vAlign w:val="center"/>
                                </w:tcPr>
                                <w:p w14:paraId="02EA684C"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kern w:val="0"/>
                                      <w:sz w:val="20"/>
                                    </w:rPr>
                                    <w:t>9,073.3</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5AFD5A4"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b/>
                                      <w:kern w:val="0"/>
                                      <w:sz w:val="20"/>
                                    </w:rPr>
                                    <w:t>35.25</w:t>
                                  </w:r>
                                </w:p>
                              </w:tc>
                            </w:tr>
                            <w:tr w:rsidR="00A0212B" w:rsidRPr="006C70EA" w14:paraId="112604D2" w14:textId="77777777" w:rsidTr="00E31547">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5FEC01" w14:textId="77777777" w:rsidR="00A0212B" w:rsidRPr="00BF4FC7" w:rsidRDefault="00A0212B" w:rsidP="002314E4">
                                  <w:pPr>
                                    <w:widowControl/>
                                    <w:spacing w:line="220" w:lineRule="exact"/>
                                    <w:jc w:val="center"/>
                                    <w:rPr>
                                      <w:rFonts w:ascii="標楷體" w:eastAsia="標楷體" w:hAnsi="標楷體" w:cs="Calibri"/>
                                      <w:kern w:val="0"/>
                                      <w:sz w:val="20"/>
                                    </w:rPr>
                                  </w:pPr>
                                </w:p>
                              </w:tc>
                              <w:tc>
                                <w:tcPr>
                                  <w:tcW w:w="882" w:type="pct"/>
                                  <w:vMerge w:val="restart"/>
                                  <w:tcBorders>
                                    <w:top w:val="single" w:sz="4" w:space="0" w:color="auto"/>
                                    <w:left w:val="single" w:sz="4" w:space="0" w:color="auto"/>
                                    <w:right w:val="single" w:sz="4" w:space="0" w:color="auto"/>
                                  </w:tcBorders>
                                  <w:shd w:val="clear" w:color="auto" w:fill="auto"/>
                                  <w:vAlign w:val="center"/>
                                </w:tcPr>
                                <w:p w14:paraId="53EDA5B9"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資源永續利</w:t>
                                  </w:r>
                                  <w:r w:rsidRPr="00BF4FC7">
                                    <w:rPr>
                                      <w:rFonts w:ascii="標楷體" w:eastAsia="標楷體" w:hAnsi="標楷體" w:cs="Calibri" w:hint="eastAsia"/>
                                      <w:spacing w:val="-20"/>
                                      <w:kern w:val="0"/>
                                      <w:sz w:val="20"/>
                                    </w:rPr>
                                    <w:t>用司</w:t>
                                  </w:r>
                                </w:p>
                              </w:tc>
                              <w:tc>
                                <w:tcPr>
                                  <w:tcW w:w="1054" w:type="pct"/>
                                  <w:tcBorders>
                                    <w:top w:val="single" w:sz="4" w:space="0" w:color="auto"/>
                                    <w:left w:val="nil"/>
                                    <w:bottom w:val="single" w:sz="4" w:space="0" w:color="auto"/>
                                    <w:right w:val="single" w:sz="4" w:space="0" w:color="auto"/>
                                  </w:tcBorders>
                                  <w:shd w:val="clear" w:color="auto" w:fill="auto"/>
                                  <w:vAlign w:val="center"/>
                                </w:tcPr>
                                <w:p w14:paraId="5EFB8F5C" w14:textId="77777777" w:rsidR="00A0212B" w:rsidRPr="00BF4FC7" w:rsidRDefault="00A0212B" w:rsidP="00E31547">
                                  <w:pPr>
                                    <w:widowControl/>
                                    <w:spacing w:line="220" w:lineRule="exact"/>
                                    <w:rPr>
                                      <w:rFonts w:ascii="標楷體" w:eastAsia="標楷體" w:hAnsi="標楷體" w:cs="Calibri"/>
                                      <w:b/>
                                      <w:kern w:val="0"/>
                                      <w:sz w:val="20"/>
                                    </w:rPr>
                                  </w:pPr>
                                  <w:r w:rsidRPr="00BF4FC7">
                                    <w:rPr>
                                      <w:rFonts w:ascii="標楷體" w:eastAsia="標楷體" w:hAnsi="標楷體" w:cs="Calibri" w:hint="eastAsia"/>
                                      <w:kern w:val="0"/>
                                      <w:sz w:val="20"/>
                                    </w:rPr>
                                    <w:t>低地力變更</w:t>
                                  </w:r>
                                </w:p>
                              </w:tc>
                              <w:tc>
                                <w:tcPr>
                                  <w:tcW w:w="565" w:type="pct"/>
                                  <w:tcBorders>
                                    <w:top w:val="single" w:sz="4" w:space="0" w:color="auto"/>
                                    <w:left w:val="nil"/>
                                    <w:bottom w:val="single" w:sz="4" w:space="0" w:color="auto"/>
                                    <w:right w:val="single" w:sz="4" w:space="0" w:color="auto"/>
                                  </w:tcBorders>
                                  <w:shd w:val="clear" w:color="auto" w:fill="auto"/>
                                  <w:vAlign w:val="center"/>
                                </w:tcPr>
                                <w:p w14:paraId="73B79E80"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kern w:val="0"/>
                                      <w:sz w:val="20"/>
                                    </w:rPr>
                                    <w:t>206.2</w:t>
                                  </w:r>
                                </w:p>
                              </w:tc>
                              <w:tc>
                                <w:tcPr>
                                  <w:tcW w:w="565" w:type="pct"/>
                                  <w:tcBorders>
                                    <w:top w:val="single" w:sz="4" w:space="0" w:color="auto"/>
                                    <w:left w:val="nil"/>
                                    <w:bottom w:val="single" w:sz="4" w:space="0" w:color="auto"/>
                                    <w:right w:val="single" w:sz="4" w:space="0" w:color="auto"/>
                                  </w:tcBorders>
                                  <w:shd w:val="clear" w:color="auto" w:fill="auto"/>
                                  <w:vAlign w:val="center"/>
                                </w:tcPr>
                                <w:p w14:paraId="66488BC9" w14:textId="77777777" w:rsidR="00A0212B" w:rsidRPr="00BF4FC7" w:rsidRDefault="00A0212B" w:rsidP="002314E4">
                                  <w:pPr>
                                    <w:widowControl/>
                                    <w:spacing w:line="220" w:lineRule="exact"/>
                                    <w:jc w:val="right"/>
                                    <w:rPr>
                                      <w:rFonts w:ascii="標楷體" w:eastAsia="標楷體" w:hAnsi="標楷體"/>
                                      <w:b/>
                                      <w:bCs/>
                                      <w:kern w:val="0"/>
                                      <w:sz w:val="20"/>
                                    </w:rPr>
                                  </w:pPr>
                                  <w:r w:rsidRPr="00BF4FC7">
                                    <w:rPr>
                                      <w:rFonts w:ascii="標楷體" w:eastAsia="標楷體" w:hAnsi="標楷體"/>
                                      <w:bCs/>
                                      <w:kern w:val="0"/>
                                      <w:sz w:val="20"/>
                                    </w:rPr>
                                    <w:t>127.2</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08277E75"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kern w:val="0"/>
                                      <w:sz w:val="20"/>
                                    </w:rPr>
                                    <w:t xml:space="preserve">- 79.0 </w:t>
                                  </w:r>
                                </w:p>
                              </w:tc>
                              <w:tc>
                                <w:tcPr>
                                  <w:tcW w:w="565" w:type="pct"/>
                                  <w:tcBorders>
                                    <w:top w:val="single" w:sz="4" w:space="0" w:color="auto"/>
                                    <w:left w:val="nil"/>
                                    <w:bottom w:val="single" w:sz="4" w:space="0" w:color="auto"/>
                                    <w:right w:val="single" w:sz="4" w:space="0" w:color="auto"/>
                                  </w:tcBorders>
                                  <w:shd w:val="clear" w:color="auto" w:fill="auto"/>
                                  <w:vAlign w:val="center"/>
                                </w:tcPr>
                                <w:p w14:paraId="6E2AF936"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kern w:val="0"/>
                                      <w:sz w:val="20"/>
                                    </w:rPr>
                                    <w:t>900.0</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01A77AFE"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kern w:val="0"/>
                                      <w:sz w:val="20"/>
                                    </w:rPr>
                                    <w:t>14.13</w:t>
                                  </w:r>
                                </w:p>
                              </w:tc>
                            </w:tr>
                            <w:tr w:rsidR="00A0212B" w:rsidRPr="006C70EA" w14:paraId="099D6EA7" w14:textId="77777777" w:rsidTr="00E31547">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9395A6" w14:textId="77777777" w:rsidR="00A0212B" w:rsidRPr="00BF4FC7" w:rsidRDefault="00A0212B" w:rsidP="002314E4">
                                  <w:pPr>
                                    <w:widowControl/>
                                    <w:spacing w:line="220" w:lineRule="exact"/>
                                    <w:jc w:val="center"/>
                                    <w:rPr>
                                      <w:rFonts w:ascii="標楷體" w:eastAsia="標楷體" w:hAnsi="標楷體" w:cs="Calibri"/>
                                      <w:kern w:val="0"/>
                                      <w:sz w:val="20"/>
                                    </w:rPr>
                                  </w:pPr>
                                </w:p>
                              </w:tc>
                              <w:tc>
                                <w:tcPr>
                                  <w:tcW w:w="882" w:type="pct"/>
                                  <w:vMerge/>
                                  <w:tcBorders>
                                    <w:left w:val="single" w:sz="4" w:space="0" w:color="auto"/>
                                    <w:bottom w:val="single" w:sz="4" w:space="0" w:color="auto"/>
                                    <w:right w:val="single" w:sz="4" w:space="0" w:color="auto"/>
                                  </w:tcBorders>
                                  <w:shd w:val="clear" w:color="auto" w:fill="auto"/>
                                  <w:vAlign w:val="center"/>
                                </w:tcPr>
                                <w:p w14:paraId="0AE0F0D7" w14:textId="77777777" w:rsidR="00A0212B" w:rsidRPr="00BF4FC7" w:rsidRDefault="00A0212B" w:rsidP="00E31547">
                                  <w:pPr>
                                    <w:widowControl/>
                                    <w:spacing w:line="220" w:lineRule="exact"/>
                                    <w:rPr>
                                      <w:rFonts w:ascii="標楷體" w:eastAsia="標楷體" w:hAnsi="標楷體" w:cs="Calibri"/>
                                      <w:kern w:val="0"/>
                                      <w:sz w:val="20"/>
                                    </w:rPr>
                                  </w:pPr>
                                </w:p>
                              </w:tc>
                              <w:tc>
                                <w:tcPr>
                                  <w:tcW w:w="1054" w:type="pct"/>
                                  <w:tcBorders>
                                    <w:top w:val="single" w:sz="4" w:space="0" w:color="auto"/>
                                    <w:left w:val="nil"/>
                                    <w:bottom w:val="single" w:sz="4" w:space="0" w:color="auto"/>
                                    <w:right w:val="single" w:sz="4" w:space="0" w:color="auto"/>
                                  </w:tcBorders>
                                  <w:shd w:val="clear" w:color="auto" w:fill="auto"/>
                                  <w:vAlign w:val="center"/>
                                </w:tcPr>
                                <w:p w14:paraId="728416C8"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不利農業經營</w:t>
                                  </w:r>
                                </w:p>
                              </w:tc>
                              <w:tc>
                                <w:tcPr>
                                  <w:tcW w:w="565" w:type="pct"/>
                                  <w:tcBorders>
                                    <w:top w:val="single" w:sz="4" w:space="0" w:color="auto"/>
                                    <w:left w:val="nil"/>
                                    <w:bottom w:val="single" w:sz="4" w:space="0" w:color="auto"/>
                                    <w:right w:val="single" w:sz="4" w:space="0" w:color="auto"/>
                                  </w:tcBorders>
                                  <w:shd w:val="clear" w:color="auto" w:fill="auto"/>
                                  <w:vAlign w:val="center"/>
                                </w:tcPr>
                                <w:p w14:paraId="506AFD14"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406.7</w:t>
                                  </w:r>
                                </w:p>
                              </w:tc>
                              <w:tc>
                                <w:tcPr>
                                  <w:tcW w:w="565" w:type="pct"/>
                                  <w:tcBorders>
                                    <w:top w:val="single" w:sz="4" w:space="0" w:color="auto"/>
                                    <w:left w:val="nil"/>
                                    <w:bottom w:val="single" w:sz="4" w:space="0" w:color="auto"/>
                                    <w:right w:val="single" w:sz="4" w:space="0" w:color="auto"/>
                                  </w:tcBorders>
                                  <w:shd w:val="clear" w:color="auto" w:fill="auto"/>
                                  <w:vAlign w:val="center"/>
                                </w:tcPr>
                                <w:p w14:paraId="337BBD03"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355.5</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2D0EE047"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- 51.2 </w:t>
                                  </w:r>
                                </w:p>
                              </w:tc>
                              <w:tc>
                                <w:tcPr>
                                  <w:tcW w:w="565" w:type="pct"/>
                                  <w:tcBorders>
                                    <w:top w:val="single" w:sz="4" w:space="0" w:color="auto"/>
                                    <w:left w:val="nil"/>
                                    <w:bottom w:val="single" w:sz="4" w:space="0" w:color="auto"/>
                                    <w:right w:val="single" w:sz="4" w:space="0" w:color="auto"/>
                                  </w:tcBorders>
                                  <w:shd w:val="clear" w:color="auto" w:fill="auto"/>
                                  <w:vAlign w:val="center"/>
                                </w:tcPr>
                                <w:p w14:paraId="2EBEC282"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600.0</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738D056"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59.25</w:t>
                                  </w:r>
                                </w:p>
                              </w:tc>
                            </w:tr>
                            <w:tr w:rsidR="00A0212B" w:rsidRPr="006C70EA" w14:paraId="54EA4468" w14:textId="77777777" w:rsidTr="00E31547">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7AAB65C" w14:textId="77777777" w:rsidR="00A0212B" w:rsidRPr="00BF4FC7" w:rsidRDefault="00A0212B" w:rsidP="002314E4">
                                  <w:pPr>
                                    <w:spacing w:line="220" w:lineRule="exact"/>
                                    <w:jc w:val="center"/>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6B22E260"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漁業署</w:t>
                                  </w:r>
                                </w:p>
                              </w:tc>
                              <w:tc>
                                <w:tcPr>
                                  <w:tcW w:w="1054" w:type="pct"/>
                                  <w:tcBorders>
                                    <w:top w:val="single" w:sz="4" w:space="0" w:color="auto"/>
                                    <w:left w:val="nil"/>
                                    <w:bottom w:val="single" w:sz="4" w:space="0" w:color="auto"/>
                                    <w:right w:val="single" w:sz="4" w:space="0" w:color="auto"/>
                                  </w:tcBorders>
                                  <w:shd w:val="clear" w:color="auto" w:fill="auto"/>
                                  <w:vAlign w:val="center"/>
                                </w:tcPr>
                                <w:p w14:paraId="34537FED"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漁電共生</w:t>
                                  </w:r>
                                  <w:r>
                                    <w:rPr>
                                      <w:rFonts w:ascii="標楷體" w:eastAsia="標楷體" w:hAnsi="標楷體"/>
                                      <w:kern w:val="0"/>
                                      <w:sz w:val="20"/>
                                    </w:rPr>
                                    <w:t>（</w:t>
                                  </w:r>
                                  <w:r w:rsidRPr="00BF4FC7">
                                    <w:rPr>
                                      <w:rFonts w:ascii="標楷體" w:eastAsia="標楷體" w:hAnsi="標楷體" w:cs="Calibri" w:hint="eastAsia"/>
                                      <w:kern w:val="0"/>
                                      <w:sz w:val="20"/>
                                    </w:rPr>
                                    <w:t>室內</w:t>
                                  </w:r>
                                  <w:r w:rsidRPr="00BF4FC7">
                                    <w:rPr>
                                      <w:rFonts w:ascii="標楷體" w:eastAsia="標楷體" w:hAnsi="標楷體"/>
                                      <w:kern w:val="0"/>
                                      <w:sz w:val="20"/>
                                    </w:rPr>
                                    <w:t>/</w:t>
                                  </w:r>
                                  <w:r w:rsidRPr="00BF4FC7">
                                    <w:rPr>
                                      <w:rFonts w:ascii="標楷體" w:eastAsia="標楷體" w:hAnsi="標楷體" w:cs="Calibri" w:hint="eastAsia"/>
                                      <w:kern w:val="0"/>
                                      <w:sz w:val="20"/>
                                    </w:rPr>
                                    <w:t>外</w:t>
                                  </w:r>
                                  <w:r>
                                    <w:rPr>
                                      <w:rFonts w:ascii="標楷體" w:eastAsia="標楷體" w:hAnsi="標楷體"/>
                                      <w:kern w:val="0"/>
                                      <w:sz w:val="20"/>
                                    </w:rPr>
                                    <w:t>）</w:t>
                                  </w:r>
                                </w:p>
                              </w:tc>
                              <w:tc>
                                <w:tcPr>
                                  <w:tcW w:w="565" w:type="pct"/>
                                  <w:tcBorders>
                                    <w:top w:val="single" w:sz="4" w:space="0" w:color="auto"/>
                                    <w:left w:val="nil"/>
                                    <w:bottom w:val="single" w:sz="4" w:space="0" w:color="auto"/>
                                    <w:right w:val="single" w:sz="4" w:space="0" w:color="auto"/>
                                  </w:tcBorders>
                                  <w:shd w:val="clear" w:color="auto" w:fill="auto"/>
                                  <w:vAlign w:val="center"/>
                                </w:tcPr>
                                <w:p w14:paraId="025F751A"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1,549.4</w:t>
                                  </w:r>
                                </w:p>
                              </w:tc>
                              <w:tc>
                                <w:tcPr>
                                  <w:tcW w:w="565" w:type="pct"/>
                                  <w:tcBorders>
                                    <w:top w:val="single" w:sz="4" w:space="0" w:color="auto"/>
                                    <w:left w:val="nil"/>
                                    <w:bottom w:val="single" w:sz="4" w:space="0" w:color="auto"/>
                                    <w:right w:val="single" w:sz="4" w:space="0" w:color="auto"/>
                                  </w:tcBorders>
                                  <w:shd w:val="clear" w:color="auto" w:fill="auto"/>
                                  <w:vAlign w:val="center"/>
                                </w:tcPr>
                                <w:p w14:paraId="231C1D4B"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637.7</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089C9E98"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- 911.7 </w:t>
                                  </w:r>
                                </w:p>
                              </w:tc>
                              <w:tc>
                                <w:tcPr>
                                  <w:tcW w:w="565" w:type="pct"/>
                                  <w:tcBorders>
                                    <w:top w:val="single" w:sz="4" w:space="0" w:color="auto"/>
                                    <w:left w:val="nil"/>
                                    <w:bottom w:val="single" w:sz="4" w:space="0" w:color="auto"/>
                                    <w:right w:val="single" w:sz="4" w:space="0" w:color="auto"/>
                                  </w:tcBorders>
                                  <w:shd w:val="clear" w:color="auto" w:fill="auto"/>
                                  <w:vAlign w:val="center"/>
                                </w:tcPr>
                                <w:p w14:paraId="7B7CD740"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4,428.3</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F5AAEA1"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14.40</w:t>
                                  </w:r>
                                </w:p>
                              </w:tc>
                            </w:tr>
                            <w:tr w:rsidR="00A0212B" w:rsidRPr="006C70EA" w14:paraId="36CC768D" w14:textId="77777777" w:rsidTr="00E31547">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4F359B" w14:textId="77777777" w:rsidR="00A0212B" w:rsidRPr="00BF4FC7" w:rsidRDefault="00A0212B" w:rsidP="002314E4">
                                  <w:pPr>
                                    <w:spacing w:line="220" w:lineRule="exact"/>
                                    <w:jc w:val="center"/>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0BC83D66"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農田水利署</w:t>
                                  </w:r>
                                </w:p>
                              </w:tc>
                              <w:tc>
                                <w:tcPr>
                                  <w:tcW w:w="1054" w:type="pct"/>
                                  <w:tcBorders>
                                    <w:top w:val="single" w:sz="4" w:space="0" w:color="auto"/>
                                    <w:left w:val="nil"/>
                                    <w:bottom w:val="single" w:sz="4" w:space="0" w:color="auto"/>
                                    <w:right w:val="single" w:sz="4" w:space="0" w:color="auto"/>
                                  </w:tcBorders>
                                  <w:shd w:val="clear" w:color="auto" w:fill="auto"/>
                                  <w:vAlign w:val="center"/>
                                </w:tcPr>
                                <w:p w14:paraId="1BE82D7A"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埤塘圳路</w:t>
                                  </w:r>
                                </w:p>
                              </w:tc>
                              <w:tc>
                                <w:tcPr>
                                  <w:tcW w:w="565" w:type="pct"/>
                                  <w:tcBorders>
                                    <w:top w:val="single" w:sz="4" w:space="0" w:color="auto"/>
                                    <w:left w:val="nil"/>
                                    <w:bottom w:val="single" w:sz="4" w:space="0" w:color="auto"/>
                                    <w:right w:val="single" w:sz="4" w:space="0" w:color="auto"/>
                                  </w:tcBorders>
                                  <w:shd w:val="clear" w:color="auto" w:fill="auto"/>
                                  <w:vAlign w:val="center"/>
                                </w:tcPr>
                                <w:p w14:paraId="3525565F"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383.3</w:t>
                                  </w:r>
                                </w:p>
                              </w:tc>
                              <w:tc>
                                <w:tcPr>
                                  <w:tcW w:w="565" w:type="pct"/>
                                  <w:tcBorders>
                                    <w:top w:val="single" w:sz="4" w:space="0" w:color="auto"/>
                                    <w:left w:val="nil"/>
                                    <w:bottom w:val="single" w:sz="4" w:space="0" w:color="auto"/>
                                    <w:right w:val="single" w:sz="4" w:space="0" w:color="auto"/>
                                  </w:tcBorders>
                                  <w:shd w:val="clear" w:color="auto" w:fill="auto"/>
                                  <w:vAlign w:val="center"/>
                                </w:tcPr>
                                <w:p w14:paraId="746F4510"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163.8</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6BB96CBF"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- 219.5 </w:t>
                                  </w:r>
                                </w:p>
                              </w:tc>
                              <w:tc>
                                <w:tcPr>
                                  <w:tcW w:w="565" w:type="pct"/>
                                  <w:tcBorders>
                                    <w:top w:val="single" w:sz="4" w:space="0" w:color="auto"/>
                                    <w:left w:val="nil"/>
                                    <w:bottom w:val="single" w:sz="4" w:space="0" w:color="auto"/>
                                    <w:right w:val="single" w:sz="4" w:space="0" w:color="auto"/>
                                  </w:tcBorders>
                                  <w:shd w:val="clear" w:color="auto" w:fill="auto"/>
                                  <w:vAlign w:val="center"/>
                                </w:tcPr>
                                <w:p w14:paraId="438DD7FE"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600.0</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3A407D0"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27.30</w:t>
                                  </w:r>
                                </w:p>
                              </w:tc>
                            </w:tr>
                            <w:tr w:rsidR="00A0212B" w:rsidRPr="006C70EA" w14:paraId="03374ED4"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ECDDB5" w14:textId="77777777" w:rsidR="00A0212B" w:rsidRPr="00BF4FC7" w:rsidRDefault="00A0212B" w:rsidP="002314E4">
                                  <w:pPr>
                                    <w:spacing w:line="220" w:lineRule="exact"/>
                                    <w:jc w:val="center"/>
                                    <w:rPr>
                                      <w:rFonts w:ascii="標楷體" w:eastAsia="標楷體" w:hAnsi="標楷體" w:cs="Calibri"/>
                                      <w:kern w:val="0"/>
                                      <w:sz w:val="20"/>
                                    </w:rPr>
                                  </w:pPr>
                                </w:p>
                              </w:tc>
                              <w:tc>
                                <w:tcPr>
                                  <w:tcW w:w="882" w:type="pct"/>
                                  <w:tcBorders>
                                    <w:top w:val="single" w:sz="4" w:space="0" w:color="auto"/>
                                    <w:left w:val="single" w:sz="4" w:space="0" w:color="auto"/>
                                    <w:right w:val="single" w:sz="4" w:space="0" w:color="auto"/>
                                  </w:tcBorders>
                                  <w:shd w:val="clear" w:color="auto" w:fill="auto"/>
                                  <w:vAlign w:val="center"/>
                                </w:tcPr>
                                <w:p w14:paraId="06024478"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農糧署</w:t>
                                  </w:r>
                                </w:p>
                              </w:tc>
                              <w:tc>
                                <w:tcPr>
                                  <w:tcW w:w="1054" w:type="pct"/>
                                  <w:tcBorders>
                                    <w:top w:val="single" w:sz="4" w:space="0" w:color="auto"/>
                                    <w:left w:val="nil"/>
                                    <w:right w:val="single" w:sz="4" w:space="0" w:color="auto"/>
                                  </w:tcBorders>
                                  <w:shd w:val="clear" w:color="auto" w:fill="auto"/>
                                  <w:vAlign w:val="center"/>
                                </w:tcPr>
                                <w:p w14:paraId="20096FA9"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農糧儲製銷</w:t>
                                  </w:r>
                                </w:p>
                              </w:tc>
                              <w:tc>
                                <w:tcPr>
                                  <w:tcW w:w="565" w:type="pct"/>
                                  <w:tcBorders>
                                    <w:top w:val="single" w:sz="4" w:space="0" w:color="auto"/>
                                    <w:left w:val="nil"/>
                                    <w:right w:val="single" w:sz="4" w:space="0" w:color="auto"/>
                                  </w:tcBorders>
                                  <w:shd w:val="clear" w:color="auto" w:fill="auto"/>
                                  <w:vAlign w:val="center"/>
                                </w:tcPr>
                                <w:p w14:paraId="250D657C" w14:textId="77777777" w:rsidR="00A0212B" w:rsidRPr="00BF4FC7" w:rsidRDefault="00A0212B" w:rsidP="002314E4">
                                  <w:pPr>
                                    <w:spacing w:line="220" w:lineRule="exact"/>
                                    <w:jc w:val="right"/>
                                    <w:rPr>
                                      <w:rFonts w:ascii="標楷體" w:eastAsia="標楷體" w:hAnsi="標楷體"/>
                                      <w:kern w:val="0"/>
                                      <w:sz w:val="20"/>
                                    </w:rPr>
                                  </w:pPr>
                                  <w:r w:rsidRPr="00BF4FC7">
                                    <w:rPr>
                                      <w:rFonts w:ascii="標楷體" w:eastAsia="標楷體" w:hAnsi="標楷體"/>
                                      <w:kern w:val="0"/>
                                      <w:sz w:val="20"/>
                                    </w:rPr>
                                    <w:t>446.9</w:t>
                                  </w:r>
                                </w:p>
                              </w:tc>
                              <w:tc>
                                <w:tcPr>
                                  <w:tcW w:w="565" w:type="pct"/>
                                  <w:tcBorders>
                                    <w:top w:val="single" w:sz="4" w:space="0" w:color="auto"/>
                                    <w:left w:val="nil"/>
                                    <w:right w:val="single" w:sz="4" w:space="0" w:color="auto"/>
                                  </w:tcBorders>
                                  <w:shd w:val="clear" w:color="auto" w:fill="auto"/>
                                  <w:vAlign w:val="center"/>
                                </w:tcPr>
                                <w:p w14:paraId="0DFB1DA4" w14:textId="77777777" w:rsidR="00A0212B" w:rsidRPr="00BF4FC7" w:rsidRDefault="00A0212B" w:rsidP="002314E4">
                                  <w:pPr>
                                    <w:spacing w:line="220" w:lineRule="exact"/>
                                    <w:jc w:val="right"/>
                                    <w:rPr>
                                      <w:rFonts w:ascii="標楷體" w:eastAsia="標楷體" w:hAnsi="標楷體"/>
                                      <w:bCs/>
                                      <w:kern w:val="0"/>
                                      <w:sz w:val="20"/>
                                    </w:rPr>
                                  </w:pPr>
                                  <w:r w:rsidRPr="00BF4FC7">
                                    <w:rPr>
                                      <w:rFonts w:ascii="標楷體" w:eastAsia="標楷體" w:hAnsi="標楷體"/>
                                      <w:bCs/>
                                      <w:kern w:val="0"/>
                                      <w:sz w:val="20"/>
                                    </w:rPr>
                                    <w:t>404.2</w:t>
                                  </w:r>
                                </w:p>
                              </w:tc>
                              <w:tc>
                                <w:tcPr>
                                  <w:tcW w:w="591" w:type="pct"/>
                                  <w:tcBorders>
                                    <w:top w:val="single" w:sz="4" w:space="0" w:color="auto"/>
                                    <w:left w:val="nil"/>
                                    <w:right w:val="single" w:sz="4" w:space="0" w:color="auto"/>
                                  </w:tcBorders>
                                  <w:shd w:val="clear" w:color="auto" w:fill="auto"/>
                                  <w:noWrap/>
                                  <w:vAlign w:val="center"/>
                                </w:tcPr>
                                <w:p w14:paraId="75ACDD03" w14:textId="77777777" w:rsidR="00A0212B" w:rsidRPr="00BF4FC7" w:rsidRDefault="00A0212B" w:rsidP="002314E4">
                                  <w:pPr>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- 42.7 </w:t>
                                  </w:r>
                                </w:p>
                              </w:tc>
                              <w:tc>
                                <w:tcPr>
                                  <w:tcW w:w="565" w:type="pct"/>
                                  <w:tcBorders>
                                    <w:top w:val="single" w:sz="4" w:space="0" w:color="auto"/>
                                    <w:left w:val="nil"/>
                                    <w:right w:val="single" w:sz="4" w:space="0" w:color="auto"/>
                                  </w:tcBorders>
                                  <w:shd w:val="clear" w:color="auto" w:fill="auto"/>
                                  <w:vAlign w:val="center"/>
                                </w:tcPr>
                                <w:p w14:paraId="03A7C463" w14:textId="77777777" w:rsidR="00A0212B" w:rsidRPr="00BF4FC7" w:rsidRDefault="00A0212B" w:rsidP="002314E4">
                                  <w:pPr>
                                    <w:spacing w:line="220" w:lineRule="exact"/>
                                    <w:jc w:val="right"/>
                                    <w:rPr>
                                      <w:rFonts w:ascii="標楷體" w:eastAsia="標楷體" w:hAnsi="標楷體"/>
                                      <w:kern w:val="0"/>
                                      <w:sz w:val="20"/>
                                    </w:rPr>
                                  </w:pPr>
                                  <w:r w:rsidRPr="00BF4FC7">
                                    <w:rPr>
                                      <w:rFonts w:ascii="標楷體" w:eastAsia="標楷體" w:hAnsi="標楷體"/>
                                      <w:kern w:val="0"/>
                                      <w:sz w:val="20"/>
                                    </w:rPr>
                                    <w:t>578.0</w:t>
                                  </w:r>
                                </w:p>
                              </w:tc>
                              <w:tc>
                                <w:tcPr>
                                  <w:tcW w:w="410" w:type="pct"/>
                                  <w:tcBorders>
                                    <w:top w:val="single" w:sz="4" w:space="0" w:color="auto"/>
                                    <w:left w:val="nil"/>
                                    <w:right w:val="single" w:sz="4" w:space="0" w:color="auto"/>
                                  </w:tcBorders>
                                  <w:shd w:val="clear" w:color="auto" w:fill="auto"/>
                                  <w:noWrap/>
                                  <w:vAlign w:val="center"/>
                                </w:tcPr>
                                <w:p w14:paraId="5625CD06" w14:textId="77777777" w:rsidR="00A0212B" w:rsidRPr="00BF4FC7" w:rsidRDefault="00A0212B" w:rsidP="002314E4">
                                  <w:pPr>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69.93</w:t>
                                  </w:r>
                                </w:p>
                              </w:tc>
                            </w:tr>
                            <w:tr w:rsidR="00A0212B" w:rsidRPr="006C70EA" w14:paraId="35B7C209"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D7C0DA" w14:textId="77777777" w:rsidR="00A0212B" w:rsidRPr="00BF4FC7" w:rsidRDefault="00A0212B" w:rsidP="002314E4">
                                  <w:pPr>
                                    <w:spacing w:line="220" w:lineRule="exact"/>
                                    <w:jc w:val="center"/>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1F0E60FD"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畜牧司</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05AB82C9"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畜禽舍</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1FC50754"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1,586.30</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64B6DEBB"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1,510.00</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568B9522"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- 76.3 </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43E51417"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1,967.0</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46408EEC"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76.77</w:t>
                                  </w:r>
                                </w:p>
                              </w:tc>
                            </w:tr>
                            <w:tr w:rsidR="00A0212B" w:rsidRPr="006C70EA" w14:paraId="694FD901" w14:textId="77777777" w:rsidTr="00E31547">
                              <w:trPr>
                                <w:trHeight w:val="232"/>
                              </w:trPr>
                              <w:tc>
                                <w:tcPr>
                                  <w:tcW w:w="12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9BA5FD"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財政部國</w:t>
                                  </w:r>
                                  <w:r>
                                    <w:rPr>
                                      <w:rFonts w:ascii="標楷體" w:eastAsia="標楷體" w:hAnsi="標楷體" w:cs="Calibri" w:hint="eastAsia"/>
                                      <w:kern w:val="0"/>
                                      <w:sz w:val="20"/>
                                    </w:rPr>
                                    <w:t>有</w:t>
                                  </w:r>
                                  <w:r>
                                    <w:rPr>
                                      <w:rFonts w:ascii="標楷體" w:eastAsia="標楷體" w:hAnsi="標楷體" w:cs="Calibri"/>
                                      <w:kern w:val="0"/>
                                      <w:sz w:val="20"/>
                                    </w:rPr>
                                    <w:t>財</w:t>
                                  </w:r>
                                  <w:r w:rsidRPr="00BF4FC7">
                                    <w:rPr>
                                      <w:rFonts w:ascii="標楷體" w:eastAsia="標楷體" w:hAnsi="標楷體" w:cs="Calibri" w:hint="eastAsia"/>
                                      <w:kern w:val="0"/>
                                      <w:sz w:val="20"/>
                                    </w:rPr>
                                    <w:t>產署</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1F3BC922"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閒置土地</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539FD83F"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234.7</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3637B9E3"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163.1</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12E2FA81"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- 71.6</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28B0F3D1"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606.2</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2786614F"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26.91</w:t>
                                  </w:r>
                                </w:p>
                              </w:tc>
                            </w:tr>
                            <w:tr w:rsidR="00A0212B" w:rsidRPr="006C70EA" w14:paraId="5E895258" w14:textId="77777777" w:rsidTr="002314E4">
                              <w:trPr>
                                <w:trHeight w:val="232"/>
                              </w:trPr>
                              <w:tc>
                                <w:tcPr>
                                  <w:tcW w:w="1251"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44FC3E"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交通部</w:t>
                                  </w:r>
                                </w:p>
                              </w:tc>
                              <w:tc>
                                <w:tcPr>
                                  <w:tcW w:w="1054" w:type="pct"/>
                                  <w:tcBorders>
                                    <w:top w:val="single" w:sz="4" w:space="0" w:color="auto"/>
                                    <w:left w:val="single" w:sz="4" w:space="0" w:color="auto"/>
                                    <w:bottom w:val="single" w:sz="4" w:space="0" w:color="auto"/>
                                    <w:right w:val="single" w:sz="4" w:space="0" w:color="auto"/>
                                  </w:tcBorders>
                                  <w:shd w:val="clear" w:color="auto" w:fill="auto"/>
                                  <w:vAlign w:val="center"/>
                                </w:tcPr>
                                <w:p w14:paraId="6C8D9A2E" w14:textId="77777777" w:rsidR="00A0212B" w:rsidRPr="00BF4FC7" w:rsidRDefault="00A0212B" w:rsidP="002314E4">
                                  <w:pPr>
                                    <w:widowControl/>
                                    <w:spacing w:line="220" w:lineRule="exact"/>
                                    <w:jc w:val="center"/>
                                    <w:rPr>
                                      <w:rFonts w:ascii="標楷體" w:eastAsia="標楷體" w:hAnsi="標楷體" w:cs="Calibri"/>
                                      <w:b/>
                                      <w:kern w:val="0"/>
                                      <w:sz w:val="20"/>
                                    </w:rPr>
                                  </w:pPr>
                                  <w:r w:rsidRPr="00BF4FC7">
                                    <w:rPr>
                                      <w:rFonts w:ascii="標楷體" w:eastAsia="標楷體" w:hAnsi="標楷體" w:cs="Calibri" w:hint="eastAsia"/>
                                      <w:b/>
                                      <w:kern w:val="0"/>
                                      <w:sz w:val="20"/>
                                    </w:rPr>
                                    <w:t>小　計</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0F60D7BE"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bCs/>
                                      <w:sz w:val="20"/>
                                    </w:rPr>
                                    <w:t>57.2</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11413F69" w14:textId="77777777" w:rsidR="00A0212B" w:rsidRPr="00BF4FC7" w:rsidRDefault="00A0212B" w:rsidP="002314E4">
                                  <w:pPr>
                                    <w:widowControl/>
                                    <w:spacing w:line="220" w:lineRule="exact"/>
                                    <w:jc w:val="right"/>
                                    <w:rPr>
                                      <w:rFonts w:ascii="標楷體" w:eastAsia="標楷體" w:hAnsi="標楷體"/>
                                      <w:b/>
                                      <w:bCs/>
                                      <w:kern w:val="0"/>
                                      <w:sz w:val="20"/>
                                    </w:rPr>
                                  </w:pPr>
                                  <w:r w:rsidRPr="00BF4FC7">
                                    <w:rPr>
                                      <w:rFonts w:ascii="標楷體" w:eastAsia="標楷體" w:hAnsi="標楷體"/>
                                      <w:b/>
                                      <w:bCs/>
                                      <w:sz w:val="20"/>
                                    </w:rPr>
                                    <w:t>28.2</w:t>
                                  </w:r>
                                </w:p>
                              </w:tc>
                              <w:tc>
                                <w:tcPr>
                                  <w:tcW w:w="5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2A5924"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b/>
                                      <w:bCs/>
                                      <w:sz w:val="20"/>
                                    </w:rPr>
                                    <w:t>- 29.0</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66AA842E"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bCs/>
                                      <w:sz w:val="20"/>
                                    </w:rPr>
                                    <w:t>53.9</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9DCB34"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hint="eastAsia"/>
                                      <w:b/>
                                      <w:kern w:val="0"/>
                                      <w:sz w:val="20"/>
                                    </w:rPr>
                                    <w:t>5</w:t>
                                  </w:r>
                                  <w:r w:rsidRPr="00BF4FC7">
                                    <w:rPr>
                                      <w:rFonts w:ascii="標楷體" w:eastAsia="標楷體" w:hAnsi="標楷體" w:cs="Calibri"/>
                                      <w:b/>
                                      <w:kern w:val="0"/>
                                      <w:sz w:val="20"/>
                                    </w:rPr>
                                    <w:t>2.32</w:t>
                                  </w:r>
                                </w:p>
                              </w:tc>
                            </w:tr>
                            <w:tr w:rsidR="00A0212B" w:rsidRPr="006C70EA" w14:paraId="1BB65227" w14:textId="77777777" w:rsidTr="00E31547">
                              <w:tc>
                                <w:tcPr>
                                  <w:tcW w:w="1251"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28EC9C" w14:textId="77777777" w:rsidR="00A0212B" w:rsidRPr="00BF4FC7" w:rsidRDefault="00A0212B" w:rsidP="00E31547">
                                  <w:pPr>
                                    <w:spacing w:line="220" w:lineRule="exact"/>
                                    <w:rPr>
                                      <w:rFonts w:ascii="標楷體" w:eastAsia="標楷體" w:hAnsi="標楷體" w:cs="Calibri"/>
                                      <w:kern w:val="0"/>
                                      <w:sz w:val="20"/>
                                    </w:rPr>
                                  </w:pP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1E09F311" w14:textId="77777777" w:rsidR="00A0212B" w:rsidRPr="00BF4FC7" w:rsidRDefault="00A0212B" w:rsidP="00E31547">
                                  <w:pPr>
                                    <w:widowControl/>
                                    <w:spacing w:line="220" w:lineRule="exact"/>
                                    <w:rPr>
                                      <w:rFonts w:ascii="標楷體" w:eastAsia="標楷體" w:hAnsi="標楷體"/>
                                      <w:kern w:val="0"/>
                                      <w:sz w:val="20"/>
                                    </w:rPr>
                                  </w:pPr>
                                  <w:r w:rsidRPr="00BF4FC7">
                                    <w:rPr>
                                      <w:rFonts w:ascii="標楷體" w:eastAsia="標楷體" w:hAnsi="標楷體" w:cs="Calibri" w:hint="eastAsia"/>
                                      <w:kern w:val="0"/>
                                      <w:sz w:val="20"/>
                                    </w:rPr>
                                    <w:t>高速公路</w:t>
                                  </w:r>
                                  <w:r w:rsidRPr="00BF4FC7">
                                    <w:rPr>
                                      <w:rFonts w:ascii="標楷體" w:eastAsia="標楷體" w:hAnsi="標楷體"/>
                                      <w:kern w:val="0"/>
                                      <w:sz w:val="20"/>
                                    </w:rPr>
                                    <w:t>/</w:t>
                                  </w:r>
                                </w:p>
                                <w:p w14:paraId="7EBE9735"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縣市停車場</w:t>
                                  </w:r>
                                  <w:r>
                                    <w:rPr>
                                      <w:rFonts w:ascii="標楷體" w:eastAsia="標楷體" w:hAnsi="標楷體"/>
                                      <w:kern w:val="0"/>
                                      <w:sz w:val="20"/>
                                    </w:rPr>
                                    <w:t>（</w:t>
                                  </w:r>
                                  <w:r w:rsidRPr="00BF4FC7">
                                    <w:rPr>
                                      <w:rFonts w:ascii="標楷體" w:eastAsia="標楷體" w:hAnsi="標楷體" w:cs="Calibri" w:hint="eastAsia"/>
                                      <w:kern w:val="0"/>
                                      <w:sz w:val="20"/>
                                    </w:rPr>
                                    <w:t>地面</w:t>
                                  </w:r>
                                  <w:r>
                                    <w:rPr>
                                      <w:rFonts w:ascii="標楷體" w:eastAsia="標楷體" w:hAnsi="標楷體"/>
                                      <w:kern w:val="0"/>
                                      <w:sz w:val="20"/>
                                    </w:rPr>
                                    <w:t>）</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70BBC9C2"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32.2</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6F37FAE7"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11</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51A1719E"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- 21.2</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3990A46C"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45.8</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7D009DE5"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24.02</w:t>
                                  </w:r>
                                </w:p>
                              </w:tc>
                            </w:tr>
                            <w:tr w:rsidR="00A0212B" w:rsidRPr="006C70EA" w14:paraId="3340C51B" w14:textId="77777777" w:rsidTr="002314E4">
                              <w:trPr>
                                <w:trHeight w:val="232"/>
                              </w:trPr>
                              <w:tc>
                                <w:tcPr>
                                  <w:tcW w:w="1251"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7A74AA" w14:textId="77777777" w:rsidR="00A0212B" w:rsidRPr="00BF4FC7" w:rsidRDefault="00A0212B" w:rsidP="00E31547">
                                  <w:pPr>
                                    <w:widowControl/>
                                    <w:spacing w:line="220" w:lineRule="exact"/>
                                    <w:rPr>
                                      <w:rFonts w:ascii="標楷體" w:eastAsia="標楷體" w:hAnsi="標楷體" w:cs="Calibri"/>
                                      <w:kern w:val="0"/>
                                      <w:sz w:val="20"/>
                                    </w:rPr>
                                  </w:pP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40DA7713"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縣市停車場</w:t>
                                  </w:r>
                                  <w:r>
                                    <w:rPr>
                                      <w:rFonts w:ascii="標楷體" w:eastAsia="標楷體" w:hAnsi="標楷體"/>
                                      <w:kern w:val="0"/>
                                      <w:sz w:val="20"/>
                                    </w:rPr>
                                    <w:t>（</w:t>
                                  </w:r>
                                  <w:r w:rsidRPr="00BF4FC7">
                                    <w:rPr>
                                      <w:rFonts w:ascii="標楷體" w:eastAsia="標楷體" w:hAnsi="標楷體" w:cs="Calibri" w:hint="eastAsia"/>
                                      <w:kern w:val="0"/>
                                      <w:sz w:val="20"/>
                                    </w:rPr>
                                    <w:t>屋頂</w:t>
                                  </w:r>
                                  <w:r>
                                    <w:rPr>
                                      <w:rFonts w:ascii="標楷體" w:eastAsia="標楷體" w:hAnsi="標楷體"/>
                                      <w:kern w:val="0"/>
                                      <w:sz w:val="20"/>
                                    </w:rPr>
                                    <w:t>）</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1816DB29"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25</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3FE283C5"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17.2</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6FE5E82B"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- 7.8</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62089E06"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8.1</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7FA3354D"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212.35</w:t>
                                  </w:r>
                                </w:p>
                              </w:tc>
                            </w:tr>
                            <w:tr w:rsidR="00A0212B" w:rsidRPr="006C70EA" w14:paraId="5238FF51" w14:textId="77777777" w:rsidTr="002314E4">
                              <w:trPr>
                                <w:trHeight w:val="232"/>
                              </w:trPr>
                              <w:tc>
                                <w:tcPr>
                                  <w:tcW w:w="12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D679A5"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國防部</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7D058ACD"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綠能營區</w:t>
                                  </w:r>
                                  <w:r>
                                    <w:rPr>
                                      <w:rFonts w:ascii="標楷體" w:eastAsia="標楷體" w:hAnsi="標楷體"/>
                                      <w:kern w:val="0"/>
                                      <w:sz w:val="20"/>
                                    </w:rPr>
                                    <w:t>（</w:t>
                                  </w:r>
                                  <w:r w:rsidRPr="00BF4FC7">
                                    <w:rPr>
                                      <w:rFonts w:ascii="標楷體" w:eastAsia="標楷體" w:hAnsi="標楷體" w:cs="Calibri" w:hint="eastAsia"/>
                                      <w:kern w:val="0"/>
                                      <w:sz w:val="20"/>
                                    </w:rPr>
                                    <w:t>屋頂</w:t>
                                  </w:r>
                                  <w:r>
                                    <w:rPr>
                                      <w:rFonts w:ascii="標楷體" w:eastAsia="標楷體" w:hAnsi="標楷體"/>
                                      <w:kern w:val="0"/>
                                      <w:sz w:val="20"/>
                                    </w:rPr>
                                    <w:t>）</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58AACED6"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179.4</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2BCDC508"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159.9</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100C7CDB"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- 19.5</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4A1E92D5"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211</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11F3D4D7"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75.78</w:t>
                                  </w:r>
                                </w:p>
                              </w:tc>
                            </w:tr>
                            <w:tr w:rsidR="00A0212B" w:rsidRPr="00BF4FC7" w14:paraId="0C5786E8" w14:textId="77777777" w:rsidTr="002314E4">
                              <w:tc>
                                <w:tcPr>
                                  <w:tcW w:w="5000" w:type="pct"/>
                                  <w:gridSpan w:val="8"/>
                                  <w:tcBorders>
                                    <w:top w:val="single" w:sz="4" w:space="0" w:color="auto"/>
                                  </w:tcBorders>
                                  <w:shd w:val="clear" w:color="auto" w:fill="auto"/>
                                  <w:vAlign w:val="center"/>
                                </w:tcPr>
                                <w:p w14:paraId="6FA79DA4" w14:textId="77777777" w:rsidR="00A0212B" w:rsidRPr="00BF4FC7" w:rsidRDefault="00A0212B" w:rsidP="002314E4">
                                  <w:pPr>
                                    <w:widowControl/>
                                    <w:spacing w:line="200" w:lineRule="exact"/>
                                    <w:rPr>
                                      <w:rFonts w:ascii="標楷體" w:eastAsia="標楷體" w:hAnsi="標楷體" w:cs="Calibri"/>
                                      <w:kern w:val="0"/>
                                      <w:sz w:val="18"/>
                                    </w:rPr>
                                  </w:pPr>
                                  <w:r w:rsidRPr="00BF4FC7">
                                    <w:rPr>
                                      <w:rFonts w:ascii="標楷體" w:eastAsia="標楷體" w:hAnsi="標楷體" w:cs="Calibri" w:hint="eastAsia"/>
                                      <w:kern w:val="0"/>
                                      <w:sz w:val="18"/>
                                    </w:rPr>
                                    <w:t>資料來源：整理自</w:t>
                                  </w:r>
                                  <w:r>
                                    <w:rPr>
                                      <w:rFonts w:ascii="標楷體" w:eastAsia="標楷體" w:hAnsi="標楷體" w:cs="Calibri" w:hint="eastAsia"/>
                                      <w:kern w:val="0"/>
                                      <w:sz w:val="18"/>
                                    </w:rPr>
                                    <w:t>經濟部</w:t>
                                  </w:r>
                                  <w:r w:rsidRPr="00BF4FC7">
                                    <w:rPr>
                                      <w:rFonts w:ascii="標楷體" w:eastAsia="標楷體" w:hAnsi="標楷體" w:cs="Calibri" w:hint="eastAsia"/>
                                      <w:kern w:val="0"/>
                                      <w:sz w:val="18"/>
                                    </w:rPr>
                                    <w:t>能源署提供資料。</w:t>
                                  </w:r>
                                </w:p>
                              </w:tc>
                            </w:tr>
                          </w:tbl>
                          <w:p w14:paraId="14DF1C2B" w14:textId="77777777" w:rsidR="00A0212B" w:rsidRPr="00DC32A8" w:rsidRDefault="00A0212B" w:rsidP="00351E4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C66E70" id="_x0000_s1056" type="#_x0000_t202" style="position:absolute;left:0;text-align:left;margin-left:2pt;margin-top:396.75pt;width:494pt;height:300.85pt;z-index:251652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" stroked="f">
                <v:textbox>
                  <w:txbxContent>
                    <w:tbl>
                      <w:tblPr>
                        <w:tblW w:w="4992" w:type="pct"/>
                        <w:tblCellMar>
                          <w:left w:w="28" w:type="dxa"/>
                          <w:right w:w="28" w:type="dxa"/>
                        </w:tblCellMar>
                        <w:tblLook w:val="04A0" w:firstRow="1" w:lastRow="0" w:firstColumn="1" w:lastColumn="0" w:noHBand="0" w:noVBand="1"/>
                      </w:tblPr>
                      <w:tblGrid>
                        <w:gridCol w:w="710"/>
                        <w:gridCol w:w="1699"/>
                        <w:gridCol w:w="2031"/>
                        <w:gridCol w:w="1089"/>
                        <w:gridCol w:w="1089"/>
                        <w:gridCol w:w="1139"/>
                        <w:gridCol w:w="1089"/>
                        <w:gridCol w:w="788"/>
                      </w:tblGrid>
                      <w:tr w:rsidR="00A0212B" w:rsidRPr="00BF4FC7" w14:paraId="4D740212" w14:textId="77777777" w:rsidTr="002314E4">
                        <w:tc>
                          <w:tcPr>
                            <w:tcW w:w="5000" w:type="pct"/>
                            <w:gridSpan w:val="8"/>
                            <w:shd w:val="clear" w:color="auto" w:fill="auto"/>
                            <w:vAlign w:val="center"/>
                          </w:tcPr>
                          <w:p w14:paraId="18D8BA69" w14:textId="2DC87C30" w:rsidR="00A0212B" w:rsidRPr="00AF1E53" w:rsidRDefault="00A0212B" w:rsidP="00EB17B4">
                            <w:pPr>
                              <w:widowControl/>
                              <w:spacing w:beforeLines="20" w:before="72" w:line="280" w:lineRule="exact"/>
                              <w:jc w:val="center"/>
                              <w:rPr>
                                <w:rFonts w:ascii="標楷體" w:eastAsia="標楷體" w:hAnsi="標楷體"/>
                                <w:b/>
                                <w:kern w:val="0"/>
                                <w:szCs w:val="24"/>
                              </w:rPr>
                            </w:pPr>
                            <w:r w:rsidRPr="00EB17B4">
                              <w:rPr>
                                <w:rFonts w:ascii="標楷體" w:eastAsia="標楷體" w:hAnsi="標楷體" w:hint="eastAsia"/>
                                <w:b/>
                                <w:color w:val="000000" w:themeColor="text1"/>
                                <w:kern w:val="0"/>
                                <w:szCs w:val="24"/>
                              </w:rPr>
                              <w:t>表</w:t>
                            </w:r>
                            <w:r w:rsidRPr="00EB17B4">
                              <w:rPr>
                                <w:rFonts w:ascii="標楷體" w:eastAsia="標楷體" w:hAnsi="標楷體" w:hint="eastAsia"/>
                                <w:b/>
                                <w:color w:val="000000" w:themeColor="text1"/>
                              </w:rPr>
                              <w:t>1</w:t>
                            </w:r>
                            <w:r>
                              <w:rPr>
                                <w:rFonts w:ascii="標楷體" w:eastAsia="標楷體" w:hAnsi="標楷體"/>
                                <w:b/>
                                <w:color w:val="000000" w:themeColor="text1"/>
                              </w:rPr>
                              <w:t>7</w:t>
                            </w:r>
                            <w:r>
                              <w:rPr>
                                <w:rFonts w:ascii="標楷體" w:eastAsia="標楷體" w:hAnsi="標楷體" w:hint="eastAsia"/>
                                <w:b/>
                                <w:kern w:val="0"/>
                                <w:szCs w:val="24"/>
                              </w:rPr>
                              <w:t xml:space="preserve">　太陽光電專案建置</w:t>
                            </w:r>
                            <w:r w:rsidRPr="00AF1E53">
                              <w:rPr>
                                <w:rFonts w:ascii="標楷體" w:eastAsia="標楷體" w:hAnsi="標楷體" w:hint="eastAsia"/>
                                <w:b/>
                                <w:kern w:val="0"/>
                                <w:szCs w:val="24"/>
                              </w:rPr>
                              <w:t>目標</w:t>
                            </w:r>
                            <w:r>
                              <w:rPr>
                                <w:rFonts w:ascii="標楷體" w:eastAsia="標楷體" w:hAnsi="標楷體" w:hint="eastAsia"/>
                                <w:b/>
                                <w:kern w:val="0"/>
                                <w:szCs w:val="24"/>
                              </w:rPr>
                              <w:t>達成</w:t>
                            </w:r>
                            <w:r w:rsidRPr="00AF1E53">
                              <w:rPr>
                                <w:rFonts w:ascii="標楷體" w:eastAsia="標楷體" w:hAnsi="標楷體" w:hint="eastAsia"/>
                                <w:b/>
                                <w:kern w:val="0"/>
                                <w:szCs w:val="24"/>
                              </w:rPr>
                              <w:t>情形</w:t>
                            </w:r>
                          </w:p>
                        </w:tc>
                      </w:tr>
                      <w:tr w:rsidR="00A0212B" w:rsidRPr="006C70EA" w14:paraId="3163B10F" w14:textId="77777777" w:rsidTr="002314E4">
                        <w:tc>
                          <w:tcPr>
                            <w:tcW w:w="5000" w:type="pct"/>
                            <w:gridSpan w:val="8"/>
                            <w:tcBorders>
                              <w:bottom w:val="single" w:sz="4" w:space="0" w:color="auto"/>
                            </w:tcBorders>
                            <w:shd w:val="clear" w:color="auto" w:fill="auto"/>
                            <w:vAlign w:val="center"/>
                          </w:tcPr>
                          <w:p w14:paraId="768041A8" w14:textId="77777777" w:rsidR="00A0212B" w:rsidRPr="006C70EA" w:rsidRDefault="00A0212B" w:rsidP="002314E4">
                            <w:pPr>
                              <w:widowControl/>
                              <w:spacing w:line="220" w:lineRule="exact"/>
                              <w:jc w:val="right"/>
                              <w:rPr>
                                <w:rFonts w:ascii="標楷體" w:eastAsia="標楷體" w:hAnsi="標楷體"/>
                                <w:kern w:val="0"/>
                                <w:sz w:val="20"/>
                                <w:szCs w:val="24"/>
                              </w:rPr>
                            </w:pPr>
                            <w:r w:rsidRPr="006C70EA">
                              <w:rPr>
                                <w:rFonts w:ascii="標楷體" w:eastAsia="標楷體" w:hAnsi="標楷體" w:hint="eastAsia"/>
                                <w:kern w:val="0"/>
                                <w:sz w:val="20"/>
                                <w:szCs w:val="24"/>
                              </w:rPr>
                              <w:t>單位：M</w:t>
                            </w:r>
                            <w:r w:rsidRPr="006C70EA">
                              <w:rPr>
                                <w:rFonts w:ascii="標楷體" w:eastAsia="標楷體" w:hAnsi="標楷體"/>
                                <w:kern w:val="0"/>
                                <w:sz w:val="20"/>
                                <w:szCs w:val="24"/>
                              </w:rPr>
                              <w:t>W</w:t>
                            </w:r>
                            <w:r>
                              <w:rPr>
                                <w:rFonts w:ascii="標楷體" w:eastAsia="標楷體" w:hAnsi="標楷體" w:hint="eastAsia"/>
                                <w:kern w:val="0"/>
                                <w:sz w:val="20"/>
                                <w:szCs w:val="24"/>
                              </w:rPr>
                              <w:t>、％</w:t>
                            </w:r>
                          </w:p>
                        </w:tc>
                      </w:tr>
                      <w:tr w:rsidR="00A0212B" w:rsidRPr="006C70EA" w14:paraId="1073455C" w14:textId="77777777" w:rsidTr="002314E4">
                        <w:trPr>
                          <w:trHeight w:val="232"/>
                        </w:trPr>
                        <w:tc>
                          <w:tcPr>
                            <w:tcW w:w="1251" w:type="pct"/>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88C5CFF"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cs="Calibri" w:hint="eastAsia"/>
                                <w:kern w:val="0"/>
                                <w:sz w:val="20"/>
                              </w:rPr>
                              <w:t>機關單位</w:t>
                            </w:r>
                          </w:p>
                        </w:tc>
                        <w:tc>
                          <w:tcPr>
                            <w:tcW w:w="1054"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BD88698"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cs="Calibri" w:hint="eastAsia"/>
                                <w:kern w:val="0"/>
                                <w:sz w:val="20"/>
                              </w:rPr>
                              <w:t>專案名稱</w:t>
                            </w:r>
                          </w:p>
                        </w:tc>
                        <w:tc>
                          <w:tcPr>
                            <w:tcW w:w="1721"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CB03488" w14:textId="77777777" w:rsidR="00A0212B" w:rsidRPr="00BF4FC7" w:rsidRDefault="00A0212B" w:rsidP="002314E4">
                            <w:pPr>
                              <w:widowControl/>
                              <w:spacing w:line="220" w:lineRule="exact"/>
                              <w:jc w:val="center"/>
                              <w:rPr>
                                <w:rFonts w:ascii="標楷體" w:eastAsia="標楷體" w:hAnsi="標楷體"/>
                                <w:bCs/>
                                <w:kern w:val="0"/>
                                <w:sz w:val="20"/>
                              </w:rPr>
                            </w:pPr>
                            <w:r w:rsidRPr="00BF4FC7">
                              <w:rPr>
                                <w:rFonts w:ascii="標楷體" w:eastAsia="標楷體" w:hAnsi="標楷體"/>
                                <w:bCs/>
                                <w:kern w:val="0"/>
                                <w:sz w:val="20"/>
                              </w:rPr>
                              <w:t>112</w:t>
                            </w:r>
                            <w:r w:rsidRPr="00BF4FC7">
                              <w:rPr>
                                <w:rFonts w:ascii="標楷體" w:eastAsia="標楷體" w:hAnsi="標楷體" w:hint="eastAsia"/>
                                <w:bCs/>
                                <w:kern w:val="0"/>
                                <w:sz w:val="20"/>
                              </w:rPr>
                              <w:t>年底</w:t>
                            </w:r>
                          </w:p>
                        </w:tc>
                        <w:tc>
                          <w:tcPr>
                            <w:tcW w:w="975"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DC31E6"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kern w:val="0"/>
                                <w:sz w:val="20"/>
                              </w:rPr>
                              <w:t>114</w:t>
                            </w:r>
                            <w:r w:rsidRPr="00BF4FC7">
                              <w:rPr>
                                <w:rFonts w:ascii="標楷體" w:eastAsia="標楷體" w:hAnsi="標楷體" w:cs="Calibri" w:hint="eastAsia"/>
                                <w:kern w:val="0"/>
                                <w:sz w:val="20"/>
                              </w:rPr>
                              <w:t>年底</w:t>
                            </w:r>
                          </w:p>
                        </w:tc>
                      </w:tr>
                      <w:tr w:rsidR="00A0212B" w:rsidRPr="006C70EA" w14:paraId="3A668A2C" w14:textId="77777777" w:rsidTr="002314E4">
                        <w:trPr>
                          <w:trHeight w:val="232"/>
                        </w:trPr>
                        <w:tc>
                          <w:tcPr>
                            <w:tcW w:w="1251" w:type="pct"/>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1389731" w14:textId="77777777" w:rsidR="00A0212B" w:rsidRPr="00BF4FC7" w:rsidRDefault="00A0212B" w:rsidP="002314E4">
                            <w:pPr>
                              <w:widowControl/>
                              <w:spacing w:line="220" w:lineRule="exact"/>
                              <w:jc w:val="center"/>
                              <w:rPr>
                                <w:rFonts w:ascii="標楷體" w:eastAsia="標楷體" w:hAnsi="標楷體" w:cs="Calibri"/>
                                <w:kern w:val="0"/>
                                <w:sz w:val="20"/>
                              </w:rPr>
                            </w:pPr>
                          </w:p>
                        </w:tc>
                        <w:tc>
                          <w:tcPr>
                            <w:tcW w:w="1054"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0CF230" w14:textId="77777777" w:rsidR="00A0212B" w:rsidRPr="00BF4FC7" w:rsidRDefault="00A0212B" w:rsidP="002314E4">
                            <w:pPr>
                              <w:widowControl/>
                              <w:spacing w:line="220" w:lineRule="exact"/>
                              <w:jc w:val="center"/>
                              <w:rPr>
                                <w:rFonts w:ascii="標楷體" w:eastAsia="標楷體" w:hAnsi="標楷體" w:cs="Calibri"/>
                                <w:kern w:val="0"/>
                                <w:sz w:val="20"/>
                              </w:rPr>
                            </w:pPr>
                          </w:p>
                        </w:tc>
                        <w:tc>
                          <w:tcPr>
                            <w:tcW w:w="5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2B40EE8" w14:textId="77777777" w:rsidR="00A0212B" w:rsidRPr="00BF4FC7" w:rsidRDefault="00A0212B" w:rsidP="002314E4">
                            <w:pPr>
                              <w:widowControl/>
                              <w:spacing w:line="220" w:lineRule="exact"/>
                              <w:jc w:val="center"/>
                              <w:rPr>
                                <w:rFonts w:ascii="標楷體" w:eastAsia="標楷體" w:hAnsi="標楷體" w:cs="Calibri"/>
                                <w:bCs/>
                                <w:kern w:val="0"/>
                                <w:sz w:val="20"/>
                              </w:rPr>
                            </w:pPr>
                            <w:r w:rsidRPr="00BF4FC7">
                              <w:rPr>
                                <w:rFonts w:ascii="標楷體" w:eastAsia="標楷體" w:hAnsi="標楷體" w:cs="Calibri" w:hint="eastAsia"/>
                                <w:bCs/>
                                <w:kern w:val="0"/>
                                <w:sz w:val="20"/>
                              </w:rPr>
                              <w:t>目標量</w:t>
                            </w:r>
                          </w:p>
                        </w:tc>
                        <w:tc>
                          <w:tcPr>
                            <w:tcW w:w="5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0AC8A3C" w14:textId="77777777" w:rsidR="00A0212B" w:rsidRPr="00BF4FC7" w:rsidRDefault="00A0212B" w:rsidP="002314E4">
                            <w:pPr>
                              <w:widowControl/>
                              <w:spacing w:line="220" w:lineRule="exact"/>
                              <w:jc w:val="center"/>
                              <w:rPr>
                                <w:rFonts w:ascii="標楷體" w:eastAsia="標楷體" w:hAnsi="標楷體" w:cs="Calibri"/>
                                <w:bCs/>
                                <w:kern w:val="0"/>
                                <w:sz w:val="20"/>
                              </w:rPr>
                            </w:pPr>
                            <w:r w:rsidRPr="00BF4FC7">
                              <w:rPr>
                                <w:rFonts w:ascii="標楷體" w:eastAsia="標楷體" w:hAnsi="標楷體" w:cs="Calibri" w:hint="eastAsia"/>
                                <w:bCs/>
                                <w:kern w:val="0"/>
                                <w:sz w:val="20"/>
                              </w:rPr>
                              <w:t>實際量</w:t>
                            </w:r>
                          </w:p>
                        </w:tc>
                        <w:tc>
                          <w:tcPr>
                            <w:tcW w:w="591"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640033C"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cs="Calibri" w:hint="eastAsia"/>
                                <w:kern w:val="0"/>
                                <w:sz w:val="20"/>
                              </w:rPr>
                              <w:t>短缺量</w:t>
                            </w:r>
                          </w:p>
                        </w:tc>
                        <w:tc>
                          <w:tcPr>
                            <w:tcW w:w="56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0C8BA56" w14:textId="77777777" w:rsidR="00A0212B" w:rsidRPr="00BF4FC7" w:rsidRDefault="00A0212B" w:rsidP="002314E4">
                            <w:pPr>
                              <w:widowControl/>
                              <w:spacing w:line="220" w:lineRule="exact"/>
                              <w:jc w:val="center"/>
                              <w:rPr>
                                <w:rFonts w:ascii="標楷體" w:eastAsia="標楷體" w:hAnsi="標楷體" w:cs="Calibri"/>
                                <w:bCs/>
                                <w:kern w:val="0"/>
                                <w:sz w:val="20"/>
                              </w:rPr>
                            </w:pPr>
                            <w:r w:rsidRPr="00BF4FC7">
                              <w:rPr>
                                <w:rFonts w:ascii="標楷體" w:eastAsia="標楷體" w:hAnsi="標楷體" w:cs="Calibri" w:hint="eastAsia"/>
                                <w:bCs/>
                                <w:kern w:val="0"/>
                                <w:sz w:val="20"/>
                              </w:rPr>
                              <w:t>目標量</w:t>
                            </w:r>
                          </w:p>
                        </w:tc>
                        <w:tc>
                          <w:tcPr>
                            <w:tcW w:w="410"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FA14F29" w14:textId="77777777" w:rsidR="00A0212B" w:rsidRPr="00BF4FC7" w:rsidRDefault="00A0212B" w:rsidP="002314E4">
                            <w:pPr>
                              <w:widowControl/>
                              <w:spacing w:line="220" w:lineRule="exact"/>
                              <w:jc w:val="center"/>
                              <w:rPr>
                                <w:rFonts w:ascii="標楷體" w:eastAsia="標楷體" w:hAnsi="標楷體" w:cs="Calibri"/>
                                <w:kern w:val="0"/>
                                <w:sz w:val="20"/>
                              </w:rPr>
                            </w:pPr>
                            <w:r w:rsidRPr="00BF4FC7">
                              <w:rPr>
                                <w:rFonts w:ascii="標楷體" w:eastAsia="標楷體" w:hAnsi="標楷體" w:cs="Calibri" w:hint="eastAsia"/>
                                <w:kern w:val="0"/>
                                <w:sz w:val="20"/>
                              </w:rPr>
                              <w:t>達成率</w:t>
                            </w:r>
                          </w:p>
                        </w:tc>
                      </w:tr>
                      <w:tr w:rsidR="00A0212B" w:rsidRPr="006C70EA" w14:paraId="7EE11E6D" w14:textId="77777777" w:rsidTr="002314E4">
                        <w:trPr>
                          <w:trHeight w:val="232"/>
                        </w:trPr>
                        <w:tc>
                          <w:tcPr>
                            <w:tcW w:w="2305" w:type="pct"/>
                            <w:gridSpan w:val="3"/>
                            <w:tcBorders>
                              <w:top w:val="single" w:sz="4" w:space="0" w:color="auto"/>
                              <w:left w:val="single" w:sz="4" w:space="0" w:color="auto"/>
                              <w:bottom w:val="single" w:sz="4" w:space="0" w:color="auto"/>
                              <w:right w:val="single" w:sz="4" w:space="0" w:color="auto"/>
                            </w:tcBorders>
                            <w:vAlign w:val="center"/>
                          </w:tcPr>
                          <w:p w14:paraId="0ACF8F42" w14:textId="77777777" w:rsidR="00A0212B" w:rsidRPr="00BF4FC7" w:rsidRDefault="00A0212B" w:rsidP="002314E4">
                            <w:pPr>
                              <w:widowControl/>
                              <w:spacing w:line="220" w:lineRule="exact"/>
                              <w:jc w:val="center"/>
                              <w:rPr>
                                <w:rFonts w:ascii="標楷體" w:eastAsia="標楷體" w:hAnsi="標楷體" w:cs="Calibri"/>
                                <w:b/>
                                <w:kern w:val="0"/>
                                <w:sz w:val="20"/>
                              </w:rPr>
                            </w:pPr>
                            <w:r w:rsidRPr="00BF4FC7">
                              <w:rPr>
                                <w:rFonts w:ascii="標楷體" w:eastAsia="標楷體" w:hAnsi="標楷體" w:cs="Calibri" w:hint="eastAsia"/>
                                <w:b/>
                                <w:kern w:val="0"/>
                                <w:sz w:val="20"/>
                              </w:rPr>
                              <w:t>合　　　計</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57B77F36" w14:textId="77777777" w:rsidR="00A0212B" w:rsidRPr="00BF4FC7" w:rsidRDefault="00A0212B" w:rsidP="002314E4">
                            <w:pPr>
                              <w:widowControl/>
                              <w:spacing w:line="220" w:lineRule="exact"/>
                              <w:jc w:val="right"/>
                              <w:rPr>
                                <w:rFonts w:ascii="標楷體" w:eastAsia="標楷體" w:hAnsi="標楷體" w:cs="Calibri"/>
                                <w:b/>
                                <w:bCs/>
                                <w:kern w:val="0"/>
                                <w:sz w:val="20"/>
                              </w:rPr>
                            </w:pPr>
                            <w:r w:rsidRPr="00BF4FC7">
                              <w:rPr>
                                <w:rFonts w:ascii="標楷體" w:eastAsia="標楷體" w:hAnsi="標楷體" w:cs="Calibri" w:hint="eastAsia"/>
                                <w:b/>
                                <w:bCs/>
                                <w:sz w:val="20"/>
                              </w:rPr>
                              <w:t>6,989.9</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35982936" w14:textId="77777777" w:rsidR="00A0212B" w:rsidRPr="00BF4FC7" w:rsidRDefault="00A0212B" w:rsidP="002314E4">
                            <w:pPr>
                              <w:widowControl/>
                              <w:spacing w:line="220" w:lineRule="exact"/>
                              <w:jc w:val="right"/>
                              <w:rPr>
                                <w:rFonts w:ascii="標楷體" w:eastAsia="標楷體" w:hAnsi="標楷體" w:cs="Calibri"/>
                                <w:b/>
                                <w:bCs/>
                                <w:kern w:val="0"/>
                                <w:sz w:val="20"/>
                              </w:rPr>
                            </w:pPr>
                            <w:r w:rsidRPr="00BF4FC7">
                              <w:rPr>
                                <w:rFonts w:ascii="標楷體" w:eastAsia="標楷體" w:hAnsi="標楷體" w:cs="Calibri" w:hint="eastAsia"/>
                                <w:b/>
                                <w:bCs/>
                                <w:sz w:val="20"/>
                              </w:rPr>
                              <w:t>5,465.7</w:t>
                            </w:r>
                          </w:p>
                        </w:tc>
                        <w:tc>
                          <w:tcPr>
                            <w:tcW w:w="5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71DA5B"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hint="eastAsia"/>
                                <w:b/>
                                <w:bCs/>
                                <w:sz w:val="20"/>
                              </w:rPr>
                              <w:t>- 1,524.2</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0FD29174" w14:textId="77777777" w:rsidR="00A0212B" w:rsidRPr="00BF4FC7" w:rsidRDefault="00A0212B" w:rsidP="002314E4">
                            <w:pPr>
                              <w:widowControl/>
                              <w:spacing w:line="220" w:lineRule="exact"/>
                              <w:jc w:val="right"/>
                              <w:rPr>
                                <w:rFonts w:ascii="標楷體" w:eastAsia="標楷體" w:hAnsi="標楷體" w:cs="Calibri"/>
                                <w:b/>
                                <w:bCs/>
                                <w:kern w:val="0"/>
                                <w:sz w:val="20"/>
                              </w:rPr>
                            </w:pPr>
                            <w:r w:rsidRPr="00BF4FC7">
                              <w:rPr>
                                <w:rFonts w:ascii="標楷體" w:eastAsia="標楷體" w:hAnsi="標楷體" w:cs="Calibri" w:hint="eastAsia"/>
                                <w:b/>
                                <w:bCs/>
                                <w:sz w:val="20"/>
                              </w:rPr>
                              <w:t>12,393.0</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22D20E"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hint="eastAsia"/>
                                <w:b/>
                                <w:bCs/>
                                <w:sz w:val="20"/>
                              </w:rPr>
                              <w:t>44.10</w:t>
                            </w:r>
                          </w:p>
                        </w:tc>
                      </w:tr>
                      <w:tr w:rsidR="00A0212B" w:rsidRPr="006C70EA" w14:paraId="5A66A43C" w14:textId="77777777" w:rsidTr="002314E4">
                        <w:trPr>
                          <w:trHeight w:val="232"/>
                        </w:trPr>
                        <w:tc>
                          <w:tcPr>
                            <w:tcW w:w="3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593668"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經濟部</w:t>
                            </w:r>
                          </w:p>
                        </w:tc>
                        <w:tc>
                          <w:tcPr>
                            <w:tcW w:w="1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90289" w14:textId="77777777" w:rsidR="00A0212B" w:rsidRPr="00BF4FC7" w:rsidRDefault="00A0212B" w:rsidP="002314E4">
                            <w:pPr>
                              <w:widowControl/>
                              <w:spacing w:line="220" w:lineRule="exact"/>
                              <w:jc w:val="center"/>
                              <w:rPr>
                                <w:rFonts w:ascii="標楷體" w:eastAsia="標楷體" w:hAnsi="標楷體" w:cs="Calibri"/>
                                <w:b/>
                                <w:kern w:val="0"/>
                                <w:sz w:val="20"/>
                              </w:rPr>
                            </w:pPr>
                            <w:r w:rsidRPr="00BF4FC7">
                              <w:rPr>
                                <w:rFonts w:ascii="標楷體" w:eastAsia="標楷體" w:hAnsi="標楷體" w:cs="Calibri" w:hint="eastAsia"/>
                                <w:b/>
                                <w:kern w:val="0"/>
                                <w:sz w:val="20"/>
                              </w:rPr>
                              <w:t>小　計</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5D32F193"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bCs/>
                                <w:sz w:val="20"/>
                              </w:rPr>
                              <w:t>1,939.8</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066A69E7" w14:textId="77777777" w:rsidR="00A0212B" w:rsidRPr="00BF4FC7" w:rsidRDefault="00A0212B" w:rsidP="002314E4">
                            <w:pPr>
                              <w:widowControl/>
                              <w:spacing w:line="220" w:lineRule="exact"/>
                              <w:jc w:val="right"/>
                              <w:rPr>
                                <w:rFonts w:ascii="標楷體" w:eastAsia="標楷體" w:hAnsi="標楷體"/>
                                <w:b/>
                                <w:bCs/>
                                <w:kern w:val="0"/>
                                <w:sz w:val="20"/>
                              </w:rPr>
                            </w:pPr>
                            <w:r w:rsidRPr="00BF4FC7">
                              <w:rPr>
                                <w:rFonts w:ascii="標楷體" w:eastAsia="標楷體" w:hAnsi="標楷體"/>
                                <w:b/>
                                <w:bCs/>
                                <w:sz w:val="20"/>
                              </w:rPr>
                              <w:t>1,916.1</w:t>
                            </w:r>
                          </w:p>
                        </w:tc>
                        <w:tc>
                          <w:tcPr>
                            <w:tcW w:w="5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6D70B3"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b/>
                                <w:bCs/>
                                <w:sz w:val="20"/>
                              </w:rPr>
                              <w:t>- 23.7</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70895C30"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bCs/>
                                <w:sz w:val="20"/>
                              </w:rPr>
                              <w:t>2,448.6</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A2A37C"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b/>
                                <w:bCs/>
                                <w:sz w:val="20"/>
                              </w:rPr>
                              <w:t>78.25</w:t>
                            </w:r>
                          </w:p>
                        </w:tc>
                      </w:tr>
                      <w:tr w:rsidR="00A0212B" w:rsidRPr="006C70EA" w14:paraId="45D98A0E"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B789FC" w14:textId="77777777" w:rsidR="00A0212B" w:rsidRPr="00BF4FC7" w:rsidRDefault="00A0212B" w:rsidP="00E31547">
                            <w:pPr>
                              <w:widowControl/>
                              <w:spacing w:line="220" w:lineRule="exact"/>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52354982"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能源署</w:t>
                            </w:r>
                          </w:p>
                        </w:tc>
                        <w:tc>
                          <w:tcPr>
                            <w:tcW w:w="1054" w:type="pct"/>
                            <w:tcBorders>
                              <w:top w:val="single" w:sz="4" w:space="0" w:color="auto"/>
                              <w:left w:val="nil"/>
                              <w:bottom w:val="single" w:sz="4" w:space="0" w:color="auto"/>
                              <w:right w:val="single" w:sz="4" w:space="0" w:color="auto"/>
                            </w:tcBorders>
                            <w:shd w:val="clear" w:color="auto" w:fill="auto"/>
                            <w:vAlign w:val="center"/>
                          </w:tcPr>
                          <w:p w14:paraId="6151EC92"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民間專案</w:t>
                            </w:r>
                          </w:p>
                        </w:tc>
                        <w:tc>
                          <w:tcPr>
                            <w:tcW w:w="565" w:type="pct"/>
                            <w:tcBorders>
                              <w:top w:val="single" w:sz="4" w:space="0" w:color="auto"/>
                              <w:left w:val="nil"/>
                              <w:bottom w:val="single" w:sz="4" w:space="0" w:color="auto"/>
                              <w:right w:val="single" w:sz="4" w:space="0" w:color="auto"/>
                            </w:tcBorders>
                            <w:shd w:val="clear" w:color="auto" w:fill="auto"/>
                            <w:vAlign w:val="center"/>
                          </w:tcPr>
                          <w:p w14:paraId="1EED8FE8"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1,471.9</w:t>
                            </w:r>
                          </w:p>
                        </w:tc>
                        <w:tc>
                          <w:tcPr>
                            <w:tcW w:w="565" w:type="pct"/>
                            <w:tcBorders>
                              <w:top w:val="single" w:sz="4" w:space="0" w:color="auto"/>
                              <w:left w:val="nil"/>
                              <w:bottom w:val="single" w:sz="4" w:space="0" w:color="auto"/>
                              <w:right w:val="single" w:sz="4" w:space="0" w:color="auto"/>
                            </w:tcBorders>
                            <w:shd w:val="clear" w:color="auto" w:fill="auto"/>
                            <w:vAlign w:val="center"/>
                          </w:tcPr>
                          <w:p w14:paraId="1AB67C38"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1,449.6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65C82803"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- 22.3 </w:t>
                            </w:r>
                          </w:p>
                        </w:tc>
                        <w:tc>
                          <w:tcPr>
                            <w:tcW w:w="565" w:type="pct"/>
                            <w:tcBorders>
                              <w:top w:val="single" w:sz="4" w:space="0" w:color="auto"/>
                              <w:left w:val="nil"/>
                              <w:bottom w:val="single" w:sz="4" w:space="0" w:color="auto"/>
                              <w:right w:val="single" w:sz="4" w:space="0" w:color="auto"/>
                            </w:tcBorders>
                            <w:shd w:val="clear" w:color="auto" w:fill="auto"/>
                            <w:vAlign w:val="center"/>
                          </w:tcPr>
                          <w:p w14:paraId="4AB3F9B8"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1,890.8</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57FE0A1"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76.67</w:t>
                            </w:r>
                          </w:p>
                        </w:tc>
                      </w:tr>
                      <w:tr w:rsidR="00A0212B" w:rsidRPr="006C70EA" w14:paraId="68B56ABA"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59227CF" w14:textId="77777777" w:rsidR="00A0212B" w:rsidRPr="00BF4FC7" w:rsidRDefault="00A0212B" w:rsidP="00E31547">
                            <w:pPr>
                              <w:widowControl/>
                              <w:spacing w:line="220" w:lineRule="exact"/>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130DF92F"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台灣糖業公司</w:t>
                            </w:r>
                          </w:p>
                        </w:tc>
                        <w:tc>
                          <w:tcPr>
                            <w:tcW w:w="1054" w:type="pct"/>
                            <w:tcBorders>
                              <w:top w:val="single" w:sz="4" w:space="0" w:color="auto"/>
                              <w:left w:val="nil"/>
                              <w:bottom w:val="single" w:sz="4" w:space="0" w:color="auto"/>
                              <w:right w:val="single" w:sz="4" w:space="0" w:color="auto"/>
                            </w:tcBorders>
                            <w:shd w:val="clear" w:color="auto" w:fill="auto"/>
                            <w:vAlign w:val="center"/>
                          </w:tcPr>
                          <w:p w14:paraId="1A1D3068"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不適耕作地</w:t>
                            </w:r>
                          </w:p>
                        </w:tc>
                        <w:tc>
                          <w:tcPr>
                            <w:tcW w:w="565" w:type="pct"/>
                            <w:tcBorders>
                              <w:top w:val="single" w:sz="4" w:space="0" w:color="auto"/>
                              <w:left w:val="nil"/>
                              <w:bottom w:val="single" w:sz="4" w:space="0" w:color="auto"/>
                              <w:right w:val="single" w:sz="4" w:space="0" w:color="auto"/>
                            </w:tcBorders>
                            <w:shd w:val="clear" w:color="auto" w:fill="auto"/>
                            <w:vAlign w:val="center"/>
                          </w:tcPr>
                          <w:p w14:paraId="6CD6BF53"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388.8</w:t>
                            </w:r>
                          </w:p>
                        </w:tc>
                        <w:tc>
                          <w:tcPr>
                            <w:tcW w:w="565" w:type="pct"/>
                            <w:tcBorders>
                              <w:top w:val="single" w:sz="4" w:space="0" w:color="auto"/>
                              <w:left w:val="nil"/>
                              <w:bottom w:val="single" w:sz="4" w:space="0" w:color="auto"/>
                              <w:right w:val="single" w:sz="4" w:space="0" w:color="auto"/>
                            </w:tcBorders>
                            <w:shd w:val="clear" w:color="auto" w:fill="auto"/>
                            <w:vAlign w:val="center"/>
                          </w:tcPr>
                          <w:p w14:paraId="0576C02D"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388.6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37B73CEA"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- 0.2 </w:t>
                            </w:r>
                          </w:p>
                        </w:tc>
                        <w:tc>
                          <w:tcPr>
                            <w:tcW w:w="565" w:type="pct"/>
                            <w:tcBorders>
                              <w:top w:val="single" w:sz="4" w:space="0" w:color="auto"/>
                              <w:left w:val="nil"/>
                              <w:bottom w:val="single" w:sz="4" w:space="0" w:color="auto"/>
                              <w:right w:val="single" w:sz="4" w:space="0" w:color="auto"/>
                            </w:tcBorders>
                            <w:shd w:val="clear" w:color="auto" w:fill="auto"/>
                            <w:vAlign w:val="center"/>
                          </w:tcPr>
                          <w:p w14:paraId="0BA8AA30"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481.7</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095AA5C"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80.67</w:t>
                            </w:r>
                          </w:p>
                        </w:tc>
                      </w:tr>
                      <w:tr w:rsidR="00A0212B" w:rsidRPr="006C70EA" w14:paraId="502BB0E0"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CC6393" w14:textId="77777777" w:rsidR="00A0212B" w:rsidRPr="00BF4FC7" w:rsidRDefault="00A0212B" w:rsidP="00E31547">
                            <w:pPr>
                              <w:spacing w:line="220" w:lineRule="exact"/>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4614B77F" w14:textId="77777777" w:rsidR="00A0212B" w:rsidRPr="00BF4FC7" w:rsidRDefault="00A0212B" w:rsidP="00E31547">
                            <w:pPr>
                              <w:widowControl/>
                              <w:spacing w:line="220" w:lineRule="exact"/>
                              <w:rPr>
                                <w:rFonts w:ascii="標楷體" w:eastAsia="標楷體" w:hAnsi="標楷體" w:cs="Calibri"/>
                                <w:spacing w:val="-4"/>
                                <w:kern w:val="0"/>
                                <w:sz w:val="20"/>
                              </w:rPr>
                            </w:pPr>
                            <w:r w:rsidRPr="00BF4FC7">
                              <w:rPr>
                                <w:rFonts w:ascii="標楷體" w:eastAsia="標楷體" w:hAnsi="標楷體" w:cs="Calibri" w:hint="eastAsia"/>
                                <w:spacing w:val="-4"/>
                                <w:kern w:val="0"/>
                                <w:sz w:val="20"/>
                              </w:rPr>
                              <w:t>產業園區管理局</w:t>
                            </w:r>
                          </w:p>
                        </w:tc>
                        <w:tc>
                          <w:tcPr>
                            <w:tcW w:w="1054" w:type="pct"/>
                            <w:tcBorders>
                              <w:top w:val="single" w:sz="4" w:space="0" w:color="auto"/>
                              <w:left w:val="nil"/>
                              <w:bottom w:val="single" w:sz="4" w:space="0" w:color="auto"/>
                              <w:right w:val="single" w:sz="4" w:space="0" w:color="auto"/>
                            </w:tcBorders>
                            <w:shd w:val="clear" w:color="auto" w:fill="auto"/>
                            <w:vAlign w:val="center"/>
                          </w:tcPr>
                          <w:p w14:paraId="23D06CB6"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加工出口區</w:t>
                            </w:r>
                          </w:p>
                        </w:tc>
                        <w:tc>
                          <w:tcPr>
                            <w:tcW w:w="565" w:type="pct"/>
                            <w:tcBorders>
                              <w:top w:val="single" w:sz="4" w:space="0" w:color="auto"/>
                              <w:left w:val="nil"/>
                              <w:bottom w:val="single" w:sz="4" w:space="0" w:color="auto"/>
                              <w:right w:val="single" w:sz="4" w:space="0" w:color="auto"/>
                            </w:tcBorders>
                            <w:shd w:val="clear" w:color="auto" w:fill="auto"/>
                            <w:vAlign w:val="center"/>
                          </w:tcPr>
                          <w:p w14:paraId="0DE75956"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59.1</w:t>
                            </w:r>
                          </w:p>
                        </w:tc>
                        <w:tc>
                          <w:tcPr>
                            <w:tcW w:w="565" w:type="pct"/>
                            <w:tcBorders>
                              <w:top w:val="single" w:sz="4" w:space="0" w:color="auto"/>
                              <w:left w:val="nil"/>
                              <w:bottom w:val="single" w:sz="4" w:space="0" w:color="auto"/>
                              <w:right w:val="single" w:sz="4" w:space="0" w:color="auto"/>
                            </w:tcBorders>
                            <w:shd w:val="clear" w:color="auto" w:fill="auto"/>
                            <w:vAlign w:val="center"/>
                          </w:tcPr>
                          <w:p w14:paraId="7F5AFC33"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58.6</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608A2710"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- 0.5 </w:t>
                            </w:r>
                          </w:p>
                        </w:tc>
                        <w:tc>
                          <w:tcPr>
                            <w:tcW w:w="565" w:type="pct"/>
                            <w:tcBorders>
                              <w:top w:val="single" w:sz="4" w:space="0" w:color="auto"/>
                              <w:left w:val="nil"/>
                              <w:bottom w:val="single" w:sz="4" w:space="0" w:color="auto"/>
                              <w:right w:val="single" w:sz="4" w:space="0" w:color="auto"/>
                            </w:tcBorders>
                            <w:shd w:val="clear" w:color="auto" w:fill="auto"/>
                            <w:vAlign w:val="center"/>
                          </w:tcPr>
                          <w:p w14:paraId="2F097871"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59.1</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195E428C"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99.15</w:t>
                            </w:r>
                          </w:p>
                        </w:tc>
                      </w:tr>
                      <w:tr w:rsidR="00A0212B" w:rsidRPr="006C70EA" w14:paraId="5975A4DD"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2D6E2C" w14:textId="77777777" w:rsidR="00A0212B" w:rsidRPr="00BF4FC7" w:rsidRDefault="00A0212B" w:rsidP="00E31547">
                            <w:pPr>
                              <w:widowControl/>
                              <w:spacing w:line="220" w:lineRule="exact"/>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64E85DEE"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台灣電力公司</w:t>
                            </w:r>
                          </w:p>
                        </w:tc>
                        <w:tc>
                          <w:tcPr>
                            <w:tcW w:w="1054" w:type="pct"/>
                            <w:tcBorders>
                              <w:top w:val="single" w:sz="4" w:space="0" w:color="auto"/>
                              <w:left w:val="nil"/>
                              <w:bottom w:val="single" w:sz="4" w:space="0" w:color="auto"/>
                              <w:right w:val="single" w:sz="4" w:space="0" w:color="auto"/>
                            </w:tcBorders>
                            <w:shd w:val="clear" w:color="auto" w:fill="auto"/>
                            <w:vAlign w:val="center"/>
                          </w:tcPr>
                          <w:p w14:paraId="41686C65"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公有屋頂</w:t>
                            </w:r>
                          </w:p>
                        </w:tc>
                        <w:tc>
                          <w:tcPr>
                            <w:tcW w:w="565" w:type="pct"/>
                            <w:tcBorders>
                              <w:top w:val="single" w:sz="4" w:space="0" w:color="auto"/>
                              <w:left w:val="nil"/>
                              <w:bottom w:val="single" w:sz="4" w:space="0" w:color="auto"/>
                              <w:right w:val="single" w:sz="4" w:space="0" w:color="auto"/>
                            </w:tcBorders>
                            <w:shd w:val="clear" w:color="auto" w:fill="auto"/>
                            <w:vAlign w:val="center"/>
                          </w:tcPr>
                          <w:p w14:paraId="5E133EF9"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20</w:t>
                            </w:r>
                          </w:p>
                        </w:tc>
                        <w:tc>
                          <w:tcPr>
                            <w:tcW w:w="565" w:type="pct"/>
                            <w:tcBorders>
                              <w:top w:val="single" w:sz="4" w:space="0" w:color="auto"/>
                              <w:left w:val="nil"/>
                              <w:bottom w:val="single" w:sz="4" w:space="0" w:color="auto"/>
                              <w:right w:val="single" w:sz="4" w:space="0" w:color="auto"/>
                            </w:tcBorders>
                            <w:shd w:val="clear" w:color="auto" w:fill="auto"/>
                            <w:vAlign w:val="center"/>
                          </w:tcPr>
                          <w:p w14:paraId="2363BFF5"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19.3</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44C7EA41"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- 0.7 </w:t>
                            </w:r>
                          </w:p>
                        </w:tc>
                        <w:tc>
                          <w:tcPr>
                            <w:tcW w:w="565" w:type="pct"/>
                            <w:tcBorders>
                              <w:top w:val="single" w:sz="4" w:space="0" w:color="auto"/>
                              <w:left w:val="nil"/>
                              <w:bottom w:val="single" w:sz="4" w:space="0" w:color="auto"/>
                              <w:right w:val="single" w:sz="4" w:space="0" w:color="auto"/>
                            </w:tcBorders>
                            <w:shd w:val="clear" w:color="auto" w:fill="auto"/>
                            <w:vAlign w:val="center"/>
                          </w:tcPr>
                          <w:p w14:paraId="447287B2"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17.0</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8CC8776"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113.53</w:t>
                            </w:r>
                          </w:p>
                        </w:tc>
                      </w:tr>
                      <w:tr w:rsidR="00A0212B" w:rsidRPr="006C70EA" w14:paraId="75A3F0F5" w14:textId="77777777" w:rsidTr="002314E4">
                        <w:trPr>
                          <w:trHeight w:val="232"/>
                        </w:trPr>
                        <w:tc>
                          <w:tcPr>
                            <w:tcW w:w="369"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429AD0"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農業部</w:t>
                            </w:r>
                          </w:p>
                        </w:tc>
                        <w:tc>
                          <w:tcPr>
                            <w:tcW w:w="193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39DFF3" w14:textId="77777777" w:rsidR="00A0212B" w:rsidRPr="00BF4FC7" w:rsidRDefault="00A0212B" w:rsidP="002314E4">
                            <w:pPr>
                              <w:widowControl/>
                              <w:spacing w:line="220" w:lineRule="exact"/>
                              <w:jc w:val="center"/>
                              <w:rPr>
                                <w:rFonts w:ascii="標楷體" w:eastAsia="標楷體" w:hAnsi="標楷體" w:cs="Calibri"/>
                                <w:b/>
                                <w:kern w:val="0"/>
                                <w:sz w:val="20"/>
                              </w:rPr>
                            </w:pPr>
                            <w:r w:rsidRPr="00BF4FC7">
                              <w:rPr>
                                <w:rFonts w:ascii="標楷體" w:eastAsia="標楷體" w:hAnsi="標楷體" w:cs="Calibri" w:hint="eastAsia"/>
                                <w:b/>
                                <w:kern w:val="0"/>
                                <w:sz w:val="20"/>
                              </w:rPr>
                              <w:t>小　計</w:t>
                            </w:r>
                          </w:p>
                        </w:tc>
                        <w:tc>
                          <w:tcPr>
                            <w:tcW w:w="565" w:type="pct"/>
                            <w:tcBorders>
                              <w:top w:val="single" w:sz="4" w:space="0" w:color="auto"/>
                              <w:left w:val="nil"/>
                              <w:bottom w:val="single" w:sz="4" w:space="0" w:color="auto"/>
                              <w:right w:val="single" w:sz="4" w:space="0" w:color="auto"/>
                            </w:tcBorders>
                            <w:shd w:val="clear" w:color="auto" w:fill="auto"/>
                            <w:vAlign w:val="center"/>
                          </w:tcPr>
                          <w:p w14:paraId="1E514492"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kern w:val="0"/>
                                <w:sz w:val="20"/>
                              </w:rPr>
                              <w:t>4,578.8</w:t>
                            </w:r>
                          </w:p>
                        </w:tc>
                        <w:tc>
                          <w:tcPr>
                            <w:tcW w:w="565" w:type="pct"/>
                            <w:tcBorders>
                              <w:top w:val="single" w:sz="4" w:space="0" w:color="auto"/>
                              <w:left w:val="nil"/>
                              <w:bottom w:val="single" w:sz="4" w:space="0" w:color="auto"/>
                              <w:right w:val="single" w:sz="4" w:space="0" w:color="auto"/>
                            </w:tcBorders>
                            <w:shd w:val="clear" w:color="auto" w:fill="auto"/>
                            <w:vAlign w:val="center"/>
                          </w:tcPr>
                          <w:p w14:paraId="2EC05FF8" w14:textId="77777777" w:rsidR="00A0212B" w:rsidRPr="00BF4FC7" w:rsidRDefault="00A0212B" w:rsidP="002314E4">
                            <w:pPr>
                              <w:widowControl/>
                              <w:spacing w:line="220" w:lineRule="exact"/>
                              <w:jc w:val="right"/>
                              <w:rPr>
                                <w:rFonts w:ascii="標楷體" w:eastAsia="標楷體" w:hAnsi="標楷體"/>
                                <w:b/>
                                <w:bCs/>
                                <w:kern w:val="0"/>
                                <w:sz w:val="20"/>
                              </w:rPr>
                            </w:pPr>
                            <w:r w:rsidRPr="00BF4FC7">
                              <w:rPr>
                                <w:rFonts w:ascii="標楷體" w:eastAsia="標楷體" w:hAnsi="標楷體"/>
                                <w:b/>
                                <w:bCs/>
                                <w:kern w:val="0"/>
                                <w:sz w:val="20"/>
                              </w:rPr>
                              <w:t>3,198.4</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252E7926"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b/>
                                <w:kern w:val="0"/>
                                <w:sz w:val="20"/>
                              </w:rPr>
                              <w:t>- 1,380.4</w:t>
                            </w:r>
                          </w:p>
                        </w:tc>
                        <w:tc>
                          <w:tcPr>
                            <w:tcW w:w="565" w:type="pct"/>
                            <w:tcBorders>
                              <w:top w:val="single" w:sz="4" w:space="0" w:color="auto"/>
                              <w:left w:val="nil"/>
                              <w:bottom w:val="single" w:sz="4" w:space="0" w:color="auto"/>
                              <w:right w:val="single" w:sz="4" w:space="0" w:color="auto"/>
                            </w:tcBorders>
                            <w:shd w:val="clear" w:color="auto" w:fill="auto"/>
                            <w:vAlign w:val="center"/>
                          </w:tcPr>
                          <w:p w14:paraId="02EA684C"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kern w:val="0"/>
                                <w:sz w:val="20"/>
                              </w:rPr>
                              <w:t>9,073.3</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5AFD5A4"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b/>
                                <w:kern w:val="0"/>
                                <w:sz w:val="20"/>
                              </w:rPr>
                              <w:t>35.25</w:t>
                            </w:r>
                          </w:p>
                        </w:tc>
                      </w:tr>
                      <w:tr w:rsidR="00A0212B" w:rsidRPr="006C70EA" w14:paraId="112604D2" w14:textId="77777777" w:rsidTr="00E31547">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5FEC01" w14:textId="77777777" w:rsidR="00A0212B" w:rsidRPr="00BF4FC7" w:rsidRDefault="00A0212B" w:rsidP="002314E4">
                            <w:pPr>
                              <w:widowControl/>
                              <w:spacing w:line="220" w:lineRule="exact"/>
                              <w:jc w:val="center"/>
                              <w:rPr>
                                <w:rFonts w:ascii="標楷體" w:eastAsia="標楷體" w:hAnsi="標楷體" w:cs="Calibri"/>
                                <w:kern w:val="0"/>
                                <w:sz w:val="20"/>
                              </w:rPr>
                            </w:pPr>
                          </w:p>
                        </w:tc>
                        <w:tc>
                          <w:tcPr>
                            <w:tcW w:w="882" w:type="pct"/>
                            <w:vMerge w:val="restart"/>
                            <w:tcBorders>
                              <w:top w:val="single" w:sz="4" w:space="0" w:color="auto"/>
                              <w:left w:val="single" w:sz="4" w:space="0" w:color="auto"/>
                              <w:right w:val="single" w:sz="4" w:space="0" w:color="auto"/>
                            </w:tcBorders>
                            <w:shd w:val="clear" w:color="auto" w:fill="auto"/>
                            <w:vAlign w:val="center"/>
                          </w:tcPr>
                          <w:p w14:paraId="53EDA5B9"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資源永續利</w:t>
                            </w:r>
                            <w:r w:rsidRPr="00BF4FC7">
                              <w:rPr>
                                <w:rFonts w:ascii="標楷體" w:eastAsia="標楷體" w:hAnsi="標楷體" w:cs="Calibri" w:hint="eastAsia"/>
                                <w:spacing w:val="-20"/>
                                <w:kern w:val="0"/>
                                <w:sz w:val="20"/>
                              </w:rPr>
                              <w:t>用司</w:t>
                            </w:r>
                          </w:p>
                        </w:tc>
                        <w:tc>
                          <w:tcPr>
                            <w:tcW w:w="1054" w:type="pct"/>
                            <w:tcBorders>
                              <w:top w:val="single" w:sz="4" w:space="0" w:color="auto"/>
                              <w:left w:val="nil"/>
                              <w:bottom w:val="single" w:sz="4" w:space="0" w:color="auto"/>
                              <w:right w:val="single" w:sz="4" w:space="0" w:color="auto"/>
                            </w:tcBorders>
                            <w:shd w:val="clear" w:color="auto" w:fill="auto"/>
                            <w:vAlign w:val="center"/>
                          </w:tcPr>
                          <w:p w14:paraId="5EFB8F5C" w14:textId="77777777" w:rsidR="00A0212B" w:rsidRPr="00BF4FC7" w:rsidRDefault="00A0212B" w:rsidP="00E31547">
                            <w:pPr>
                              <w:widowControl/>
                              <w:spacing w:line="220" w:lineRule="exact"/>
                              <w:rPr>
                                <w:rFonts w:ascii="標楷體" w:eastAsia="標楷體" w:hAnsi="標楷體" w:cs="Calibri"/>
                                <w:b/>
                                <w:kern w:val="0"/>
                                <w:sz w:val="20"/>
                              </w:rPr>
                            </w:pPr>
                            <w:r w:rsidRPr="00BF4FC7">
                              <w:rPr>
                                <w:rFonts w:ascii="標楷體" w:eastAsia="標楷體" w:hAnsi="標楷體" w:cs="Calibri" w:hint="eastAsia"/>
                                <w:kern w:val="0"/>
                                <w:sz w:val="20"/>
                              </w:rPr>
                              <w:t>低地力變更</w:t>
                            </w:r>
                          </w:p>
                        </w:tc>
                        <w:tc>
                          <w:tcPr>
                            <w:tcW w:w="565" w:type="pct"/>
                            <w:tcBorders>
                              <w:top w:val="single" w:sz="4" w:space="0" w:color="auto"/>
                              <w:left w:val="nil"/>
                              <w:bottom w:val="single" w:sz="4" w:space="0" w:color="auto"/>
                              <w:right w:val="single" w:sz="4" w:space="0" w:color="auto"/>
                            </w:tcBorders>
                            <w:shd w:val="clear" w:color="auto" w:fill="auto"/>
                            <w:vAlign w:val="center"/>
                          </w:tcPr>
                          <w:p w14:paraId="73B79E80"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kern w:val="0"/>
                                <w:sz w:val="20"/>
                              </w:rPr>
                              <w:t>206.2</w:t>
                            </w:r>
                          </w:p>
                        </w:tc>
                        <w:tc>
                          <w:tcPr>
                            <w:tcW w:w="565" w:type="pct"/>
                            <w:tcBorders>
                              <w:top w:val="single" w:sz="4" w:space="0" w:color="auto"/>
                              <w:left w:val="nil"/>
                              <w:bottom w:val="single" w:sz="4" w:space="0" w:color="auto"/>
                              <w:right w:val="single" w:sz="4" w:space="0" w:color="auto"/>
                            </w:tcBorders>
                            <w:shd w:val="clear" w:color="auto" w:fill="auto"/>
                            <w:vAlign w:val="center"/>
                          </w:tcPr>
                          <w:p w14:paraId="66488BC9" w14:textId="77777777" w:rsidR="00A0212B" w:rsidRPr="00BF4FC7" w:rsidRDefault="00A0212B" w:rsidP="002314E4">
                            <w:pPr>
                              <w:widowControl/>
                              <w:spacing w:line="220" w:lineRule="exact"/>
                              <w:jc w:val="right"/>
                              <w:rPr>
                                <w:rFonts w:ascii="標楷體" w:eastAsia="標楷體" w:hAnsi="標楷體"/>
                                <w:b/>
                                <w:bCs/>
                                <w:kern w:val="0"/>
                                <w:sz w:val="20"/>
                              </w:rPr>
                            </w:pPr>
                            <w:r w:rsidRPr="00BF4FC7">
                              <w:rPr>
                                <w:rFonts w:ascii="標楷體" w:eastAsia="標楷體" w:hAnsi="標楷體"/>
                                <w:bCs/>
                                <w:kern w:val="0"/>
                                <w:sz w:val="20"/>
                              </w:rPr>
                              <w:t>127.2</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08277E75"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kern w:val="0"/>
                                <w:sz w:val="20"/>
                              </w:rPr>
                              <w:t xml:space="preserve">- 79.0 </w:t>
                            </w:r>
                          </w:p>
                        </w:tc>
                        <w:tc>
                          <w:tcPr>
                            <w:tcW w:w="565" w:type="pct"/>
                            <w:tcBorders>
                              <w:top w:val="single" w:sz="4" w:space="0" w:color="auto"/>
                              <w:left w:val="nil"/>
                              <w:bottom w:val="single" w:sz="4" w:space="0" w:color="auto"/>
                              <w:right w:val="single" w:sz="4" w:space="0" w:color="auto"/>
                            </w:tcBorders>
                            <w:shd w:val="clear" w:color="auto" w:fill="auto"/>
                            <w:vAlign w:val="center"/>
                          </w:tcPr>
                          <w:p w14:paraId="6E2AF936"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kern w:val="0"/>
                                <w:sz w:val="20"/>
                              </w:rPr>
                              <w:t>900.0</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01A77AFE"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kern w:val="0"/>
                                <w:sz w:val="20"/>
                              </w:rPr>
                              <w:t>14.13</w:t>
                            </w:r>
                          </w:p>
                        </w:tc>
                      </w:tr>
                      <w:tr w:rsidR="00A0212B" w:rsidRPr="006C70EA" w14:paraId="099D6EA7" w14:textId="77777777" w:rsidTr="00E31547">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9395A6" w14:textId="77777777" w:rsidR="00A0212B" w:rsidRPr="00BF4FC7" w:rsidRDefault="00A0212B" w:rsidP="002314E4">
                            <w:pPr>
                              <w:widowControl/>
                              <w:spacing w:line="220" w:lineRule="exact"/>
                              <w:jc w:val="center"/>
                              <w:rPr>
                                <w:rFonts w:ascii="標楷體" w:eastAsia="標楷體" w:hAnsi="標楷體" w:cs="Calibri"/>
                                <w:kern w:val="0"/>
                                <w:sz w:val="20"/>
                              </w:rPr>
                            </w:pPr>
                          </w:p>
                        </w:tc>
                        <w:tc>
                          <w:tcPr>
                            <w:tcW w:w="882" w:type="pct"/>
                            <w:vMerge/>
                            <w:tcBorders>
                              <w:left w:val="single" w:sz="4" w:space="0" w:color="auto"/>
                              <w:bottom w:val="single" w:sz="4" w:space="0" w:color="auto"/>
                              <w:right w:val="single" w:sz="4" w:space="0" w:color="auto"/>
                            </w:tcBorders>
                            <w:shd w:val="clear" w:color="auto" w:fill="auto"/>
                            <w:vAlign w:val="center"/>
                          </w:tcPr>
                          <w:p w14:paraId="0AE0F0D7" w14:textId="77777777" w:rsidR="00A0212B" w:rsidRPr="00BF4FC7" w:rsidRDefault="00A0212B" w:rsidP="00E31547">
                            <w:pPr>
                              <w:widowControl/>
                              <w:spacing w:line="220" w:lineRule="exact"/>
                              <w:rPr>
                                <w:rFonts w:ascii="標楷體" w:eastAsia="標楷體" w:hAnsi="標楷體" w:cs="Calibri"/>
                                <w:kern w:val="0"/>
                                <w:sz w:val="20"/>
                              </w:rPr>
                            </w:pPr>
                          </w:p>
                        </w:tc>
                        <w:tc>
                          <w:tcPr>
                            <w:tcW w:w="1054" w:type="pct"/>
                            <w:tcBorders>
                              <w:top w:val="single" w:sz="4" w:space="0" w:color="auto"/>
                              <w:left w:val="nil"/>
                              <w:bottom w:val="single" w:sz="4" w:space="0" w:color="auto"/>
                              <w:right w:val="single" w:sz="4" w:space="0" w:color="auto"/>
                            </w:tcBorders>
                            <w:shd w:val="clear" w:color="auto" w:fill="auto"/>
                            <w:vAlign w:val="center"/>
                          </w:tcPr>
                          <w:p w14:paraId="728416C8"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不利農業經營</w:t>
                            </w:r>
                          </w:p>
                        </w:tc>
                        <w:tc>
                          <w:tcPr>
                            <w:tcW w:w="565" w:type="pct"/>
                            <w:tcBorders>
                              <w:top w:val="single" w:sz="4" w:space="0" w:color="auto"/>
                              <w:left w:val="nil"/>
                              <w:bottom w:val="single" w:sz="4" w:space="0" w:color="auto"/>
                              <w:right w:val="single" w:sz="4" w:space="0" w:color="auto"/>
                            </w:tcBorders>
                            <w:shd w:val="clear" w:color="auto" w:fill="auto"/>
                            <w:vAlign w:val="center"/>
                          </w:tcPr>
                          <w:p w14:paraId="506AFD14"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406.7</w:t>
                            </w:r>
                          </w:p>
                        </w:tc>
                        <w:tc>
                          <w:tcPr>
                            <w:tcW w:w="565" w:type="pct"/>
                            <w:tcBorders>
                              <w:top w:val="single" w:sz="4" w:space="0" w:color="auto"/>
                              <w:left w:val="nil"/>
                              <w:bottom w:val="single" w:sz="4" w:space="0" w:color="auto"/>
                              <w:right w:val="single" w:sz="4" w:space="0" w:color="auto"/>
                            </w:tcBorders>
                            <w:shd w:val="clear" w:color="auto" w:fill="auto"/>
                            <w:vAlign w:val="center"/>
                          </w:tcPr>
                          <w:p w14:paraId="337BBD03"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355.5</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2D0EE047"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- 51.2 </w:t>
                            </w:r>
                          </w:p>
                        </w:tc>
                        <w:tc>
                          <w:tcPr>
                            <w:tcW w:w="565" w:type="pct"/>
                            <w:tcBorders>
                              <w:top w:val="single" w:sz="4" w:space="0" w:color="auto"/>
                              <w:left w:val="nil"/>
                              <w:bottom w:val="single" w:sz="4" w:space="0" w:color="auto"/>
                              <w:right w:val="single" w:sz="4" w:space="0" w:color="auto"/>
                            </w:tcBorders>
                            <w:shd w:val="clear" w:color="auto" w:fill="auto"/>
                            <w:vAlign w:val="center"/>
                          </w:tcPr>
                          <w:p w14:paraId="2EBEC282"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600.0</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6738D056"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59.25</w:t>
                            </w:r>
                          </w:p>
                        </w:tc>
                      </w:tr>
                      <w:tr w:rsidR="00A0212B" w:rsidRPr="006C70EA" w14:paraId="54EA4468" w14:textId="77777777" w:rsidTr="00E31547">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7AAB65C" w14:textId="77777777" w:rsidR="00A0212B" w:rsidRPr="00BF4FC7" w:rsidRDefault="00A0212B" w:rsidP="002314E4">
                            <w:pPr>
                              <w:spacing w:line="220" w:lineRule="exact"/>
                              <w:jc w:val="center"/>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6B22E260"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漁業署</w:t>
                            </w:r>
                          </w:p>
                        </w:tc>
                        <w:tc>
                          <w:tcPr>
                            <w:tcW w:w="1054" w:type="pct"/>
                            <w:tcBorders>
                              <w:top w:val="single" w:sz="4" w:space="0" w:color="auto"/>
                              <w:left w:val="nil"/>
                              <w:bottom w:val="single" w:sz="4" w:space="0" w:color="auto"/>
                              <w:right w:val="single" w:sz="4" w:space="0" w:color="auto"/>
                            </w:tcBorders>
                            <w:shd w:val="clear" w:color="auto" w:fill="auto"/>
                            <w:vAlign w:val="center"/>
                          </w:tcPr>
                          <w:p w14:paraId="34537FED"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漁電共生</w:t>
                            </w:r>
                            <w:r>
                              <w:rPr>
                                <w:rFonts w:ascii="標楷體" w:eastAsia="標楷體" w:hAnsi="標楷體"/>
                                <w:kern w:val="0"/>
                                <w:sz w:val="20"/>
                              </w:rPr>
                              <w:t>（</w:t>
                            </w:r>
                            <w:r w:rsidRPr="00BF4FC7">
                              <w:rPr>
                                <w:rFonts w:ascii="標楷體" w:eastAsia="標楷體" w:hAnsi="標楷體" w:cs="Calibri" w:hint="eastAsia"/>
                                <w:kern w:val="0"/>
                                <w:sz w:val="20"/>
                              </w:rPr>
                              <w:t>室內</w:t>
                            </w:r>
                            <w:r w:rsidRPr="00BF4FC7">
                              <w:rPr>
                                <w:rFonts w:ascii="標楷體" w:eastAsia="標楷體" w:hAnsi="標楷體"/>
                                <w:kern w:val="0"/>
                                <w:sz w:val="20"/>
                              </w:rPr>
                              <w:t>/</w:t>
                            </w:r>
                            <w:r w:rsidRPr="00BF4FC7">
                              <w:rPr>
                                <w:rFonts w:ascii="標楷體" w:eastAsia="標楷體" w:hAnsi="標楷體" w:cs="Calibri" w:hint="eastAsia"/>
                                <w:kern w:val="0"/>
                                <w:sz w:val="20"/>
                              </w:rPr>
                              <w:t>外</w:t>
                            </w:r>
                            <w:r>
                              <w:rPr>
                                <w:rFonts w:ascii="標楷體" w:eastAsia="標楷體" w:hAnsi="標楷體"/>
                                <w:kern w:val="0"/>
                                <w:sz w:val="20"/>
                              </w:rPr>
                              <w:t>）</w:t>
                            </w:r>
                          </w:p>
                        </w:tc>
                        <w:tc>
                          <w:tcPr>
                            <w:tcW w:w="565" w:type="pct"/>
                            <w:tcBorders>
                              <w:top w:val="single" w:sz="4" w:space="0" w:color="auto"/>
                              <w:left w:val="nil"/>
                              <w:bottom w:val="single" w:sz="4" w:space="0" w:color="auto"/>
                              <w:right w:val="single" w:sz="4" w:space="0" w:color="auto"/>
                            </w:tcBorders>
                            <w:shd w:val="clear" w:color="auto" w:fill="auto"/>
                            <w:vAlign w:val="center"/>
                          </w:tcPr>
                          <w:p w14:paraId="025F751A"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1,549.4</w:t>
                            </w:r>
                          </w:p>
                        </w:tc>
                        <w:tc>
                          <w:tcPr>
                            <w:tcW w:w="565" w:type="pct"/>
                            <w:tcBorders>
                              <w:top w:val="single" w:sz="4" w:space="0" w:color="auto"/>
                              <w:left w:val="nil"/>
                              <w:bottom w:val="single" w:sz="4" w:space="0" w:color="auto"/>
                              <w:right w:val="single" w:sz="4" w:space="0" w:color="auto"/>
                            </w:tcBorders>
                            <w:shd w:val="clear" w:color="auto" w:fill="auto"/>
                            <w:vAlign w:val="center"/>
                          </w:tcPr>
                          <w:p w14:paraId="231C1D4B"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637.7</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089C9E98"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- 911.7 </w:t>
                            </w:r>
                          </w:p>
                        </w:tc>
                        <w:tc>
                          <w:tcPr>
                            <w:tcW w:w="565" w:type="pct"/>
                            <w:tcBorders>
                              <w:top w:val="single" w:sz="4" w:space="0" w:color="auto"/>
                              <w:left w:val="nil"/>
                              <w:bottom w:val="single" w:sz="4" w:space="0" w:color="auto"/>
                              <w:right w:val="single" w:sz="4" w:space="0" w:color="auto"/>
                            </w:tcBorders>
                            <w:shd w:val="clear" w:color="auto" w:fill="auto"/>
                            <w:vAlign w:val="center"/>
                          </w:tcPr>
                          <w:p w14:paraId="7B7CD740"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4,428.3</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7F5AAEA1"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14.40</w:t>
                            </w:r>
                          </w:p>
                        </w:tc>
                      </w:tr>
                      <w:tr w:rsidR="00A0212B" w:rsidRPr="006C70EA" w14:paraId="36CC768D" w14:textId="77777777" w:rsidTr="00E31547">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4F359B" w14:textId="77777777" w:rsidR="00A0212B" w:rsidRPr="00BF4FC7" w:rsidRDefault="00A0212B" w:rsidP="002314E4">
                            <w:pPr>
                              <w:spacing w:line="220" w:lineRule="exact"/>
                              <w:jc w:val="center"/>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0BC83D66"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農田水利署</w:t>
                            </w:r>
                          </w:p>
                        </w:tc>
                        <w:tc>
                          <w:tcPr>
                            <w:tcW w:w="1054" w:type="pct"/>
                            <w:tcBorders>
                              <w:top w:val="single" w:sz="4" w:space="0" w:color="auto"/>
                              <w:left w:val="nil"/>
                              <w:bottom w:val="single" w:sz="4" w:space="0" w:color="auto"/>
                              <w:right w:val="single" w:sz="4" w:space="0" w:color="auto"/>
                            </w:tcBorders>
                            <w:shd w:val="clear" w:color="auto" w:fill="auto"/>
                            <w:vAlign w:val="center"/>
                          </w:tcPr>
                          <w:p w14:paraId="1BE82D7A"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埤塘圳路</w:t>
                            </w:r>
                          </w:p>
                        </w:tc>
                        <w:tc>
                          <w:tcPr>
                            <w:tcW w:w="565" w:type="pct"/>
                            <w:tcBorders>
                              <w:top w:val="single" w:sz="4" w:space="0" w:color="auto"/>
                              <w:left w:val="nil"/>
                              <w:bottom w:val="single" w:sz="4" w:space="0" w:color="auto"/>
                              <w:right w:val="single" w:sz="4" w:space="0" w:color="auto"/>
                            </w:tcBorders>
                            <w:shd w:val="clear" w:color="auto" w:fill="auto"/>
                            <w:vAlign w:val="center"/>
                          </w:tcPr>
                          <w:p w14:paraId="3525565F"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383.3</w:t>
                            </w:r>
                          </w:p>
                        </w:tc>
                        <w:tc>
                          <w:tcPr>
                            <w:tcW w:w="565" w:type="pct"/>
                            <w:tcBorders>
                              <w:top w:val="single" w:sz="4" w:space="0" w:color="auto"/>
                              <w:left w:val="nil"/>
                              <w:bottom w:val="single" w:sz="4" w:space="0" w:color="auto"/>
                              <w:right w:val="single" w:sz="4" w:space="0" w:color="auto"/>
                            </w:tcBorders>
                            <w:shd w:val="clear" w:color="auto" w:fill="auto"/>
                            <w:vAlign w:val="center"/>
                          </w:tcPr>
                          <w:p w14:paraId="746F4510"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163.8</w:t>
                            </w:r>
                          </w:p>
                        </w:tc>
                        <w:tc>
                          <w:tcPr>
                            <w:tcW w:w="591" w:type="pct"/>
                            <w:tcBorders>
                              <w:top w:val="single" w:sz="4" w:space="0" w:color="auto"/>
                              <w:left w:val="nil"/>
                              <w:bottom w:val="single" w:sz="4" w:space="0" w:color="auto"/>
                              <w:right w:val="single" w:sz="4" w:space="0" w:color="auto"/>
                            </w:tcBorders>
                            <w:shd w:val="clear" w:color="auto" w:fill="auto"/>
                            <w:noWrap/>
                            <w:vAlign w:val="center"/>
                          </w:tcPr>
                          <w:p w14:paraId="6BB96CBF"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- 219.5 </w:t>
                            </w:r>
                          </w:p>
                        </w:tc>
                        <w:tc>
                          <w:tcPr>
                            <w:tcW w:w="565" w:type="pct"/>
                            <w:tcBorders>
                              <w:top w:val="single" w:sz="4" w:space="0" w:color="auto"/>
                              <w:left w:val="nil"/>
                              <w:bottom w:val="single" w:sz="4" w:space="0" w:color="auto"/>
                              <w:right w:val="single" w:sz="4" w:space="0" w:color="auto"/>
                            </w:tcBorders>
                            <w:shd w:val="clear" w:color="auto" w:fill="auto"/>
                            <w:vAlign w:val="center"/>
                          </w:tcPr>
                          <w:p w14:paraId="438DD7FE"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600.0</w:t>
                            </w:r>
                          </w:p>
                        </w:tc>
                        <w:tc>
                          <w:tcPr>
                            <w:tcW w:w="410" w:type="pct"/>
                            <w:tcBorders>
                              <w:top w:val="single" w:sz="4" w:space="0" w:color="auto"/>
                              <w:left w:val="nil"/>
                              <w:bottom w:val="single" w:sz="4" w:space="0" w:color="auto"/>
                              <w:right w:val="single" w:sz="4" w:space="0" w:color="auto"/>
                            </w:tcBorders>
                            <w:shd w:val="clear" w:color="auto" w:fill="auto"/>
                            <w:noWrap/>
                            <w:vAlign w:val="center"/>
                          </w:tcPr>
                          <w:p w14:paraId="33A407D0"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27.30</w:t>
                            </w:r>
                          </w:p>
                        </w:tc>
                      </w:tr>
                      <w:tr w:rsidR="00A0212B" w:rsidRPr="006C70EA" w14:paraId="03374ED4"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ECDDB5" w14:textId="77777777" w:rsidR="00A0212B" w:rsidRPr="00BF4FC7" w:rsidRDefault="00A0212B" w:rsidP="002314E4">
                            <w:pPr>
                              <w:spacing w:line="220" w:lineRule="exact"/>
                              <w:jc w:val="center"/>
                              <w:rPr>
                                <w:rFonts w:ascii="標楷體" w:eastAsia="標楷體" w:hAnsi="標楷體" w:cs="Calibri"/>
                                <w:kern w:val="0"/>
                                <w:sz w:val="20"/>
                              </w:rPr>
                            </w:pPr>
                          </w:p>
                        </w:tc>
                        <w:tc>
                          <w:tcPr>
                            <w:tcW w:w="882" w:type="pct"/>
                            <w:tcBorders>
                              <w:top w:val="single" w:sz="4" w:space="0" w:color="auto"/>
                              <w:left w:val="single" w:sz="4" w:space="0" w:color="auto"/>
                              <w:right w:val="single" w:sz="4" w:space="0" w:color="auto"/>
                            </w:tcBorders>
                            <w:shd w:val="clear" w:color="auto" w:fill="auto"/>
                            <w:vAlign w:val="center"/>
                          </w:tcPr>
                          <w:p w14:paraId="06024478"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農糧署</w:t>
                            </w:r>
                          </w:p>
                        </w:tc>
                        <w:tc>
                          <w:tcPr>
                            <w:tcW w:w="1054" w:type="pct"/>
                            <w:tcBorders>
                              <w:top w:val="single" w:sz="4" w:space="0" w:color="auto"/>
                              <w:left w:val="nil"/>
                              <w:right w:val="single" w:sz="4" w:space="0" w:color="auto"/>
                            </w:tcBorders>
                            <w:shd w:val="clear" w:color="auto" w:fill="auto"/>
                            <w:vAlign w:val="center"/>
                          </w:tcPr>
                          <w:p w14:paraId="20096FA9"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農糧儲製銷</w:t>
                            </w:r>
                          </w:p>
                        </w:tc>
                        <w:tc>
                          <w:tcPr>
                            <w:tcW w:w="565" w:type="pct"/>
                            <w:tcBorders>
                              <w:top w:val="single" w:sz="4" w:space="0" w:color="auto"/>
                              <w:left w:val="nil"/>
                              <w:right w:val="single" w:sz="4" w:space="0" w:color="auto"/>
                            </w:tcBorders>
                            <w:shd w:val="clear" w:color="auto" w:fill="auto"/>
                            <w:vAlign w:val="center"/>
                          </w:tcPr>
                          <w:p w14:paraId="250D657C" w14:textId="77777777" w:rsidR="00A0212B" w:rsidRPr="00BF4FC7" w:rsidRDefault="00A0212B" w:rsidP="002314E4">
                            <w:pPr>
                              <w:spacing w:line="220" w:lineRule="exact"/>
                              <w:jc w:val="right"/>
                              <w:rPr>
                                <w:rFonts w:ascii="標楷體" w:eastAsia="標楷體" w:hAnsi="標楷體"/>
                                <w:kern w:val="0"/>
                                <w:sz w:val="20"/>
                              </w:rPr>
                            </w:pPr>
                            <w:r w:rsidRPr="00BF4FC7">
                              <w:rPr>
                                <w:rFonts w:ascii="標楷體" w:eastAsia="標楷體" w:hAnsi="標楷體"/>
                                <w:kern w:val="0"/>
                                <w:sz w:val="20"/>
                              </w:rPr>
                              <w:t>446.9</w:t>
                            </w:r>
                          </w:p>
                        </w:tc>
                        <w:tc>
                          <w:tcPr>
                            <w:tcW w:w="565" w:type="pct"/>
                            <w:tcBorders>
                              <w:top w:val="single" w:sz="4" w:space="0" w:color="auto"/>
                              <w:left w:val="nil"/>
                              <w:right w:val="single" w:sz="4" w:space="0" w:color="auto"/>
                            </w:tcBorders>
                            <w:shd w:val="clear" w:color="auto" w:fill="auto"/>
                            <w:vAlign w:val="center"/>
                          </w:tcPr>
                          <w:p w14:paraId="0DFB1DA4" w14:textId="77777777" w:rsidR="00A0212B" w:rsidRPr="00BF4FC7" w:rsidRDefault="00A0212B" w:rsidP="002314E4">
                            <w:pPr>
                              <w:spacing w:line="220" w:lineRule="exact"/>
                              <w:jc w:val="right"/>
                              <w:rPr>
                                <w:rFonts w:ascii="標楷體" w:eastAsia="標楷體" w:hAnsi="標楷體"/>
                                <w:bCs/>
                                <w:kern w:val="0"/>
                                <w:sz w:val="20"/>
                              </w:rPr>
                            </w:pPr>
                            <w:r w:rsidRPr="00BF4FC7">
                              <w:rPr>
                                <w:rFonts w:ascii="標楷體" w:eastAsia="標楷體" w:hAnsi="標楷體"/>
                                <w:bCs/>
                                <w:kern w:val="0"/>
                                <w:sz w:val="20"/>
                              </w:rPr>
                              <w:t>404.2</w:t>
                            </w:r>
                          </w:p>
                        </w:tc>
                        <w:tc>
                          <w:tcPr>
                            <w:tcW w:w="591" w:type="pct"/>
                            <w:tcBorders>
                              <w:top w:val="single" w:sz="4" w:space="0" w:color="auto"/>
                              <w:left w:val="nil"/>
                              <w:right w:val="single" w:sz="4" w:space="0" w:color="auto"/>
                            </w:tcBorders>
                            <w:shd w:val="clear" w:color="auto" w:fill="auto"/>
                            <w:noWrap/>
                            <w:vAlign w:val="center"/>
                          </w:tcPr>
                          <w:p w14:paraId="75ACDD03" w14:textId="77777777" w:rsidR="00A0212B" w:rsidRPr="00BF4FC7" w:rsidRDefault="00A0212B" w:rsidP="002314E4">
                            <w:pPr>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- 42.7 </w:t>
                            </w:r>
                          </w:p>
                        </w:tc>
                        <w:tc>
                          <w:tcPr>
                            <w:tcW w:w="565" w:type="pct"/>
                            <w:tcBorders>
                              <w:top w:val="single" w:sz="4" w:space="0" w:color="auto"/>
                              <w:left w:val="nil"/>
                              <w:right w:val="single" w:sz="4" w:space="0" w:color="auto"/>
                            </w:tcBorders>
                            <w:shd w:val="clear" w:color="auto" w:fill="auto"/>
                            <w:vAlign w:val="center"/>
                          </w:tcPr>
                          <w:p w14:paraId="03A7C463" w14:textId="77777777" w:rsidR="00A0212B" w:rsidRPr="00BF4FC7" w:rsidRDefault="00A0212B" w:rsidP="002314E4">
                            <w:pPr>
                              <w:spacing w:line="220" w:lineRule="exact"/>
                              <w:jc w:val="right"/>
                              <w:rPr>
                                <w:rFonts w:ascii="標楷體" w:eastAsia="標楷體" w:hAnsi="標楷體"/>
                                <w:kern w:val="0"/>
                                <w:sz w:val="20"/>
                              </w:rPr>
                            </w:pPr>
                            <w:r w:rsidRPr="00BF4FC7">
                              <w:rPr>
                                <w:rFonts w:ascii="標楷體" w:eastAsia="標楷體" w:hAnsi="標楷體"/>
                                <w:kern w:val="0"/>
                                <w:sz w:val="20"/>
                              </w:rPr>
                              <w:t>578.0</w:t>
                            </w:r>
                          </w:p>
                        </w:tc>
                        <w:tc>
                          <w:tcPr>
                            <w:tcW w:w="410" w:type="pct"/>
                            <w:tcBorders>
                              <w:top w:val="single" w:sz="4" w:space="0" w:color="auto"/>
                              <w:left w:val="nil"/>
                              <w:right w:val="single" w:sz="4" w:space="0" w:color="auto"/>
                            </w:tcBorders>
                            <w:shd w:val="clear" w:color="auto" w:fill="auto"/>
                            <w:noWrap/>
                            <w:vAlign w:val="center"/>
                          </w:tcPr>
                          <w:p w14:paraId="5625CD06" w14:textId="77777777" w:rsidR="00A0212B" w:rsidRPr="00BF4FC7" w:rsidRDefault="00A0212B" w:rsidP="002314E4">
                            <w:pPr>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69.93</w:t>
                            </w:r>
                          </w:p>
                        </w:tc>
                      </w:tr>
                      <w:tr w:rsidR="00A0212B" w:rsidRPr="006C70EA" w14:paraId="35B7C209" w14:textId="77777777" w:rsidTr="002314E4">
                        <w:trPr>
                          <w:trHeight w:val="232"/>
                        </w:trPr>
                        <w:tc>
                          <w:tcPr>
                            <w:tcW w:w="36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D7C0DA" w14:textId="77777777" w:rsidR="00A0212B" w:rsidRPr="00BF4FC7" w:rsidRDefault="00A0212B" w:rsidP="002314E4">
                            <w:pPr>
                              <w:spacing w:line="220" w:lineRule="exact"/>
                              <w:jc w:val="center"/>
                              <w:rPr>
                                <w:rFonts w:ascii="標楷體" w:eastAsia="標楷體" w:hAnsi="標楷體" w:cs="Calibri"/>
                                <w:kern w:val="0"/>
                                <w:sz w:val="20"/>
                              </w:rPr>
                            </w:pPr>
                          </w:p>
                        </w:tc>
                        <w:tc>
                          <w:tcPr>
                            <w:tcW w:w="882" w:type="pct"/>
                            <w:tcBorders>
                              <w:top w:val="single" w:sz="4" w:space="0" w:color="auto"/>
                              <w:left w:val="single" w:sz="4" w:space="0" w:color="auto"/>
                              <w:bottom w:val="single" w:sz="4" w:space="0" w:color="auto"/>
                              <w:right w:val="single" w:sz="4" w:space="0" w:color="auto"/>
                            </w:tcBorders>
                            <w:shd w:val="clear" w:color="auto" w:fill="auto"/>
                            <w:vAlign w:val="center"/>
                          </w:tcPr>
                          <w:p w14:paraId="1F0E60FD" w14:textId="77777777" w:rsidR="00A0212B" w:rsidRPr="00BF4FC7" w:rsidRDefault="00A0212B" w:rsidP="00E31547">
                            <w:pPr>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畜牧司</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05AB82C9"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畜禽舍</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1FC50754"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1,586.30</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64B6DEBB"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1,510.00</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568B9522"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xml:space="preserve">- 76.3 </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43E51417"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1,967.0</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46408EEC"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76.77</w:t>
                            </w:r>
                          </w:p>
                        </w:tc>
                      </w:tr>
                      <w:tr w:rsidR="00A0212B" w:rsidRPr="006C70EA" w14:paraId="694FD901" w14:textId="77777777" w:rsidTr="00E31547">
                        <w:trPr>
                          <w:trHeight w:val="232"/>
                        </w:trPr>
                        <w:tc>
                          <w:tcPr>
                            <w:tcW w:w="12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9BA5FD"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財政部國</w:t>
                            </w:r>
                            <w:r>
                              <w:rPr>
                                <w:rFonts w:ascii="標楷體" w:eastAsia="標楷體" w:hAnsi="標楷體" w:cs="Calibri" w:hint="eastAsia"/>
                                <w:kern w:val="0"/>
                                <w:sz w:val="20"/>
                              </w:rPr>
                              <w:t>有</w:t>
                            </w:r>
                            <w:r>
                              <w:rPr>
                                <w:rFonts w:ascii="標楷體" w:eastAsia="標楷體" w:hAnsi="標楷體" w:cs="Calibri"/>
                                <w:kern w:val="0"/>
                                <w:sz w:val="20"/>
                              </w:rPr>
                              <w:t>財</w:t>
                            </w:r>
                            <w:r w:rsidRPr="00BF4FC7">
                              <w:rPr>
                                <w:rFonts w:ascii="標楷體" w:eastAsia="標楷體" w:hAnsi="標楷體" w:cs="Calibri" w:hint="eastAsia"/>
                                <w:kern w:val="0"/>
                                <w:sz w:val="20"/>
                              </w:rPr>
                              <w:t>產署</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1F3BC922"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閒置土地</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539FD83F"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234.7</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3637B9E3"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163.1</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12E2FA81"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- 71.6</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28B0F3D1"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606.2</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2786614F"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26.91</w:t>
                            </w:r>
                          </w:p>
                        </w:tc>
                      </w:tr>
                      <w:tr w:rsidR="00A0212B" w:rsidRPr="006C70EA" w14:paraId="5E895258" w14:textId="77777777" w:rsidTr="002314E4">
                        <w:trPr>
                          <w:trHeight w:val="232"/>
                        </w:trPr>
                        <w:tc>
                          <w:tcPr>
                            <w:tcW w:w="1251"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44FC3E"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交通部</w:t>
                            </w:r>
                          </w:p>
                        </w:tc>
                        <w:tc>
                          <w:tcPr>
                            <w:tcW w:w="1054" w:type="pct"/>
                            <w:tcBorders>
                              <w:top w:val="single" w:sz="4" w:space="0" w:color="auto"/>
                              <w:left w:val="single" w:sz="4" w:space="0" w:color="auto"/>
                              <w:bottom w:val="single" w:sz="4" w:space="0" w:color="auto"/>
                              <w:right w:val="single" w:sz="4" w:space="0" w:color="auto"/>
                            </w:tcBorders>
                            <w:shd w:val="clear" w:color="auto" w:fill="auto"/>
                            <w:vAlign w:val="center"/>
                          </w:tcPr>
                          <w:p w14:paraId="6C8D9A2E" w14:textId="77777777" w:rsidR="00A0212B" w:rsidRPr="00BF4FC7" w:rsidRDefault="00A0212B" w:rsidP="002314E4">
                            <w:pPr>
                              <w:widowControl/>
                              <w:spacing w:line="220" w:lineRule="exact"/>
                              <w:jc w:val="center"/>
                              <w:rPr>
                                <w:rFonts w:ascii="標楷體" w:eastAsia="標楷體" w:hAnsi="標楷體" w:cs="Calibri"/>
                                <w:b/>
                                <w:kern w:val="0"/>
                                <w:sz w:val="20"/>
                              </w:rPr>
                            </w:pPr>
                            <w:r w:rsidRPr="00BF4FC7">
                              <w:rPr>
                                <w:rFonts w:ascii="標楷體" w:eastAsia="標楷體" w:hAnsi="標楷體" w:cs="Calibri" w:hint="eastAsia"/>
                                <w:b/>
                                <w:kern w:val="0"/>
                                <w:sz w:val="20"/>
                              </w:rPr>
                              <w:t>小　計</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0F60D7BE"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bCs/>
                                <w:sz w:val="20"/>
                              </w:rPr>
                              <w:t>57.2</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11413F69" w14:textId="77777777" w:rsidR="00A0212B" w:rsidRPr="00BF4FC7" w:rsidRDefault="00A0212B" w:rsidP="002314E4">
                            <w:pPr>
                              <w:widowControl/>
                              <w:spacing w:line="220" w:lineRule="exact"/>
                              <w:jc w:val="right"/>
                              <w:rPr>
                                <w:rFonts w:ascii="標楷體" w:eastAsia="標楷體" w:hAnsi="標楷體"/>
                                <w:b/>
                                <w:bCs/>
                                <w:kern w:val="0"/>
                                <w:sz w:val="20"/>
                              </w:rPr>
                            </w:pPr>
                            <w:r w:rsidRPr="00BF4FC7">
                              <w:rPr>
                                <w:rFonts w:ascii="標楷體" w:eastAsia="標楷體" w:hAnsi="標楷體"/>
                                <w:b/>
                                <w:bCs/>
                                <w:sz w:val="20"/>
                              </w:rPr>
                              <w:t>28.2</w:t>
                            </w:r>
                          </w:p>
                        </w:tc>
                        <w:tc>
                          <w:tcPr>
                            <w:tcW w:w="5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2A5924"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b/>
                                <w:bCs/>
                                <w:sz w:val="20"/>
                              </w:rPr>
                              <w:t>- 29.0</w:t>
                            </w:r>
                          </w:p>
                        </w:tc>
                        <w:tc>
                          <w:tcPr>
                            <w:tcW w:w="565" w:type="pct"/>
                            <w:tcBorders>
                              <w:top w:val="single" w:sz="4" w:space="0" w:color="auto"/>
                              <w:left w:val="single" w:sz="4" w:space="0" w:color="auto"/>
                              <w:bottom w:val="single" w:sz="4" w:space="0" w:color="auto"/>
                              <w:right w:val="single" w:sz="4" w:space="0" w:color="auto"/>
                            </w:tcBorders>
                            <w:shd w:val="clear" w:color="auto" w:fill="auto"/>
                            <w:vAlign w:val="center"/>
                          </w:tcPr>
                          <w:p w14:paraId="66AA842E" w14:textId="77777777" w:rsidR="00A0212B" w:rsidRPr="00BF4FC7" w:rsidRDefault="00A0212B" w:rsidP="002314E4">
                            <w:pPr>
                              <w:widowControl/>
                              <w:spacing w:line="220" w:lineRule="exact"/>
                              <w:jc w:val="right"/>
                              <w:rPr>
                                <w:rFonts w:ascii="標楷體" w:eastAsia="標楷體" w:hAnsi="標楷體"/>
                                <w:b/>
                                <w:kern w:val="0"/>
                                <w:sz w:val="20"/>
                              </w:rPr>
                            </w:pPr>
                            <w:r w:rsidRPr="00BF4FC7">
                              <w:rPr>
                                <w:rFonts w:ascii="標楷體" w:eastAsia="標楷體" w:hAnsi="標楷體"/>
                                <w:b/>
                                <w:bCs/>
                                <w:sz w:val="20"/>
                              </w:rPr>
                              <w:t>53.9</w:t>
                            </w:r>
                          </w:p>
                        </w:tc>
                        <w:tc>
                          <w:tcPr>
                            <w:tcW w:w="41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9DCB34" w14:textId="77777777" w:rsidR="00A0212B" w:rsidRPr="00BF4FC7" w:rsidRDefault="00A0212B" w:rsidP="002314E4">
                            <w:pPr>
                              <w:widowControl/>
                              <w:spacing w:line="220" w:lineRule="exact"/>
                              <w:jc w:val="right"/>
                              <w:rPr>
                                <w:rFonts w:ascii="標楷體" w:eastAsia="標楷體" w:hAnsi="標楷體" w:cs="Calibri"/>
                                <w:b/>
                                <w:kern w:val="0"/>
                                <w:sz w:val="20"/>
                              </w:rPr>
                            </w:pPr>
                            <w:r w:rsidRPr="00BF4FC7">
                              <w:rPr>
                                <w:rFonts w:ascii="標楷體" w:eastAsia="標楷體" w:hAnsi="標楷體" w:cs="Calibri" w:hint="eastAsia"/>
                                <w:b/>
                                <w:kern w:val="0"/>
                                <w:sz w:val="20"/>
                              </w:rPr>
                              <w:t>5</w:t>
                            </w:r>
                            <w:r w:rsidRPr="00BF4FC7">
                              <w:rPr>
                                <w:rFonts w:ascii="標楷體" w:eastAsia="標楷體" w:hAnsi="標楷體" w:cs="Calibri"/>
                                <w:b/>
                                <w:kern w:val="0"/>
                                <w:sz w:val="20"/>
                              </w:rPr>
                              <w:t>2.32</w:t>
                            </w:r>
                          </w:p>
                        </w:tc>
                      </w:tr>
                      <w:tr w:rsidR="00A0212B" w:rsidRPr="006C70EA" w14:paraId="1BB65227" w14:textId="77777777" w:rsidTr="00E31547">
                        <w:tc>
                          <w:tcPr>
                            <w:tcW w:w="1251"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28EC9C" w14:textId="77777777" w:rsidR="00A0212B" w:rsidRPr="00BF4FC7" w:rsidRDefault="00A0212B" w:rsidP="00E31547">
                            <w:pPr>
                              <w:spacing w:line="220" w:lineRule="exact"/>
                              <w:rPr>
                                <w:rFonts w:ascii="標楷體" w:eastAsia="標楷體" w:hAnsi="標楷體" w:cs="Calibri"/>
                                <w:kern w:val="0"/>
                                <w:sz w:val="20"/>
                              </w:rPr>
                            </w:pP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1E09F311" w14:textId="77777777" w:rsidR="00A0212B" w:rsidRPr="00BF4FC7" w:rsidRDefault="00A0212B" w:rsidP="00E31547">
                            <w:pPr>
                              <w:widowControl/>
                              <w:spacing w:line="220" w:lineRule="exact"/>
                              <w:rPr>
                                <w:rFonts w:ascii="標楷體" w:eastAsia="標楷體" w:hAnsi="標楷體"/>
                                <w:kern w:val="0"/>
                                <w:sz w:val="20"/>
                              </w:rPr>
                            </w:pPr>
                            <w:r w:rsidRPr="00BF4FC7">
                              <w:rPr>
                                <w:rFonts w:ascii="標楷體" w:eastAsia="標楷體" w:hAnsi="標楷體" w:cs="Calibri" w:hint="eastAsia"/>
                                <w:kern w:val="0"/>
                                <w:sz w:val="20"/>
                              </w:rPr>
                              <w:t>高速公路</w:t>
                            </w:r>
                            <w:r w:rsidRPr="00BF4FC7">
                              <w:rPr>
                                <w:rFonts w:ascii="標楷體" w:eastAsia="標楷體" w:hAnsi="標楷體"/>
                                <w:kern w:val="0"/>
                                <w:sz w:val="20"/>
                              </w:rPr>
                              <w:t>/</w:t>
                            </w:r>
                          </w:p>
                          <w:p w14:paraId="7EBE9735"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縣市停車場</w:t>
                            </w:r>
                            <w:r>
                              <w:rPr>
                                <w:rFonts w:ascii="標楷體" w:eastAsia="標楷體" w:hAnsi="標楷體"/>
                                <w:kern w:val="0"/>
                                <w:sz w:val="20"/>
                              </w:rPr>
                              <w:t>（</w:t>
                            </w:r>
                            <w:r w:rsidRPr="00BF4FC7">
                              <w:rPr>
                                <w:rFonts w:ascii="標楷體" w:eastAsia="標楷體" w:hAnsi="標楷體" w:cs="Calibri" w:hint="eastAsia"/>
                                <w:kern w:val="0"/>
                                <w:sz w:val="20"/>
                              </w:rPr>
                              <w:t>地面</w:t>
                            </w:r>
                            <w:r>
                              <w:rPr>
                                <w:rFonts w:ascii="標楷體" w:eastAsia="標楷體" w:hAnsi="標楷體"/>
                                <w:kern w:val="0"/>
                                <w:sz w:val="20"/>
                              </w:rPr>
                              <w:t>）</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70BBC9C2"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32.2</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6F37FAE7"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11</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51A1719E"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- 21.2</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3990A46C"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45.8</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7D009DE5"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24.02</w:t>
                            </w:r>
                          </w:p>
                        </w:tc>
                      </w:tr>
                      <w:tr w:rsidR="00A0212B" w:rsidRPr="006C70EA" w14:paraId="3340C51B" w14:textId="77777777" w:rsidTr="002314E4">
                        <w:trPr>
                          <w:trHeight w:val="232"/>
                        </w:trPr>
                        <w:tc>
                          <w:tcPr>
                            <w:tcW w:w="1251"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7A74AA" w14:textId="77777777" w:rsidR="00A0212B" w:rsidRPr="00BF4FC7" w:rsidRDefault="00A0212B" w:rsidP="00E31547">
                            <w:pPr>
                              <w:widowControl/>
                              <w:spacing w:line="220" w:lineRule="exact"/>
                              <w:rPr>
                                <w:rFonts w:ascii="標楷體" w:eastAsia="標楷體" w:hAnsi="標楷體" w:cs="Calibri"/>
                                <w:kern w:val="0"/>
                                <w:sz w:val="20"/>
                              </w:rPr>
                            </w:pP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40DA7713"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縣市停車場</w:t>
                            </w:r>
                            <w:r>
                              <w:rPr>
                                <w:rFonts w:ascii="標楷體" w:eastAsia="標楷體" w:hAnsi="標楷體"/>
                                <w:kern w:val="0"/>
                                <w:sz w:val="20"/>
                              </w:rPr>
                              <w:t>（</w:t>
                            </w:r>
                            <w:r w:rsidRPr="00BF4FC7">
                              <w:rPr>
                                <w:rFonts w:ascii="標楷體" w:eastAsia="標楷體" w:hAnsi="標楷體" w:cs="Calibri" w:hint="eastAsia"/>
                                <w:kern w:val="0"/>
                                <w:sz w:val="20"/>
                              </w:rPr>
                              <w:t>屋頂</w:t>
                            </w:r>
                            <w:r>
                              <w:rPr>
                                <w:rFonts w:ascii="標楷體" w:eastAsia="標楷體" w:hAnsi="標楷體"/>
                                <w:kern w:val="0"/>
                                <w:sz w:val="20"/>
                              </w:rPr>
                              <w:t>）</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1816DB29"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25</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3FE283C5"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17.2</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6FE5E82B"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- 7.8</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62089E06"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8.1</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7FA3354D"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212.35</w:t>
                            </w:r>
                          </w:p>
                        </w:tc>
                      </w:tr>
                      <w:tr w:rsidR="00A0212B" w:rsidRPr="006C70EA" w14:paraId="5238FF51" w14:textId="77777777" w:rsidTr="002314E4">
                        <w:trPr>
                          <w:trHeight w:val="232"/>
                        </w:trPr>
                        <w:tc>
                          <w:tcPr>
                            <w:tcW w:w="125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D679A5"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國防部</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7D058ACD" w14:textId="77777777" w:rsidR="00A0212B" w:rsidRPr="00BF4FC7" w:rsidRDefault="00A0212B" w:rsidP="00E31547">
                            <w:pPr>
                              <w:widowControl/>
                              <w:spacing w:line="220" w:lineRule="exact"/>
                              <w:rPr>
                                <w:rFonts w:ascii="標楷體" w:eastAsia="標楷體" w:hAnsi="標楷體" w:cs="Calibri"/>
                                <w:kern w:val="0"/>
                                <w:sz w:val="20"/>
                              </w:rPr>
                            </w:pPr>
                            <w:r w:rsidRPr="00BF4FC7">
                              <w:rPr>
                                <w:rFonts w:ascii="標楷體" w:eastAsia="標楷體" w:hAnsi="標楷體" w:cs="Calibri" w:hint="eastAsia"/>
                                <w:kern w:val="0"/>
                                <w:sz w:val="20"/>
                              </w:rPr>
                              <w:t>綠能營區</w:t>
                            </w:r>
                            <w:r>
                              <w:rPr>
                                <w:rFonts w:ascii="標楷體" w:eastAsia="標楷體" w:hAnsi="標楷體"/>
                                <w:kern w:val="0"/>
                                <w:sz w:val="20"/>
                              </w:rPr>
                              <w:t>（</w:t>
                            </w:r>
                            <w:r w:rsidRPr="00BF4FC7">
                              <w:rPr>
                                <w:rFonts w:ascii="標楷體" w:eastAsia="標楷體" w:hAnsi="標楷體" w:cs="Calibri" w:hint="eastAsia"/>
                                <w:kern w:val="0"/>
                                <w:sz w:val="20"/>
                              </w:rPr>
                              <w:t>屋頂</w:t>
                            </w:r>
                            <w:r>
                              <w:rPr>
                                <w:rFonts w:ascii="標楷體" w:eastAsia="標楷體" w:hAnsi="標楷體"/>
                                <w:kern w:val="0"/>
                                <w:sz w:val="20"/>
                              </w:rPr>
                              <w:t>）</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58AACED6"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179.4</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2BCDC508" w14:textId="77777777" w:rsidR="00A0212B" w:rsidRPr="00BF4FC7" w:rsidRDefault="00A0212B" w:rsidP="002314E4">
                            <w:pPr>
                              <w:widowControl/>
                              <w:spacing w:line="220" w:lineRule="exact"/>
                              <w:jc w:val="right"/>
                              <w:rPr>
                                <w:rFonts w:ascii="標楷體" w:eastAsia="標楷體" w:hAnsi="標楷體"/>
                                <w:bCs/>
                                <w:kern w:val="0"/>
                                <w:sz w:val="20"/>
                              </w:rPr>
                            </w:pPr>
                            <w:r w:rsidRPr="00BF4FC7">
                              <w:rPr>
                                <w:rFonts w:ascii="標楷體" w:eastAsia="標楷體" w:hAnsi="標楷體"/>
                                <w:bCs/>
                                <w:kern w:val="0"/>
                                <w:sz w:val="20"/>
                              </w:rPr>
                              <w:t>159.9</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14:paraId="100C7CDB"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- 19.5</w:t>
                            </w:r>
                          </w:p>
                        </w:tc>
                        <w:tc>
                          <w:tcPr>
                            <w:tcW w:w="565" w:type="pct"/>
                            <w:tcBorders>
                              <w:top w:val="single" w:sz="4" w:space="0" w:color="auto"/>
                              <w:left w:val="nil"/>
                              <w:bottom w:val="single" w:sz="4" w:space="0" w:color="auto"/>
                              <w:right w:val="single" w:sz="4" w:space="0" w:color="auto"/>
                            </w:tcBorders>
                            <w:shd w:val="clear" w:color="auto" w:fill="auto"/>
                            <w:vAlign w:val="center"/>
                            <w:hideMark/>
                          </w:tcPr>
                          <w:p w14:paraId="4A1E92D5" w14:textId="77777777" w:rsidR="00A0212B" w:rsidRPr="00BF4FC7" w:rsidRDefault="00A0212B" w:rsidP="002314E4">
                            <w:pPr>
                              <w:widowControl/>
                              <w:spacing w:line="220" w:lineRule="exact"/>
                              <w:jc w:val="right"/>
                              <w:rPr>
                                <w:rFonts w:ascii="標楷體" w:eastAsia="標楷體" w:hAnsi="標楷體"/>
                                <w:kern w:val="0"/>
                                <w:sz w:val="20"/>
                              </w:rPr>
                            </w:pPr>
                            <w:r w:rsidRPr="00BF4FC7">
                              <w:rPr>
                                <w:rFonts w:ascii="標楷體" w:eastAsia="標楷體" w:hAnsi="標楷體"/>
                                <w:kern w:val="0"/>
                                <w:sz w:val="20"/>
                              </w:rPr>
                              <w:t>211</w:t>
                            </w:r>
                          </w:p>
                        </w:tc>
                        <w:tc>
                          <w:tcPr>
                            <w:tcW w:w="410" w:type="pct"/>
                            <w:tcBorders>
                              <w:top w:val="single" w:sz="4" w:space="0" w:color="auto"/>
                              <w:left w:val="nil"/>
                              <w:bottom w:val="single" w:sz="4" w:space="0" w:color="auto"/>
                              <w:right w:val="single" w:sz="4" w:space="0" w:color="auto"/>
                            </w:tcBorders>
                            <w:shd w:val="clear" w:color="auto" w:fill="auto"/>
                            <w:noWrap/>
                            <w:vAlign w:val="center"/>
                            <w:hideMark/>
                          </w:tcPr>
                          <w:p w14:paraId="11F3D4D7" w14:textId="77777777" w:rsidR="00A0212B" w:rsidRPr="00BF4FC7" w:rsidRDefault="00A0212B" w:rsidP="002314E4">
                            <w:pPr>
                              <w:widowControl/>
                              <w:spacing w:line="220" w:lineRule="exact"/>
                              <w:jc w:val="right"/>
                              <w:rPr>
                                <w:rFonts w:ascii="標楷體" w:eastAsia="標楷體" w:hAnsi="標楷體" w:cs="Calibri"/>
                                <w:kern w:val="0"/>
                                <w:sz w:val="20"/>
                              </w:rPr>
                            </w:pPr>
                            <w:r w:rsidRPr="00BF4FC7">
                              <w:rPr>
                                <w:rFonts w:ascii="標楷體" w:eastAsia="標楷體" w:hAnsi="標楷體" w:cs="Calibri"/>
                                <w:kern w:val="0"/>
                                <w:sz w:val="20"/>
                              </w:rPr>
                              <w:t>75.78</w:t>
                            </w:r>
                          </w:p>
                        </w:tc>
                      </w:tr>
                      <w:tr w:rsidR="00A0212B" w:rsidRPr="00BF4FC7" w14:paraId="0C5786E8" w14:textId="77777777" w:rsidTr="002314E4">
                        <w:tc>
                          <w:tcPr>
                            <w:tcW w:w="5000" w:type="pct"/>
                            <w:gridSpan w:val="8"/>
                            <w:tcBorders>
                              <w:top w:val="single" w:sz="4" w:space="0" w:color="auto"/>
                            </w:tcBorders>
                            <w:shd w:val="clear" w:color="auto" w:fill="auto"/>
                            <w:vAlign w:val="center"/>
                          </w:tcPr>
                          <w:p w14:paraId="6FA79DA4" w14:textId="77777777" w:rsidR="00A0212B" w:rsidRPr="00BF4FC7" w:rsidRDefault="00A0212B" w:rsidP="002314E4">
                            <w:pPr>
                              <w:widowControl/>
                              <w:spacing w:line="200" w:lineRule="exact"/>
                              <w:rPr>
                                <w:rFonts w:ascii="標楷體" w:eastAsia="標楷體" w:hAnsi="標楷體" w:cs="Calibri"/>
                                <w:kern w:val="0"/>
                                <w:sz w:val="18"/>
                              </w:rPr>
                            </w:pPr>
                            <w:r w:rsidRPr="00BF4FC7">
                              <w:rPr>
                                <w:rFonts w:ascii="標楷體" w:eastAsia="標楷體" w:hAnsi="標楷體" w:cs="Calibri" w:hint="eastAsia"/>
                                <w:kern w:val="0"/>
                                <w:sz w:val="18"/>
                              </w:rPr>
                              <w:t>資料來源：整理自</w:t>
                            </w:r>
                            <w:r>
                              <w:rPr>
                                <w:rFonts w:ascii="標楷體" w:eastAsia="標楷體" w:hAnsi="標楷體" w:cs="Calibri" w:hint="eastAsia"/>
                                <w:kern w:val="0"/>
                                <w:sz w:val="18"/>
                              </w:rPr>
                              <w:t>經濟部</w:t>
                            </w:r>
                            <w:r w:rsidRPr="00BF4FC7">
                              <w:rPr>
                                <w:rFonts w:ascii="標楷體" w:eastAsia="標楷體" w:hAnsi="標楷體" w:cs="Calibri" w:hint="eastAsia"/>
                                <w:kern w:val="0"/>
                                <w:sz w:val="18"/>
                              </w:rPr>
                              <w:t>能源署提供資料。</w:t>
                            </w:r>
                          </w:p>
                        </w:tc>
                      </w:tr>
                    </w:tbl>
                    <w:p w14:paraId="14DF1C2B" w14:textId="77777777" w:rsidR="00A0212B" w:rsidRPr="00DC32A8" w:rsidRDefault="00A0212B" w:rsidP="00351E4B"/>
                  </w:txbxContent>
                </v:textbox>
                <w10:wrap type="square" anchorx="margin"/>
              </v:shape>
            </w:pict>
          </mc:Fallback>
        </mc:AlternateContent>
      </w:r>
      <w:r w:rsidR="00EB17B4" w:rsidRPr="004D7C92">
        <w:rPr>
          <w:rFonts w:ascii="標楷體" w:eastAsia="標楷體" w:hAnsi="標楷體" w:cstheme="minorBidi"/>
          <w:szCs w:val="22"/>
        </w:rPr>
        <w:t>項專案未達成目標，</w:t>
      </w:r>
      <w:r w:rsidRPr="004D7C92">
        <w:rPr>
          <w:rFonts w:ascii="標楷體" w:eastAsia="標楷體" w:hAnsi="標楷體" w:cstheme="minorBidi" w:hint="eastAsia"/>
          <w:szCs w:val="22"/>
        </w:rPr>
        <w:t>合計短缺裝置容量</w:t>
      </w:r>
      <w:r w:rsidRPr="004D7C92">
        <w:rPr>
          <w:rFonts w:ascii="標楷體" w:eastAsia="標楷體" w:hAnsi="標楷體" w:cstheme="minorBidi"/>
          <w:szCs w:val="22"/>
        </w:rPr>
        <w:t>143.8MW，約9.43％。又距114年太陽光電目標累計裝</w:t>
      </w:r>
      <w:r w:rsidRPr="004D7C92">
        <w:rPr>
          <w:rFonts w:ascii="標楷體" w:eastAsia="標楷體" w:hAnsi="標楷體" w:cstheme="minorBidi"/>
          <w:szCs w:val="22"/>
        </w:rPr>
        <w:lastRenderedPageBreak/>
        <w:t>置容量20GW僅餘2年時間，惟達成率未及4成者，除上開低地力變更等5項專案外，尚有環境部整治中</w:t>
      </w:r>
      <w:r w:rsidR="00D55497" w:rsidRPr="004D7C92">
        <w:rPr>
          <w:rFonts w:ascii="標楷體" w:eastAsia="標楷體" w:hAnsi="標楷體" w:cstheme="minorBidi" w:hint="eastAsia"/>
          <w:szCs w:val="22"/>
        </w:rPr>
        <w:t>污</w:t>
      </w:r>
      <w:r w:rsidRPr="004D7C92">
        <w:rPr>
          <w:rFonts w:ascii="標楷體" w:eastAsia="標楷體" w:hAnsi="標楷體" w:cstheme="minorBidi" w:hint="eastAsia"/>
          <w:szCs w:val="22"/>
        </w:rPr>
        <w:t>染土地、台灣電力公司其他地面及經濟部能源署屏東專案等</w:t>
      </w:r>
      <w:r w:rsidRPr="004D7C92">
        <w:rPr>
          <w:rFonts w:ascii="標楷體" w:eastAsia="標楷體" w:hAnsi="標楷體" w:cstheme="minorBidi"/>
          <w:szCs w:val="22"/>
        </w:rPr>
        <w:t>3項專案，雖達成112年底目標，然僅分別達成114年底目標量之22.91％、25.21％及38.93％，經函請行政院督促針對問題癥結研謀妥處。</w:t>
      </w:r>
      <w:r w:rsidR="00EB17B4" w:rsidRPr="004D7C92">
        <w:rPr>
          <w:rFonts w:ascii="標楷體" w:eastAsia="標楷體" w:hAnsi="標楷體" w:cstheme="minorBidi" w:hint="eastAsia"/>
          <w:szCs w:val="24"/>
        </w:rPr>
        <w:t>據復：</w:t>
      </w:r>
      <w:r w:rsidRPr="004D7C92">
        <w:rPr>
          <w:rFonts w:ascii="標楷體" w:eastAsia="標楷體" w:hAnsi="標楷體" w:cstheme="minorBidi" w:hint="eastAsia"/>
          <w:szCs w:val="24"/>
        </w:rPr>
        <w:t>經濟部已掌握相關案源，將持續與各部會溝通，分類解決推動困難，滾動調整管理機制，並定期召開院級及部級專案推動會議，跨部會合作推動「行政程序聯合審查」機制，及與地方政府成立工作小組，</w:t>
      </w:r>
      <w:r w:rsidRPr="004D7C92">
        <w:rPr>
          <w:rFonts w:ascii="標楷體" w:eastAsia="標楷體" w:hAnsi="標楷體" w:cstheme="minorBidi" w:hint="eastAsia"/>
          <w:spacing w:val="-2"/>
          <w:szCs w:val="24"/>
        </w:rPr>
        <w:t>共同合作積極推動。另持續加強在地溝通，並於案場設置期間，調查環境生態變化，並強化地方回饋機制。</w:t>
      </w:r>
    </w:p>
    <w:p w14:paraId="7B410081" w14:textId="31BB134F" w:rsidR="008A76F0" w:rsidRPr="008A76F0" w:rsidRDefault="00351E4B" w:rsidP="008A76F0">
      <w:pPr>
        <w:overflowPunct w:val="0"/>
        <w:spacing w:line="460" w:lineRule="exact"/>
        <w:ind w:firstLineChars="450" w:firstLine="1440"/>
        <w:jc w:val="both"/>
        <w:rPr>
          <w:rFonts w:ascii="標楷體" w:eastAsia="標楷體" w:hAnsi="標楷體" w:cstheme="minorBidi"/>
          <w:szCs w:val="22"/>
        </w:rPr>
      </w:pPr>
      <w:r w:rsidRPr="00EB17B4">
        <w:rPr>
          <w:rFonts w:ascii="標楷體" w:eastAsia="標楷體" w:hAnsi="標楷體" w:cstheme="minorBidi"/>
          <w:noProof/>
          <w:spacing w:val="-4"/>
          <w:sz w:val="32"/>
          <w:szCs w:val="22"/>
        </w:rPr>
        <mc:AlternateContent>
          <mc:Choice Requires="wps">
            <w:drawing>
              <wp:anchor distT="45720" distB="45720" distL="114300" distR="114300" simplePos="0" relativeHeight="251642880" behindDoc="0" locked="0" layoutInCell="1" allowOverlap="1" wp14:anchorId="356FD023" wp14:editId="1388BD8F">
                <wp:simplePos x="0" y="0"/>
                <wp:positionH relativeFrom="page">
                  <wp:posOffset>3714750</wp:posOffset>
                </wp:positionH>
                <wp:positionV relativeFrom="page">
                  <wp:posOffset>5621655</wp:posOffset>
                </wp:positionV>
                <wp:extent cx="3096000" cy="1566000"/>
                <wp:effectExtent l="0" t="0" r="28575" b="1524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6000" cy="1566000"/>
                        </a:xfrm>
                        <a:prstGeom prst="rect">
                          <a:avLst/>
                        </a:prstGeom>
                        <a:solidFill>
                          <a:srgbClr val="FFFFFF"/>
                        </a:solidFill>
                        <a:ln w="9525">
                          <a:solidFill>
                            <a:sysClr val="window" lastClr="FFFFFF"/>
                          </a:solidFill>
                          <a:miter lim="800000"/>
                          <a:headEnd/>
                          <a:tailEnd/>
                        </a:ln>
                      </wps:spPr>
                      <wps:txbx>
                        <w:txbxContent>
                          <w:tbl>
                            <w:tblPr>
                              <w:tblStyle w:val="200"/>
                              <w:tblW w:w="0" w:type="auto"/>
                              <w:tblLook w:val="04A0" w:firstRow="1" w:lastRow="0" w:firstColumn="1" w:lastColumn="0" w:noHBand="0" w:noVBand="1"/>
                            </w:tblPr>
                            <w:tblGrid>
                              <w:gridCol w:w="906"/>
                              <w:gridCol w:w="2658"/>
                              <w:gridCol w:w="1124"/>
                            </w:tblGrid>
                            <w:tr w:rsidR="00A0212B" w:rsidRPr="00F62527" w14:paraId="7B7CBE2D" w14:textId="77777777" w:rsidTr="002314E4">
                              <w:tc>
                                <w:tcPr>
                                  <w:tcW w:w="0" w:type="auto"/>
                                  <w:gridSpan w:val="3"/>
                                  <w:tcBorders>
                                    <w:top w:val="nil"/>
                                    <w:left w:val="nil"/>
                                    <w:bottom w:val="nil"/>
                                    <w:right w:val="nil"/>
                                  </w:tcBorders>
                                </w:tcPr>
                                <w:p w14:paraId="48C2FD50" w14:textId="77777777" w:rsidR="00A0212B" w:rsidRPr="001479CC" w:rsidRDefault="00A0212B" w:rsidP="00E47A7D">
                                  <w:pPr>
                                    <w:tabs>
                                      <w:tab w:val="left" w:pos="1560"/>
                                    </w:tabs>
                                    <w:kinsoku w:val="0"/>
                                    <w:overflowPunct w:val="0"/>
                                    <w:adjustRightInd w:val="0"/>
                                    <w:snapToGrid w:val="0"/>
                                    <w:spacing w:line="260" w:lineRule="exact"/>
                                    <w:jc w:val="both"/>
                                    <w:rPr>
                                      <w:rFonts w:ascii="標楷體" w:eastAsia="標楷體" w:hAnsi="標楷體"/>
                                      <w:b/>
                                      <w:spacing w:val="-4"/>
                                      <w:szCs w:val="24"/>
                                    </w:rPr>
                                  </w:pPr>
                                  <w:r w:rsidRPr="00EB17B4">
                                    <w:rPr>
                                      <w:rFonts w:ascii="標楷體" w:eastAsia="標楷體" w:hAnsi="標楷體" w:hint="eastAsia"/>
                                      <w:b/>
                                      <w:color w:val="000000" w:themeColor="text1"/>
                                      <w:spacing w:val="-4"/>
                                      <w:szCs w:val="24"/>
                                    </w:rPr>
                                    <w:t>表</w:t>
                                  </w:r>
                                  <w:r>
                                    <w:rPr>
                                      <w:rFonts w:ascii="標楷體" w:eastAsia="標楷體" w:hAnsi="標楷體"/>
                                      <w:b/>
                                      <w:color w:val="000000" w:themeColor="text1"/>
                                      <w:spacing w:val="-4"/>
                                      <w:szCs w:val="24"/>
                                    </w:rPr>
                                    <w:t>18</w:t>
                                  </w:r>
                                  <w:r w:rsidRPr="001479CC">
                                    <w:rPr>
                                      <w:rFonts w:ascii="標楷體" w:eastAsia="標楷體" w:hAnsi="標楷體" w:hint="eastAsia"/>
                                      <w:b/>
                                      <w:spacing w:val="-4"/>
                                      <w:szCs w:val="24"/>
                                    </w:rPr>
                                    <w:t xml:space="preserve">　太陽光電盤點至1</w:t>
                                  </w:r>
                                  <w:r w:rsidRPr="001479CC">
                                    <w:rPr>
                                      <w:rFonts w:ascii="標楷體" w:eastAsia="標楷體" w:hAnsi="標楷體"/>
                                      <w:b/>
                                      <w:spacing w:val="-4"/>
                                      <w:szCs w:val="24"/>
                                    </w:rPr>
                                    <w:t>14</w:t>
                                  </w:r>
                                  <w:r w:rsidRPr="001479CC">
                                    <w:rPr>
                                      <w:rFonts w:ascii="標楷體" w:eastAsia="標楷體" w:hAnsi="標楷體" w:hint="eastAsia"/>
                                      <w:b/>
                                      <w:spacing w:val="-4"/>
                                      <w:szCs w:val="24"/>
                                    </w:rPr>
                                    <w:t>年尚有缺額情形</w:t>
                                  </w:r>
                                </w:p>
                              </w:tc>
                            </w:tr>
                            <w:tr w:rsidR="00A0212B" w:rsidRPr="00B578F9" w14:paraId="2C7A40D6" w14:textId="77777777" w:rsidTr="002314E4">
                              <w:tc>
                                <w:tcPr>
                                  <w:tcW w:w="0" w:type="auto"/>
                                  <w:gridSpan w:val="3"/>
                                  <w:tcBorders>
                                    <w:top w:val="nil"/>
                                    <w:left w:val="nil"/>
                                    <w:bottom w:val="single" w:sz="4" w:space="0" w:color="auto"/>
                                    <w:right w:val="nil"/>
                                  </w:tcBorders>
                                </w:tcPr>
                                <w:p w14:paraId="7B98B590"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單位：G</w:t>
                                  </w:r>
                                  <w:r w:rsidRPr="001479CC">
                                    <w:rPr>
                                      <w:rFonts w:ascii="標楷體" w:eastAsia="標楷體" w:hAnsi="標楷體"/>
                                      <w:spacing w:val="-4"/>
                                      <w:sz w:val="20"/>
                                      <w:szCs w:val="20"/>
                                    </w:rPr>
                                    <w:t>W</w:t>
                                  </w:r>
                                </w:p>
                              </w:tc>
                            </w:tr>
                            <w:tr w:rsidR="00A0212B" w:rsidRPr="00435627" w14:paraId="590059D2" w14:textId="77777777" w:rsidTr="002314E4">
                              <w:tc>
                                <w:tcPr>
                                  <w:tcW w:w="0" w:type="auto"/>
                                  <w:tcBorders>
                                    <w:top w:val="single" w:sz="4" w:space="0" w:color="auto"/>
                                  </w:tcBorders>
                                  <w:shd w:val="clear" w:color="auto" w:fill="D9D9D9" w:themeFill="background1" w:themeFillShade="D9"/>
                                </w:tcPr>
                                <w:p w14:paraId="69161E64"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機關</w:t>
                                  </w:r>
                                </w:p>
                              </w:tc>
                              <w:tc>
                                <w:tcPr>
                                  <w:tcW w:w="0" w:type="auto"/>
                                  <w:tcBorders>
                                    <w:top w:val="single" w:sz="4" w:space="0" w:color="auto"/>
                                  </w:tcBorders>
                                  <w:shd w:val="clear" w:color="auto" w:fill="D9D9D9" w:themeFill="background1" w:themeFillShade="D9"/>
                                </w:tcPr>
                                <w:p w14:paraId="1098DB91"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專案名稱</w:t>
                                  </w:r>
                                </w:p>
                              </w:tc>
                              <w:tc>
                                <w:tcPr>
                                  <w:tcW w:w="0" w:type="auto"/>
                                  <w:tcBorders>
                                    <w:top w:val="single" w:sz="4" w:space="0" w:color="auto"/>
                                  </w:tcBorders>
                                  <w:shd w:val="clear" w:color="auto" w:fill="D9D9D9" w:themeFill="background1" w:themeFillShade="D9"/>
                                </w:tcPr>
                                <w:p w14:paraId="532BF91B"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缺額容量</w:t>
                                  </w:r>
                                </w:p>
                              </w:tc>
                            </w:tr>
                            <w:tr w:rsidR="00A0212B" w:rsidRPr="00CD5422" w14:paraId="348B3EC3" w14:textId="77777777" w:rsidTr="002314E4">
                              <w:tc>
                                <w:tcPr>
                                  <w:tcW w:w="0" w:type="auto"/>
                                  <w:gridSpan w:val="2"/>
                                  <w:vAlign w:val="center"/>
                                </w:tcPr>
                                <w:p w14:paraId="7D82C565"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b/>
                                      <w:spacing w:val="-4"/>
                                      <w:sz w:val="20"/>
                                      <w:szCs w:val="20"/>
                                    </w:rPr>
                                  </w:pPr>
                                  <w:r w:rsidRPr="001479CC">
                                    <w:rPr>
                                      <w:rFonts w:ascii="標楷體" w:eastAsia="標楷體" w:hAnsi="標楷體" w:hint="eastAsia"/>
                                      <w:b/>
                                      <w:spacing w:val="-4"/>
                                      <w:sz w:val="20"/>
                                      <w:szCs w:val="20"/>
                                    </w:rPr>
                                    <w:t>合　　計</w:t>
                                  </w:r>
                                </w:p>
                              </w:tc>
                              <w:tc>
                                <w:tcPr>
                                  <w:tcW w:w="0" w:type="auto"/>
                                  <w:vAlign w:val="center"/>
                                </w:tcPr>
                                <w:p w14:paraId="1CDBBA6A"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b/>
                                      <w:spacing w:val="-4"/>
                                      <w:sz w:val="20"/>
                                      <w:szCs w:val="20"/>
                                    </w:rPr>
                                  </w:pPr>
                                  <w:r w:rsidRPr="001479CC">
                                    <w:rPr>
                                      <w:rFonts w:ascii="標楷體" w:eastAsia="標楷體" w:hAnsi="標楷體" w:hint="eastAsia"/>
                                      <w:b/>
                                      <w:spacing w:val="-4"/>
                                      <w:sz w:val="20"/>
                                      <w:szCs w:val="20"/>
                                    </w:rPr>
                                    <w:t>2</w:t>
                                  </w:r>
                                  <w:r w:rsidRPr="001479CC">
                                    <w:rPr>
                                      <w:rFonts w:ascii="標楷體" w:eastAsia="標楷體" w:hAnsi="標楷體"/>
                                      <w:b/>
                                      <w:spacing w:val="-4"/>
                                      <w:sz w:val="20"/>
                                      <w:szCs w:val="20"/>
                                    </w:rPr>
                                    <w:t>.43</w:t>
                                  </w:r>
                                </w:p>
                              </w:tc>
                            </w:tr>
                            <w:tr w:rsidR="00A0212B" w:rsidRPr="00435627" w14:paraId="7F86179A" w14:textId="77777777" w:rsidTr="002314E4">
                              <w:tc>
                                <w:tcPr>
                                  <w:tcW w:w="0" w:type="auto"/>
                                  <w:vMerge w:val="restart"/>
                                  <w:vAlign w:val="center"/>
                                </w:tcPr>
                                <w:p w14:paraId="5CF398E7"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農業部</w:t>
                                  </w:r>
                                </w:p>
                              </w:tc>
                              <w:tc>
                                <w:tcPr>
                                  <w:tcW w:w="0" w:type="auto"/>
                                  <w:vAlign w:val="center"/>
                                </w:tcPr>
                                <w:p w14:paraId="083DBC80"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小　計</w:t>
                                  </w:r>
                                </w:p>
                              </w:tc>
                              <w:tc>
                                <w:tcPr>
                                  <w:tcW w:w="0" w:type="auto"/>
                                  <w:vAlign w:val="center"/>
                                </w:tcPr>
                                <w:p w14:paraId="4375212A"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2</w:t>
                                  </w:r>
                                  <w:r w:rsidRPr="001479CC">
                                    <w:rPr>
                                      <w:rFonts w:ascii="標楷體" w:eastAsia="標楷體" w:hAnsi="標楷體"/>
                                      <w:spacing w:val="-4"/>
                                      <w:sz w:val="20"/>
                                      <w:szCs w:val="20"/>
                                    </w:rPr>
                                    <w:t>.17</w:t>
                                  </w:r>
                                </w:p>
                              </w:tc>
                            </w:tr>
                            <w:tr w:rsidR="00A0212B" w:rsidRPr="00435627" w14:paraId="18C5403C" w14:textId="77777777" w:rsidTr="002314E4">
                              <w:tc>
                                <w:tcPr>
                                  <w:tcW w:w="0" w:type="auto"/>
                                  <w:vMerge/>
                                  <w:vAlign w:val="center"/>
                                </w:tcPr>
                                <w:p w14:paraId="56447CDC"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p>
                              </w:tc>
                              <w:tc>
                                <w:tcPr>
                                  <w:tcW w:w="0" w:type="auto"/>
                                  <w:vAlign w:val="center"/>
                                </w:tcPr>
                                <w:p w14:paraId="1C76DEF6" w14:textId="77777777" w:rsidR="00A0212B" w:rsidRPr="001479CC" w:rsidRDefault="00A0212B" w:rsidP="002314E4">
                                  <w:pPr>
                                    <w:tabs>
                                      <w:tab w:val="left" w:pos="1560"/>
                                    </w:tabs>
                                    <w:kinsoku w:val="0"/>
                                    <w:overflowPunct w:val="0"/>
                                    <w:adjustRightInd w:val="0"/>
                                    <w:snapToGrid w:val="0"/>
                                    <w:spacing w:line="220" w:lineRule="exact"/>
                                    <w:jc w:val="both"/>
                                    <w:rPr>
                                      <w:rFonts w:ascii="標楷體" w:eastAsia="標楷體" w:hAnsi="標楷體"/>
                                      <w:spacing w:val="-4"/>
                                      <w:sz w:val="20"/>
                                      <w:szCs w:val="20"/>
                                    </w:rPr>
                                  </w:pPr>
                                  <w:r w:rsidRPr="001479CC">
                                    <w:rPr>
                                      <w:rFonts w:ascii="標楷體" w:eastAsia="標楷體" w:hAnsi="標楷體" w:hint="eastAsia"/>
                                      <w:spacing w:val="-4"/>
                                      <w:sz w:val="20"/>
                                      <w:szCs w:val="20"/>
                                    </w:rPr>
                                    <w:t>漁電共生</w:t>
                                  </w:r>
                                </w:p>
                              </w:tc>
                              <w:tc>
                                <w:tcPr>
                                  <w:tcW w:w="0" w:type="auto"/>
                                  <w:vAlign w:val="center"/>
                                </w:tcPr>
                                <w:p w14:paraId="17545172"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1</w:t>
                                  </w:r>
                                  <w:r w:rsidRPr="001479CC">
                                    <w:rPr>
                                      <w:rFonts w:ascii="標楷體" w:eastAsia="標楷體" w:hAnsi="標楷體"/>
                                      <w:spacing w:val="-4"/>
                                      <w:sz w:val="20"/>
                                      <w:szCs w:val="20"/>
                                    </w:rPr>
                                    <w:t>.37</w:t>
                                  </w:r>
                                </w:p>
                              </w:tc>
                            </w:tr>
                            <w:tr w:rsidR="00A0212B" w:rsidRPr="00435627" w14:paraId="533822E9" w14:textId="77777777" w:rsidTr="002314E4">
                              <w:tc>
                                <w:tcPr>
                                  <w:tcW w:w="0" w:type="auto"/>
                                  <w:vMerge/>
                                  <w:vAlign w:val="center"/>
                                </w:tcPr>
                                <w:p w14:paraId="623DEBA7"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p>
                              </w:tc>
                              <w:tc>
                                <w:tcPr>
                                  <w:tcW w:w="0" w:type="auto"/>
                                  <w:vAlign w:val="center"/>
                                </w:tcPr>
                                <w:p w14:paraId="7C8645CC" w14:textId="77777777" w:rsidR="00A0212B" w:rsidRPr="001479CC" w:rsidRDefault="00A0212B" w:rsidP="002314E4">
                                  <w:pPr>
                                    <w:tabs>
                                      <w:tab w:val="left" w:pos="1560"/>
                                    </w:tabs>
                                    <w:kinsoku w:val="0"/>
                                    <w:overflowPunct w:val="0"/>
                                    <w:adjustRightInd w:val="0"/>
                                    <w:snapToGrid w:val="0"/>
                                    <w:spacing w:line="220" w:lineRule="exact"/>
                                    <w:jc w:val="both"/>
                                    <w:rPr>
                                      <w:rFonts w:ascii="標楷體" w:eastAsia="標楷體" w:hAnsi="標楷體"/>
                                      <w:spacing w:val="-4"/>
                                      <w:sz w:val="20"/>
                                      <w:szCs w:val="20"/>
                                    </w:rPr>
                                  </w:pPr>
                                  <w:r w:rsidRPr="001479CC">
                                    <w:rPr>
                                      <w:rFonts w:ascii="標楷體" w:eastAsia="標楷體" w:hAnsi="標楷體" w:hint="eastAsia"/>
                                      <w:spacing w:val="-4"/>
                                      <w:sz w:val="20"/>
                                      <w:szCs w:val="20"/>
                                    </w:rPr>
                                    <w:t>低地力農地</w:t>
                                  </w:r>
                                </w:p>
                              </w:tc>
                              <w:tc>
                                <w:tcPr>
                                  <w:tcW w:w="0" w:type="auto"/>
                                  <w:vAlign w:val="center"/>
                                </w:tcPr>
                                <w:p w14:paraId="4630A509"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0</w:t>
                                  </w:r>
                                  <w:r w:rsidRPr="001479CC">
                                    <w:rPr>
                                      <w:rFonts w:ascii="標楷體" w:eastAsia="標楷體" w:hAnsi="標楷體"/>
                                      <w:spacing w:val="-4"/>
                                      <w:sz w:val="20"/>
                                      <w:szCs w:val="20"/>
                                    </w:rPr>
                                    <w:t>.59</w:t>
                                  </w:r>
                                </w:p>
                              </w:tc>
                            </w:tr>
                            <w:tr w:rsidR="00A0212B" w:rsidRPr="00435627" w14:paraId="6F2397A7" w14:textId="77777777" w:rsidTr="002314E4">
                              <w:tc>
                                <w:tcPr>
                                  <w:tcW w:w="0" w:type="auto"/>
                                  <w:vMerge/>
                                  <w:vAlign w:val="center"/>
                                </w:tcPr>
                                <w:p w14:paraId="2BA019EA"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p>
                              </w:tc>
                              <w:tc>
                                <w:tcPr>
                                  <w:tcW w:w="0" w:type="auto"/>
                                  <w:vAlign w:val="center"/>
                                </w:tcPr>
                                <w:p w14:paraId="380EF49C" w14:textId="77777777" w:rsidR="00A0212B" w:rsidRPr="001479CC" w:rsidRDefault="00A0212B" w:rsidP="002314E4">
                                  <w:pPr>
                                    <w:tabs>
                                      <w:tab w:val="left" w:pos="1560"/>
                                    </w:tabs>
                                    <w:kinsoku w:val="0"/>
                                    <w:overflowPunct w:val="0"/>
                                    <w:adjustRightInd w:val="0"/>
                                    <w:snapToGrid w:val="0"/>
                                    <w:spacing w:line="220" w:lineRule="exact"/>
                                    <w:jc w:val="both"/>
                                    <w:rPr>
                                      <w:rFonts w:ascii="標楷體" w:eastAsia="標楷體" w:hAnsi="標楷體"/>
                                      <w:spacing w:val="-4"/>
                                      <w:sz w:val="20"/>
                                      <w:szCs w:val="20"/>
                                    </w:rPr>
                                  </w:pPr>
                                  <w:r w:rsidRPr="001479CC">
                                    <w:rPr>
                                      <w:rFonts w:ascii="標楷體" w:eastAsia="標楷體" w:hAnsi="標楷體" w:hint="eastAsia"/>
                                      <w:spacing w:val="-4"/>
                                      <w:sz w:val="20"/>
                                      <w:szCs w:val="20"/>
                                    </w:rPr>
                                    <w:t>埤塘圳路</w:t>
                                  </w:r>
                                </w:p>
                              </w:tc>
                              <w:tc>
                                <w:tcPr>
                                  <w:tcW w:w="0" w:type="auto"/>
                                  <w:vAlign w:val="center"/>
                                </w:tcPr>
                                <w:p w14:paraId="30CACCE7"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0</w:t>
                                  </w:r>
                                  <w:r w:rsidRPr="001479CC">
                                    <w:rPr>
                                      <w:rFonts w:ascii="標楷體" w:eastAsia="標楷體" w:hAnsi="標楷體"/>
                                      <w:spacing w:val="-4"/>
                                      <w:sz w:val="20"/>
                                      <w:szCs w:val="20"/>
                                    </w:rPr>
                                    <w:t>.21</w:t>
                                  </w:r>
                                </w:p>
                              </w:tc>
                            </w:tr>
                            <w:tr w:rsidR="00A0212B" w:rsidRPr="00435627" w14:paraId="6B4B910C" w14:textId="77777777" w:rsidTr="002314E4">
                              <w:tc>
                                <w:tcPr>
                                  <w:tcW w:w="0" w:type="auto"/>
                                  <w:vAlign w:val="center"/>
                                </w:tcPr>
                                <w:p w14:paraId="437DC46C"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環境部</w:t>
                                  </w:r>
                                </w:p>
                              </w:tc>
                              <w:tc>
                                <w:tcPr>
                                  <w:tcW w:w="0" w:type="auto"/>
                                  <w:vAlign w:val="center"/>
                                </w:tcPr>
                                <w:p w14:paraId="4AE54CA8" w14:textId="05EB4AD6" w:rsidR="00A0212B" w:rsidRPr="001479CC" w:rsidRDefault="00A0212B">
                                  <w:pPr>
                                    <w:tabs>
                                      <w:tab w:val="left" w:pos="1560"/>
                                    </w:tabs>
                                    <w:kinsoku w:val="0"/>
                                    <w:overflowPunct w:val="0"/>
                                    <w:adjustRightInd w:val="0"/>
                                    <w:snapToGrid w:val="0"/>
                                    <w:spacing w:line="220" w:lineRule="exact"/>
                                    <w:jc w:val="both"/>
                                    <w:rPr>
                                      <w:rFonts w:ascii="標楷體" w:eastAsia="標楷體" w:hAnsi="標楷體"/>
                                      <w:spacing w:val="-4"/>
                                      <w:sz w:val="20"/>
                                      <w:szCs w:val="20"/>
                                    </w:rPr>
                                  </w:pPr>
                                  <w:r w:rsidRPr="001479CC">
                                    <w:rPr>
                                      <w:rFonts w:ascii="標楷體" w:eastAsia="標楷體" w:hAnsi="標楷體" w:hint="eastAsia"/>
                                      <w:spacing w:val="-4"/>
                                      <w:sz w:val="20"/>
                                      <w:szCs w:val="20"/>
                                    </w:rPr>
                                    <w:t>整治中</w:t>
                                  </w:r>
                                  <w:r>
                                    <w:rPr>
                                      <w:rFonts w:ascii="標楷體" w:eastAsia="標楷體" w:hAnsi="標楷體" w:hint="eastAsia"/>
                                      <w:spacing w:val="-4"/>
                                      <w:sz w:val="20"/>
                                      <w:szCs w:val="20"/>
                                    </w:rPr>
                                    <w:t>污</w:t>
                                  </w:r>
                                  <w:r w:rsidRPr="001479CC">
                                    <w:rPr>
                                      <w:rFonts w:ascii="標楷體" w:eastAsia="標楷體" w:hAnsi="標楷體" w:hint="eastAsia"/>
                                      <w:spacing w:val="-4"/>
                                      <w:sz w:val="20"/>
                                      <w:szCs w:val="20"/>
                                    </w:rPr>
                                    <w:t>染土地、掩埋場</w:t>
                                  </w:r>
                                </w:p>
                              </w:tc>
                              <w:tc>
                                <w:tcPr>
                                  <w:tcW w:w="0" w:type="auto"/>
                                  <w:vAlign w:val="center"/>
                                </w:tcPr>
                                <w:p w14:paraId="59BAB8AC"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spacing w:val="-4"/>
                                      <w:sz w:val="20"/>
                                      <w:szCs w:val="20"/>
                                    </w:rPr>
                                    <w:t>0.26</w:t>
                                  </w:r>
                                </w:p>
                              </w:tc>
                            </w:tr>
                          </w:tbl>
                          <w:p w14:paraId="4D086F25" w14:textId="77777777" w:rsidR="00A0212B" w:rsidRPr="001479CC" w:rsidRDefault="00A0212B" w:rsidP="008A76F0">
                            <w:pPr>
                              <w:spacing w:line="200" w:lineRule="exact"/>
                              <w:ind w:leftChars="-50" w:left="-120"/>
                              <w:rPr>
                                <w:rFonts w:ascii="標楷體" w:eastAsia="標楷體" w:hAnsi="標楷體"/>
                                <w:sz w:val="18"/>
                              </w:rPr>
                            </w:pPr>
                            <w:r w:rsidRPr="001479CC">
                              <w:rPr>
                                <w:rFonts w:ascii="標楷體" w:eastAsia="標楷體" w:hAnsi="標楷體" w:hint="eastAsia"/>
                                <w:sz w:val="18"/>
                              </w:rPr>
                              <w:t>資料來源：整理自</w:t>
                            </w:r>
                            <w:r>
                              <w:rPr>
                                <w:rFonts w:ascii="標楷體" w:eastAsia="標楷體" w:hAnsi="標楷體" w:hint="eastAsia"/>
                                <w:sz w:val="18"/>
                              </w:rPr>
                              <w:t>經濟部</w:t>
                            </w:r>
                            <w:r w:rsidRPr="001479CC">
                              <w:rPr>
                                <w:rFonts w:ascii="標楷體" w:eastAsia="標楷體" w:hAnsi="標楷體" w:hint="eastAsia"/>
                                <w:sz w:val="18"/>
                              </w:rPr>
                              <w:t>能源署提供資料。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6FD023" id="_x0000_s1057" type="#_x0000_t202" style="position:absolute;left:0;text-align:left;margin-left:292.5pt;margin-top:442.65pt;width:243.8pt;height:123.3pt;z-index:251642880;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" strokecolor="window">
                <v:textbox>
                  <w:txbxContent>
                    <w:tbl>
                      <w:tblPr>
                        <w:tblStyle w:val="200"/>
                        <w:tblW w:w="0" w:type="auto"/>
                        <w:tblLook w:val="04A0" w:firstRow="1" w:lastRow="0" w:firstColumn="1" w:lastColumn="0" w:noHBand="0" w:noVBand="1"/>
                      </w:tblPr>
                      <w:tblGrid>
                        <w:gridCol w:w="906"/>
                        <w:gridCol w:w="2658"/>
                        <w:gridCol w:w="1124"/>
                      </w:tblGrid>
                      <w:tr w:rsidR="00A0212B" w:rsidRPr="00F62527" w14:paraId="7B7CBE2D" w14:textId="77777777" w:rsidTr="002314E4">
                        <w:tc>
                          <w:tcPr>
                            <w:tcW w:w="0" w:type="auto"/>
                            <w:gridSpan w:val="3"/>
                            <w:tcBorders>
                              <w:top w:val="nil"/>
                              <w:left w:val="nil"/>
                              <w:bottom w:val="nil"/>
                              <w:right w:val="nil"/>
                            </w:tcBorders>
                          </w:tcPr>
                          <w:p w14:paraId="48C2FD50" w14:textId="77777777" w:rsidR="00A0212B" w:rsidRPr="001479CC" w:rsidRDefault="00A0212B" w:rsidP="00E47A7D">
                            <w:pPr>
                              <w:tabs>
                                <w:tab w:val="left" w:pos="1560"/>
                              </w:tabs>
                              <w:kinsoku w:val="0"/>
                              <w:overflowPunct w:val="0"/>
                              <w:adjustRightInd w:val="0"/>
                              <w:snapToGrid w:val="0"/>
                              <w:spacing w:line="260" w:lineRule="exact"/>
                              <w:jc w:val="both"/>
                              <w:rPr>
                                <w:rFonts w:ascii="標楷體" w:eastAsia="標楷體" w:hAnsi="標楷體"/>
                                <w:b/>
                                <w:spacing w:val="-4"/>
                                <w:szCs w:val="24"/>
                              </w:rPr>
                            </w:pPr>
                            <w:r w:rsidRPr="00EB17B4">
                              <w:rPr>
                                <w:rFonts w:ascii="標楷體" w:eastAsia="標楷體" w:hAnsi="標楷體" w:hint="eastAsia"/>
                                <w:b/>
                                <w:color w:val="000000" w:themeColor="text1"/>
                                <w:spacing w:val="-4"/>
                                <w:szCs w:val="24"/>
                              </w:rPr>
                              <w:t>表</w:t>
                            </w:r>
                            <w:r>
                              <w:rPr>
                                <w:rFonts w:ascii="標楷體" w:eastAsia="標楷體" w:hAnsi="標楷體"/>
                                <w:b/>
                                <w:color w:val="000000" w:themeColor="text1"/>
                                <w:spacing w:val="-4"/>
                                <w:szCs w:val="24"/>
                              </w:rPr>
                              <w:t>18</w:t>
                            </w:r>
                            <w:r w:rsidRPr="001479CC">
                              <w:rPr>
                                <w:rFonts w:ascii="標楷體" w:eastAsia="標楷體" w:hAnsi="標楷體" w:hint="eastAsia"/>
                                <w:b/>
                                <w:spacing w:val="-4"/>
                                <w:szCs w:val="24"/>
                              </w:rPr>
                              <w:t xml:space="preserve">　太陽光電盤點至1</w:t>
                            </w:r>
                            <w:r w:rsidRPr="001479CC">
                              <w:rPr>
                                <w:rFonts w:ascii="標楷體" w:eastAsia="標楷體" w:hAnsi="標楷體"/>
                                <w:b/>
                                <w:spacing w:val="-4"/>
                                <w:szCs w:val="24"/>
                              </w:rPr>
                              <w:t>14</w:t>
                            </w:r>
                            <w:r w:rsidRPr="001479CC">
                              <w:rPr>
                                <w:rFonts w:ascii="標楷體" w:eastAsia="標楷體" w:hAnsi="標楷體" w:hint="eastAsia"/>
                                <w:b/>
                                <w:spacing w:val="-4"/>
                                <w:szCs w:val="24"/>
                              </w:rPr>
                              <w:t>年尚有缺額情形</w:t>
                            </w:r>
                          </w:p>
                        </w:tc>
                      </w:tr>
                      <w:tr w:rsidR="00A0212B" w:rsidRPr="00B578F9" w14:paraId="2C7A40D6" w14:textId="77777777" w:rsidTr="002314E4">
                        <w:tc>
                          <w:tcPr>
                            <w:tcW w:w="0" w:type="auto"/>
                            <w:gridSpan w:val="3"/>
                            <w:tcBorders>
                              <w:top w:val="nil"/>
                              <w:left w:val="nil"/>
                              <w:bottom w:val="single" w:sz="4" w:space="0" w:color="auto"/>
                              <w:right w:val="nil"/>
                            </w:tcBorders>
                          </w:tcPr>
                          <w:p w14:paraId="7B98B590"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單位：G</w:t>
                            </w:r>
                            <w:r w:rsidRPr="001479CC">
                              <w:rPr>
                                <w:rFonts w:ascii="標楷體" w:eastAsia="標楷體" w:hAnsi="標楷體"/>
                                <w:spacing w:val="-4"/>
                                <w:sz w:val="20"/>
                                <w:szCs w:val="20"/>
                              </w:rPr>
                              <w:t>W</w:t>
                            </w:r>
                          </w:p>
                        </w:tc>
                      </w:tr>
                      <w:tr w:rsidR="00A0212B" w:rsidRPr="00435627" w14:paraId="590059D2" w14:textId="77777777" w:rsidTr="002314E4">
                        <w:tc>
                          <w:tcPr>
                            <w:tcW w:w="0" w:type="auto"/>
                            <w:tcBorders>
                              <w:top w:val="single" w:sz="4" w:space="0" w:color="auto"/>
                            </w:tcBorders>
                            <w:shd w:val="clear" w:color="auto" w:fill="D9D9D9" w:themeFill="background1" w:themeFillShade="D9"/>
                          </w:tcPr>
                          <w:p w14:paraId="69161E64"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機關</w:t>
                            </w:r>
                          </w:p>
                        </w:tc>
                        <w:tc>
                          <w:tcPr>
                            <w:tcW w:w="0" w:type="auto"/>
                            <w:tcBorders>
                              <w:top w:val="single" w:sz="4" w:space="0" w:color="auto"/>
                            </w:tcBorders>
                            <w:shd w:val="clear" w:color="auto" w:fill="D9D9D9" w:themeFill="background1" w:themeFillShade="D9"/>
                          </w:tcPr>
                          <w:p w14:paraId="1098DB91"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專案名稱</w:t>
                            </w:r>
                          </w:p>
                        </w:tc>
                        <w:tc>
                          <w:tcPr>
                            <w:tcW w:w="0" w:type="auto"/>
                            <w:tcBorders>
                              <w:top w:val="single" w:sz="4" w:space="0" w:color="auto"/>
                            </w:tcBorders>
                            <w:shd w:val="clear" w:color="auto" w:fill="D9D9D9" w:themeFill="background1" w:themeFillShade="D9"/>
                          </w:tcPr>
                          <w:p w14:paraId="532BF91B"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缺額容量</w:t>
                            </w:r>
                          </w:p>
                        </w:tc>
                      </w:tr>
                      <w:tr w:rsidR="00A0212B" w:rsidRPr="00CD5422" w14:paraId="348B3EC3" w14:textId="77777777" w:rsidTr="002314E4">
                        <w:tc>
                          <w:tcPr>
                            <w:tcW w:w="0" w:type="auto"/>
                            <w:gridSpan w:val="2"/>
                            <w:vAlign w:val="center"/>
                          </w:tcPr>
                          <w:p w14:paraId="7D82C565"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b/>
                                <w:spacing w:val="-4"/>
                                <w:sz w:val="20"/>
                                <w:szCs w:val="20"/>
                              </w:rPr>
                            </w:pPr>
                            <w:r w:rsidRPr="001479CC">
                              <w:rPr>
                                <w:rFonts w:ascii="標楷體" w:eastAsia="標楷體" w:hAnsi="標楷體" w:hint="eastAsia"/>
                                <w:b/>
                                <w:spacing w:val="-4"/>
                                <w:sz w:val="20"/>
                                <w:szCs w:val="20"/>
                              </w:rPr>
                              <w:t>合　　計</w:t>
                            </w:r>
                          </w:p>
                        </w:tc>
                        <w:tc>
                          <w:tcPr>
                            <w:tcW w:w="0" w:type="auto"/>
                            <w:vAlign w:val="center"/>
                          </w:tcPr>
                          <w:p w14:paraId="1CDBBA6A"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b/>
                                <w:spacing w:val="-4"/>
                                <w:sz w:val="20"/>
                                <w:szCs w:val="20"/>
                              </w:rPr>
                            </w:pPr>
                            <w:r w:rsidRPr="001479CC">
                              <w:rPr>
                                <w:rFonts w:ascii="標楷體" w:eastAsia="標楷體" w:hAnsi="標楷體" w:hint="eastAsia"/>
                                <w:b/>
                                <w:spacing w:val="-4"/>
                                <w:sz w:val="20"/>
                                <w:szCs w:val="20"/>
                              </w:rPr>
                              <w:t>2</w:t>
                            </w:r>
                            <w:r w:rsidRPr="001479CC">
                              <w:rPr>
                                <w:rFonts w:ascii="標楷體" w:eastAsia="標楷體" w:hAnsi="標楷體"/>
                                <w:b/>
                                <w:spacing w:val="-4"/>
                                <w:sz w:val="20"/>
                                <w:szCs w:val="20"/>
                              </w:rPr>
                              <w:t>.43</w:t>
                            </w:r>
                          </w:p>
                        </w:tc>
                      </w:tr>
                      <w:tr w:rsidR="00A0212B" w:rsidRPr="00435627" w14:paraId="7F86179A" w14:textId="77777777" w:rsidTr="002314E4">
                        <w:tc>
                          <w:tcPr>
                            <w:tcW w:w="0" w:type="auto"/>
                            <w:vMerge w:val="restart"/>
                            <w:vAlign w:val="center"/>
                          </w:tcPr>
                          <w:p w14:paraId="5CF398E7"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農業部</w:t>
                            </w:r>
                          </w:p>
                        </w:tc>
                        <w:tc>
                          <w:tcPr>
                            <w:tcW w:w="0" w:type="auto"/>
                            <w:vAlign w:val="center"/>
                          </w:tcPr>
                          <w:p w14:paraId="083DBC80"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小　計</w:t>
                            </w:r>
                          </w:p>
                        </w:tc>
                        <w:tc>
                          <w:tcPr>
                            <w:tcW w:w="0" w:type="auto"/>
                            <w:vAlign w:val="center"/>
                          </w:tcPr>
                          <w:p w14:paraId="4375212A"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2</w:t>
                            </w:r>
                            <w:r w:rsidRPr="001479CC">
                              <w:rPr>
                                <w:rFonts w:ascii="標楷體" w:eastAsia="標楷體" w:hAnsi="標楷體"/>
                                <w:spacing w:val="-4"/>
                                <w:sz w:val="20"/>
                                <w:szCs w:val="20"/>
                              </w:rPr>
                              <w:t>.17</w:t>
                            </w:r>
                          </w:p>
                        </w:tc>
                      </w:tr>
                      <w:tr w:rsidR="00A0212B" w:rsidRPr="00435627" w14:paraId="18C5403C" w14:textId="77777777" w:rsidTr="002314E4">
                        <w:tc>
                          <w:tcPr>
                            <w:tcW w:w="0" w:type="auto"/>
                            <w:vMerge/>
                            <w:vAlign w:val="center"/>
                          </w:tcPr>
                          <w:p w14:paraId="56447CDC"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p>
                        </w:tc>
                        <w:tc>
                          <w:tcPr>
                            <w:tcW w:w="0" w:type="auto"/>
                            <w:vAlign w:val="center"/>
                          </w:tcPr>
                          <w:p w14:paraId="1C76DEF6" w14:textId="77777777" w:rsidR="00A0212B" w:rsidRPr="001479CC" w:rsidRDefault="00A0212B" w:rsidP="002314E4">
                            <w:pPr>
                              <w:tabs>
                                <w:tab w:val="left" w:pos="1560"/>
                              </w:tabs>
                              <w:kinsoku w:val="0"/>
                              <w:overflowPunct w:val="0"/>
                              <w:adjustRightInd w:val="0"/>
                              <w:snapToGrid w:val="0"/>
                              <w:spacing w:line="220" w:lineRule="exact"/>
                              <w:jc w:val="both"/>
                              <w:rPr>
                                <w:rFonts w:ascii="標楷體" w:eastAsia="標楷體" w:hAnsi="標楷體"/>
                                <w:spacing w:val="-4"/>
                                <w:sz w:val="20"/>
                                <w:szCs w:val="20"/>
                              </w:rPr>
                            </w:pPr>
                            <w:r w:rsidRPr="001479CC">
                              <w:rPr>
                                <w:rFonts w:ascii="標楷體" w:eastAsia="標楷體" w:hAnsi="標楷體" w:hint="eastAsia"/>
                                <w:spacing w:val="-4"/>
                                <w:sz w:val="20"/>
                                <w:szCs w:val="20"/>
                              </w:rPr>
                              <w:t>漁電共生</w:t>
                            </w:r>
                          </w:p>
                        </w:tc>
                        <w:tc>
                          <w:tcPr>
                            <w:tcW w:w="0" w:type="auto"/>
                            <w:vAlign w:val="center"/>
                          </w:tcPr>
                          <w:p w14:paraId="17545172"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1</w:t>
                            </w:r>
                            <w:r w:rsidRPr="001479CC">
                              <w:rPr>
                                <w:rFonts w:ascii="標楷體" w:eastAsia="標楷體" w:hAnsi="標楷體"/>
                                <w:spacing w:val="-4"/>
                                <w:sz w:val="20"/>
                                <w:szCs w:val="20"/>
                              </w:rPr>
                              <w:t>.37</w:t>
                            </w:r>
                          </w:p>
                        </w:tc>
                      </w:tr>
                      <w:tr w:rsidR="00A0212B" w:rsidRPr="00435627" w14:paraId="533822E9" w14:textId="77777777" w:rsidTr="002314E4">
                        <w:tc>
                          <w:tcPr>
                            <w:tcW w:w="0" w:type="auto"/>
                            <w:vMerge/>
                            <w:vAlign w:val="center"/>
                          </w:tcPr>
                          <w:p w14:paraId="623DEBA7"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p>
                        </w:tc>
                        <w:tc>
                          <w:tcPr>
                            <w:tcW w:w="0" w:type="auto"/>
                            <w:vAlign w:val="center"/>
                          </w:tcPr>
                          <w:p w14:paraId="7C8645CC" w14:textId="77777777" w:rsidR="00A0212B" w:rsidRPr="001479CC" w:rsidRDefault="00A0212B" w:rsidP="002314E4">
                            <w:pPr>
                              <w:tabs>
                                <w:tab w:val="left" w:pos="1560"/>
                              </w:tabs>
                              <w:kinsoku w:val="0"/>
                              <w:overflowPunct w:val="0"/>
                              <w:adjustRightInd w:val="0"/>
                              <w:snapToGrid w:val="0"/>
                              <w:spacing w:line="220" w:lineRule="exact"/>
                              <w:jc w:val="both"/>
                              <w:rPr>
                                <w:rFonts w:ascii="標楷體" w:eastAsia="標楷體" w:hAnsi="標楷體"/>
                                <w:spacing w:val="-4"/>
                                <w:sz w:val="20"/>
                                <w:szCs w:val="20"/>
                              </w:rPr>
                            </w:pPr>
                            <w:r w:rsidRPr="001479CC">
                              <w:rPr>
                                <w:rFonts w:ascii="標楷體" w:eastAsia="標楷體" w:hAnsi="標楷體" w:hint="eastAsia"/>
                                <w:spacing w:val="-4"/>
                                <w:sz w:val="20"/>
                                <w:szCs w:val="20"/>
                              </w:rPr>
                              <w:t>低地力農地</w:t>
                            </w:r>
                          </w:p>
                        </w:tc>
                        <w:tc>
                          <w:tcPr>
                            <w:tcW w:w="0" w:type="auto"/>
                            <w:vAlign w:val="center"/>
                          </w:tcPr>
                          <w:p w14:paraId="4630A509"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0</w:t>
                            </w:r>
                            <w:r w:rsidRPr="001479CC">
                              <w:rPr>
                                <w:rFonts w:ascii="標楷體" w:eastAsia="標楷體" w:hAnsi="標楷體"/>
                                <w:spacing w:val="-4"/>
                                <w:sz w:val="20"/>
                                <w:szCs w:val="20"/>
                              </w:rPr>
                              <w:t>.59</w:t>
                            </w:r>
                          </w:p>
                        </w:tc>
                      </w:tr>
                      <w:tr w:rsidR="00A0212B" w:rsidRPr="00435627" w14:paraId="6F2397A7" w14:textId="77777777" w:rsidTr="002314E4">
                        <w:tc>
                          <w:tcPr>
                            <w:tcW w:w="0" w:type="auto"/>
                            <w:vMerge/>
                            <w:vAlign w:val="center"/>
                          </w:tcPr>
                          <w:p w14:paraId="2BA019EA"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p>
                        </w:tc>
                        <w:tc>
                          <w:tcPr>
                            <w:tcW w:w="0" w:type="auto"/>
                            <w:vAlign w:val="center"/>
                          </w:tcPr>
                          <w:p w14:paraId="380EF49C" w14:textId="77777777" w:rsidR="00A0212B" w:rsidRPr="001479CC" w:rsidRDefault="00A0212B" w:rsidP="002314E4">
                            <w:pPr>
                              <w:tabs>
                                <w:tab w:val="left" w:pos="1560"/>
                              </w:tabs>
                              <w:kinsoku w:val="0"/>
                              <w:overflowPunct w:val="0"/>
                              <w:adjustRightInd w:val="0"/>
                              <w:snapToGrid w:val="0"/>
                              <w:spacing w:line="220" w:lineRule="exact"/>
                              <w:jc w:val="both"/>
                              <w:rPr>
                                <w:rFonts w:ascii="標楷體" w:eastAsia="標楷體" w:hAnsi="標楷體"/>
                                <w:spacing w:val="-4"/>
                                <w:sz w:val="20"/>
                                <w:szCs w:val="20"/>
                              </w:rPr>
                            </w:pPr>
                            <w:r w:rsidRPr="001479CC">
                              <w:rPr>
                                <w:rFonts w:ascii="標楷體" w:eastAsia="標楷體" w:hAnsi="標楷體" w:hint="eastAsia"/>
                                <w:spacing w:val="-4"/>
                                <w:sz w:val="20"/>
                                <w:szCs w:val="20"/>
                              </w:rPr>
                              <w:t>埤塘圳路</w:t>
                            </w:r>
                          </w:p>
                        </w:tc>
                        <w:tc>
                          <w:tcPr>
                            <w:tcW w:w="0" w:type="auto"/>
                            <w:vAlign w:val="center"/>
                          </w:tcPr>
                          <w:p w14:paraId="30CACCE7"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hint="eastAsia"/>
                                <w:spacing w:val="-4"/>
                                <w:sz w:val="20"/>
                                <w:szCs w:val="20"/>
                              </w:rPr>
                              <w:t>0</w:t>
                            </w:r>
                            <w:r w:rsidRPr="001479CC">
                              <w:rPr>
                                <w:rFonts w:ascii="標楷體" w:eastAsia="標楷體" w:hAnsi="標楷體"/>
                                <w:spacing w:val="-4"/>
                                <w:sz w:val="20"/>
                                <w:szCs w:val="20"/>
                              </w:rPr>
                              <w:t>.21</w:t>
                            </w:r>
                          </w:p>
                        </w:tc>
                      </w:tr>
                      <w:tr w:rsidR="00A0212B" w:rsidRPr="00435627" w14:paraId="6B4B910C" w14:textId="77777777" w:rsidTr="002314E4">
                        <w:tc>
                          <w:tcPr>
                            <w:tcW w:w="0" w:type="auto"/>
                            <w:vAlign w:val="center"/>
                          </w:tcPr>
                          <w:p w14:paraId="437DC46C" w14:textId="77777777" w:rsidR="00A0212B" w:rsidRPr="001479CC" w:rsidRDefault="00A0212B" w:rsidP="002314E4">
                            <w:pPr>
                              <w:tabs>
                                <w:tab w:val="left" w:pos="1560"/>
                              </w:tabs>
                              <w:kinsoku w:val="0"/>
                              <w:overflowPunct w:val="0"/>
                              <w:adjustRightInd w:val="0"/>
                              <w:snapToGrid w:val="0"/>
                              <w:spacing w:line="220" w:lineRule="exact"/>
                              <w:jc w:val="center"/>
                              <w:rPr>
                                <w:rFonts w:ascii="標楷體" w:eastAsia="標楷體" w:hAnsi="標楷體"/>
                                <w:spacing w:val="-4"/>
                                <w:sz w:val="20"/>
                                <w:szCs w:val="20"/>
                              </w:rPr>
                            </w:pPr>
                            <w:r w:rsidRPr="001479CC">
                              <w:rPr>
                                <w:rFonts w:ascii="標楷體" w:eastAsia="標楷體" w:hAnsi="標楷體" w:hint="eastAsia"/>
                                <w:spacing w:val="-4"/>
                                <w:sz w:val="20"/>
                                <w:szCs w:val="20"/>
                              </w:rPr>
                              <w:t>環境部</w:t>
                            </w:r>
                          </w:p>
                        </w:tc>
                        <w:tc>
                          <w:tcPr>
                            <w:tcW w:w="0" w:type="auto"/>
                            <w:vAlign w:val="center"/>
                          </w:tcPr>
                          <w:p w14:paraId="4AE54CA8" w14:textId="05EB4AD6" w:rsidR="00A0212B" w:rsidRPr="001479CC" w:rsidRDefault="00A0212B">
                            <w:pPr>
                              <w:tabs>
                                <w:tab w:val="left" w:pos="1560"/>
                              </w:tabs>
                              <w:kinsoku w:val="0"/>
                              <w:overflowPunct w:val="0"/>
                              <w:adjustRightInd w:val="0"/>
                              <w:snapToGrid w:val="0"/>
                              <w:spacing w:line="220" w:lineRule="exact"/>
                              <w:jc w:val="both"/>
                              <w:rPr>
                                <w:rFonts w:ascii="標楷體" w:eastAsia="標楷體" w:hAnsi="標楷體"/>
                                <w:spacing w:val="-4"/>
                                <w:sz w:val="20"/>
                                <w:szCs w:val="20"/>
                              </w:rPr>
                            </w:pPr>
                            <w:r w:rsidRPr="001479CC">
                              <w:rPr>
                                <w:rFonts w:ascii="標楷體" w:eastAsia="標楷體" w:hAnsi="標楷體" w:hint="eastAsia"/>
                                <w:spacing w:val="-4"/>
                                <w:sz w:val="20"/>
                                <w:szCs w:val="20"/>
                              </w:rPr>
                              <w:t>整治中</w:t>
                            </w:r>
                            <w:r>
                              <w:rPr>
                                <w:rFonts w:ascii="標楷體" w:eastAsia="標楷體" w:hAnsi="標楷體" w:hint="eastAsia"/>
                                <w:spacing w:val="-4"/>
                                <w:sz w:val="20"/>
                                <w:szCs w:val="20"/>
                              </w:rPr>
                              <w:t>污</w:t>
                            </w:r>
                            <w:r w:rsidRPr="001479CC">
                              <w:rPr>
                                <w:rFonts w:ascii="標楷體" w:eastAsia="標楷體" w:hAnsi="標楷體" w:hint="eastAsia"/>
                                <w:spacing w:val="-4"/>
                                <w:sz w:val="20"/>
                                <w:szCs w:val="20"/>
                              </w:rPr>
                              <w:t>染土地、掩埋場</w:t>
                            </w:r>
                          </w:p>
                        </w:tc>
                        <w:tc>
                          <w:tcPr>
                            <w:tcW w:w="0" w:type="auto"/>
                            <w:vAlign w:val="center"/>
                          </w:tcPr>
                          <w:p w14:paraId="59BAB8AC" w14:textId="77777777" w:rsidR="00A0212B" w:rsidRPr="001479CC" w:rsidRDefault="00A0212B" w:rsidP="002314E4">
                            <w:pPr>
                              <w:tabs>
                                <w:tab w:val="left" w:pos="1560"/>
                              </w:tabs>
                              <w:kinsoku w:val="0"/>
                              <w:overflowPunct w:val="0"/>
                              <w:adjustRightInd w:val="0"/>
                              <w:snapToGrid w:val="0"/>
                              <w:spacing w:line="220" w:lineRule="exact"/>
                              <w:jc w:val="right"/>
                              <w:rPr>
                                <w:rFonts w:ascii="標楷體" w:eastAsia="標楷體" w:hAnsi="標楷體"/>
                                <w:spacing w:val="-4"/>
                                <w:sz w:val="20"/>
                                <w:szCs w:val="20"/>
                              </w:rPr>
                            </w:pPr>
                            <w:r w:rsidRPr="001479CC">
                              <w:rPr>
                                <w:rFonts w:ascii="標楷體" w:eastAsia="標楷體" w:hAnsi="標楷體"/>
                                <w:spacing w:val="-4"/>
                                <w:sz w:val="20"/>
                                <w:szCs w:val="20"/>
                              </w:rPr>
                              <w:t>0.26</w:t>
                            </w:r>
                          </w:p>
                        </w:tc>
                      </w:tr>
                    </w:tbl>
                    <w:p w14:paraId="4D086F25" w14:textId="77777777" w:rsidR="00A0212B" w:rsidRPr="001479CC" w:rsidRDefault="00A0212B" w:rsidP="008A76F0">
                      <w:pPr>
                        <w:spacing w:line="200" w:lineRule="exact"/>
                        <w:ind w:leftChars="-50" w:left="-120"/>
                        <w:rPr>
                          <w:rFonts w:ascii="標楷體" w:eastAsia="標楷體" w:hAnsi="標楷體"/>
                          <w:sz w:val="18"/>
                        </w:rPr>
                      </w:pPr>
                      <w:r w:rsidRPr="001479CC">
                        <w:rPr>
                          <w:rFonts w:ascii="標楷體" w:eastAsia="標楷體" w:hAnsi="標楷體" w:hint="eastAsia"/>
                          <w:sz w:val="18"/>
                        </w:rPr>
                        <w:t>資料來源：整理自</w:t>
                      </w:r>
                      <w:r>
                        <w:rPr>
                          <w:rFonts w:ascii="標楷體" w:eastAsia="標楷體" w:hAnsi="標楷體" w:hint="eastAsia"/>
                          <w:sz w:val="18"/>
                        </w:rPr>
                        <w:t>經濟部</w:t>
                      </w:r>
                      <w:r w:rsidRPr="001479CC">
                        <w:rPr>
                          <w:rFonts w:ascii="標楷體" w:eastAsia="標楷體" w:hAnsi="標楷體" w:hint="eastAsia"/>
                          <w:sz w:val="18"/>
                        </w:rPr>
                        <w:t>能源署提供資料。</w:t>
                      </w:r>
                    </w:p>
                  </w:txbxContent>
                </v:textbox>
                <w10:wrap type="square" anchorx="page" anchory="page"/>
              </v:shape>
            </w:pict>
          </mc:Fallback>
        </mc:AlternateContent>
      </w:r>
      <w:r w:rsidR="008A76F0" w:rsidRPr="008A76F0">
        <w:rPr>
          <w:rFonts w:ascii="標楷體" w:eastAsia="標楷體" w:hAnsi="標楷體" w:cstheme="minorBidi" w:hint="eastAsia"/>
          <w:b/>
          <w:szCs w:val="22"/>
        </w:rPr>
        <w:t>2</w:t>
      </w:r>
      <w:r w:rsidR="008A76F0" w:rsidRPr="008A76F0">
        <w:rPr>
          <w:rFonts w:ascii="標楷體" w:eastAsia="標楷體" w:hAnsi="標楷體" w:cstheme="minorBidi"/>
          <w:b/>
          <w:szCs w:val="22"/>
        </w:rPr>
        <w:t>.</w:t>
      </w:r>
      <w:r w:rsidR="008A76F0" w:rsidRPr="008A76F0">
        <w:rPr>
          <w:rFonts w:asciiTheme="minorHAnsi" w:eastAsiaTheme="minorEastAsia" w:hAnsiTheme="minorHAnsi" w:cstheme="minorBidi" w:hint="eastAsia"/>
          <w:szCs w:val="22"/>
        </w:rPr>
        <w:t xml:space="preserve">　</w:t>
      </w:r>
      <w:r w:rsidR="008A76F0" w:rsidRPr="008A76F0">
        <w:rPr>
          <w:rFonts w:ascii="標楷體" w:eastAsia="標楷體" w:hAnsi="標楷體" w:cstheme="minorBidi" w:hint="eastAsia"/>
          <w:b/>
          <w:szCs w:val="22"/>
        </w:rPr>
        <w:t>列管須於2</w:t>
      </w:r>
      <w:r w:rsidR="008A76F0" w:rsidRPr="008A76F0">
        <w:rPr>
          <w:rFonts w:ascii="標楷體" w:eastAsia="標楷體" w:hAnsi="標楷體" w:cstheme="minorBidi"/>
          <w:b/>
          <w:szCs w:val="22"/>
        </w:rPr>
        <w:t>025</w:t>
      </w:r>
      <w:r w:rsidR="008A76F0" w:rsidRPr="008A76F0">
        <w:rPr>
          <w:rFonts w:ascii="標楷體" w:eastAsia="標楷體" w:hAnsi="標楷體" w:cstheme="minorBidi" w:hint="eastAsia"/>
          <w:b/>
          <w:szCs w:val="22"/>
        </w:rPr>
        <w:t>年底完成之太陽光電案件，仍短缺推動案源，又中長期太陽光電推動策略之盤點方法、指導方針、技術研發及法制作業等尚未完備，恐影響設置目標之達成：</w:t>
      </w:r>
      <w:r w:rsidR="008A76F0" w:rsidRPr="008A76F0">
        <w:rPr>
          <w:rFonts w:ascii="標楷體" w:eastAsia="標楷體" w:hAnsi="標楷體" w:cstheme="minorBidi" w:hint="eastAsia"/>
          <w:spacing w:val="-2"/>
          <w:szCs w:val="22"/>
        </w:rPr>
        <w:t>政府規劃2050年淨零排放路徑，其中太陽光電規劃目標累計裝置容量分別為2025年20GW、2030年31GW及2050年40至80GW，惟大量建置太陽光電設備將與原有土地使用產生競合，爰政府須盤點空間設置潛能，並跨部會溝通確認適宜推動區位。經查各部會盤點至</w:t>
      </w:r>
      <w:r w:rsidR="008A76F0" w:rsidRPr="008A76F0">
        <w:rPr>
          <w:rFonts w:ascii="標楷體" w:eastAsia="標楷體" w:hAnsi="標楷體" w:cstheme="minorBidi"/>
          <w:spacing w:val="-2"/>
          <w:szCs w:val="22"/>
        </w:rPr>
        <w:t>2025</w:t>
      </w:r>
      <w:r w:rsidR="008A76F0" w:rsidRPr="008A76F0">
        <w:rPr>
          <w:rFonts w:ascii="標楷體" w:eastAsia="標楷體" w:hAnsi="標楷體" w:cstheme="minorBidi" w:hint="eastAsia"/>
          <w:spacing w:val="-2"/>
          <w:szCs w:val="22"/>
        </w:rPr>
        <w:t>年已掌握案源，其中低地力、林相不佳等農地變更案件</w:t>
      </w:r>
      <w:r w:rsidR="00D55497">
        <w:rPr>
          <w:rFonts w:ascii="標楷體" w:eastAsia="標楷體" w:hAnsi="標楷體" w:cstheme="minorBidi" w:hint="eastAsia"/>
          <w:spacing w:val="-2"/>
          <w:szCs w:val="22"/>
        </w:rPr>
        <w:t>截至2024年2月底止，已</w:t>
      </w:r>
      <w:r w:rsidR="008A76F0" w:rsidRPr="008A76F0">
        <w:rPr>
          <w:rFonts w:ascii="標楷體" w:eastAsia="標楷體" w:hAnsi="標楷體" w:cstheme="minorBidi" w:hint="eastAsia"/>
          <w:spacing w:val="-2"/>
          <w:szCs w:val="22"/>
        </w:rPr>
        <w:t>提出申請者計15件（裝置容量0.86GW</w:t>
      </w:r>
      <w:r w:rsidR="008A76F0" w:rsidRPr="008A76F0">
        <w:rPr>
          <w:rFonts w:ascii="標楷體" w:eastAsia="標楷體" w:hAnsi="標楷體" w:cstheme="minorBidi"/>
          <w:spacing w:val="-2"/>
          <w:szCs w:val="22"/>
        </w:rPr>
        <w:t>）</w:t>
      </w:r>
      <w:r w:rsidR="008A76F0" w:rsidRPr="008A76F0">
        <w:rPr>
          <w:rFonts w:ascii="標楷體" w:eastAsia="標楷體" w:hAnsi="標楷體" w:cstheme="minorBidi" w:hint="eastAsia"/>
          <w:spacing w:val="-2"/>
          <w:szCs w:val="22"/>
        </w:rPr>
        <w:t>，惟農業部、地方政府平均審查時間達6個月、12.9個月；未提出申請者計13件（0.85GW</w:t>
      </w:r>
      <w:r w:rsidR="008A76F0" w:rsidRPr="008A76F0">
        <w:rPr>
          <w:rFonts w:ascii="標楷體" w:eastAsia="標楷體" w:hAnsi="標楷體" w:cstheme="minorBidi"/>
          <w:spacing w:val="-2"/>
          <w:szCs w:val="22"/>
        </w:rPr>
        <w:t>）</w:t>
      </w:r>
      <w:r w:rsidR="008A76F0" w:rsidRPr="008A76F0">
        <w:rPr>
          <w:rFonts w:ascii="標楷體" w:eastAsia="標楷體" w:hAnsi="標楷體" w:cstheme="minorBidi" w:hint="eastAsia"/>
          <w:spacing w:val="-2"/>
          <w:szCs w:val="22"/>
        </w:rPr>
        <w:t>，雖均屬</w:t>
      </w:r>
      <w:r w:rsidR="008A76F0" w:rsidRPr="008A76F0">
        <w:rPr>
          <w:rFonts w:ascii="標楷體" w:eastAsia="標楷體" w:hAnsi="標楷體" w:cstheme="minorBidi"/>
          <w:spacing w:val="-2"/>
          <w:szCs w:val="22"/>
        </w:rPr>
        <w:t>2025</w:t>
      </w:r>
      <w:r w:rsidR="008A76F0" w:rsidRPr="008A76F0">
        <w:rPr>
          <w:rFonts w:ascii="標楷體" w:eastAsia="標楷體" w:hAnsi="標楷體" w:cstheme="minorBidi" w:hint="eastAsia"/>
          <w:spacing w:val="-2"/>
          <w:szCs w:val="22"/>
        </w:rPr>
        <w:t>年列管案件，惟考量農業部與地方政府審查時間、案場施工期間等因素，恐難於</w:t>
      </w:r>
      <w:r w:rsidR="008A76F0" w:rsidRPr="008A76F0">
        <w:rPr>
          <w:rFonts w:ascii="標楷體" w:eastAsia="標楷體" w:hAnsi="標楷體" w:cstheme="minorBidi"/>
          <w:spacing w:val="-2"/>
          <w:szCs w:val="22"/>
        </w:rPr>
        <w:t>2025</w:t>
      </w:r>
      <w:r w:rsidR="008A76F0" w:rsidRPr="008A76F0">
        <w:rPr>
          <w:rFonts w:ascii="標楷體" w:eastAsia="標楷體" w:hAnsi="標楷體" w:cstheme="minorBidi" w:hint="eastAsia"/>
          <w:spacing w:val="-2"/>
          <w:szCs w:val="22"/>
        </w:rPr>
        <w:t>年完工併網發電；另農業部及環境部主導之低地力農地及掩埋場等5項專案，尚存有2.43GW（</w:t>
      </w:r>
      <w:r w:rsidR="008A76F0" w:rsidRPr="006678C5">
        <w:rPr>
          <w:rFonts w:ascii="標楷體" w:eastAsia="標楷體" w:hAnsi="標楷體" w:cstheme="minorBidi" w:hint="eastAsia"/>
          <w:spacing w:val="-2"/>
          <w:szCs w:val="22"/>
        </w:rPr>
        <w:t>表</w:t>
      </w:r>
      <w:r w:rsidR="008A76F0" w:rsidRPr="006678C5">
        <w:rPr>
          <w:rFonts w:ascii="標楷體" w:eastAsia="標楷體" w:hAnsi="標楷體" w:cstheme="minorBidi"/>
          <w:spacing w:val="-2"/>
          <w:szCs w:val="22"/>
        </w:rPr>
        <w:t>18</w:t>
      </w:r>
      <w:r w:rsidR="008A76F0" w:rsidRPr="008A76F0">
        <w:rPr>
          <w:rFonts w:ascii="標楷體" w:eastAsia="標楷體" w:hAnsi="標楷體" w:cstheme="minorBidi" w:hint="eastAsia"/>
          <w:spacing w:val="-2"/>
          <w:szCs w:val="22"/>
        </w:rPr>
        <w:t>）</w:t>
      </w:r>
      <w:r w:rsidR="008A76F0" w:rsidRPr="008A76F0">
        <w:rPr>
          <w:rFonts w:ascii="標楷體" w:eastAsia="標楷體" w:hAnsi="標楷體" w:cstheme="minorBidi" w:hint="eastAsia"/>
          <w:szCs w:val="22"/>
        </w:rPr>
        <w:t>缺額，不利達成</w:t>
      </w:r>
      <w:r w:rsidR="008A76F0" w:rsidRPr="008A76F0">
        <w:rPr>
          <w:rFonts w:ascii="標楷體" w:eastAsia="標楷體" w:hAnsi="標楷體" w:cstheme="minorBidi"/>
          <w:szCs w:val="22"/>
        </w:rPr>
        <w:t>2025</w:t>
      </w:r>
      <w:r w:rsidR="008A76F0" w:rsidRPr="008A76F0">
        <w:rPr>
          <w:rFonts w:ascii="標楷體" w:eastAsia="標楷體" w:hAnsi="標楷體" w:cstheme="minorBidi" w:hint="eastAsia"/>
          <w:szCs w:val="22"/>
        </w:rPr>
        <w:t>年設置目標。又太陽光電於2026至2030年間尚須增加11GW裝置容量，其中屋頂型部分，政府已修正再生能源發展條例，增加新建物設置太陽光電之義務，惟維護運轉義務等配套措施尚未完備；至地面型部分，據經濟部能源署112年度「太陽光電設置環境建構與整合資源計畫」之執行報告載述，已盤點全臺適宜發展太陽光電之農業用地約有65.43萬公頃，惟分析過程未綜合考量農業主管機關相關政策，分布區位亦偏重於重要農業縣市，區域責任、總量管制等機制亦待研議，且政府過去推動農電共生政策曾發生假種田真種電、砍樹種電等爭議，引起社會輿論關注，顯示農業結合太陽光電之風險管理機制尚有不足。另政府為達成2050年太陽光電設置目標，考量臺灣為地狹人稠四面環海之地理環境，規劃透過業者示範擴大海上型光電設置，惟國內業者對高腐蝕環境建置系統經驗不足，且設置、施工及完工併聯等階段所涉法規逾30項，而現行法規尚有不足，亦未參照離岸風力與地熱發電等新型態能源，訂定示範獎勵措施及漁業補償基準等</w:t>
      </w:r>
      <w:r w:rsidR="008A76F0" w:rsidRPr="008A76F0">
        <w:rPr>
          <w:rFonts w:ascii="標楷體" w:eastAsia="標楷體" w:hAnsi="標楷體" w:cstheme="minorBidi" w:hint="eastAsia"/>
          <w:szCs w:val="22"/>
        </w:rPr>
        <w:lastRenderedPageBreak/>
        <w:t>規範，不利未來相關光電政策推動，</w:t>
      </w:r>
      <w:r w:rsidR="008A76F0" w:rsidRPr="008A76F0">
        <w:rPr>
          <w:rFonts w:ascii="標楷體" w:eastAsia="標楷體" w:hAnsi="標楷體" w:cstheme="minorBidi" w:hint="eastAsia"/>
          <w:szCs w:val="24"/>
        </w:rPr>
        <w:t>經</w:t>
      </w:r>
      <w:r w:rsidR="008A76F0" w:rsidRPr="004D7C92">
        <w:rPr>
          <w:rFonts w:ascii="標楷體" w:eastAsia="標楷體" w:hAnsi="標楷體" w:cstheme="minorBidi" w:hint="eastAsia"/>
          <w:szCs w:val="24"/>
        </w:rPr>
        <w:t>函</w:t>
      </w:r>
      <w:r w:rsidR="008A76F0" w:rsidRPr="008A76F0">
        <w:rPr>
          <w:rFonts w:ascii="標楷體" w:eastAsia="標楷體" w:hAnsi="標楷體" w:cstheme="minorBidi" w:hint="eastAsia"/>
          <w:szCs w:val="24"/>
        </w:rPr>
        <w:t>請行政院督促針對問題癥結研謀妥處。據復：</w:t>
      </w:r>
      <w:r w:rsidR="008A76F0" w:rsidRPr="004D7C92">
        <w:rPr>
          <w:rFonts w:ascii="標楷體" w:eastAsia="標楷體" w:hAnsi="標楷體" w:cstheme="minorBidi" w:hint="eastAsia"/>
          <w:szCs w:val="32"/>
        </w:rPr>
        <w:t>除持續跨部會溝通與盤點土地、加強饋線容量及簡化行政程序外，將擴大推動屋頂型光電，並配合國土計畫法盤點太陽光電適宜設置區位，確保環境與電源開發共存，另加速高效率太陽光電模組之研發和應用，提升能源轉換效率等，俾達成太陽光電設置目標。</w:t>
      </w:r>
    </w:p>
    <w:p w14:paraId="07BD5BBD" w14:textId="43A8AF8D" w:rsidR="008A76F0" w:rsidRPr="008A76F0" w:rsidRDefault="00351E4B">
      <w:pPr>
        <w:overflowPunct w:val="0"/>
        <w:spacing w:line="460" w:lineRule="exact"/>
        <w:ind w:firstLineChars="450" w:firstLine="1081"/>
        <w:jc w:val="both"/>
        <w:rPr>
          <w:rFonts w:asciiTheme="minorHAnsi" w:eastAsiaTheme="minorEastAsia" w:hAnsiTheme="minorHAnsi" w:cstheme="minorBidi"/>
          <w:szCs w:val="24"/>
        </w:rPr>
      </w:pPr>
      <w:r w:rsidRPr="00D55497">
        <w:rPr>
          <w:rFonts w:ascii="標楷體" w:eastAsia="標楷體" w:hAnsi="標楷體" w:cstheme="minorBidi"/>
          <w:b/>
          <w:noProof/>
          <w:szCs w:val="22"/>
        </w:rPr>
        <mc:AlternateContent>
          <mc:Choice Requires="wps">
            <w:drawing>
              <wp:anchor distT="45720" distB="45720" distL="114300" distR="114300" simplePos="0" relativeHeight="251641856" behindDoc="0" locked="0" layoutInCell="1" allowOverlap="1" wp14:anchorId="2DC7571B" wp14:editId="7FDCE326">
                <wp:simplePos x="0" y="0"/>
                <wp:positionH relativeFrom="page">
                  <wp:posOffset>672465</wp:posOffset>
                </wp:positionH>
                <wp:positionV relativeFrom="page">
                  <wp:posOffset>4231005</wp:posOffset>
                </wp:positionV>
                <wp:extent cx="6199200" cy="2221200"/>
                <wp:effectExtent l="0" t="0" r="0" b="8255"/>
                <wp:wrapSquare wrapText="bothSides"/>
                <wp:docPr id="4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9200" cy="2221200"/>
                        </a:xfrm>
                        <a:prstGeom prst="rect">
                          <a:avLst/>
                        </a:prstGeom>
                        <a:solidFill>
                          <a:srgbClr val="FFFFFF"/>
                        </a:solidFill>
                        <a:ln w="9525">
                          <a:noFill/>
                          <a:miter lim="800000"/>
                          <a:headEnd/>
                          <a:tailEnd/>
                        </a:ln>
                      </wps:spPr>
                      <wps:txbx>
                        <w:txbxContent>
                          <w:p w14:paraId="4F352333" w14:textId="77777777" w:rsidR="00A0212B" w:rsidRPr="00D8282A" w:rsidRDefault="00A0212B" w:rsidP="008A76F0">
                            <w:pPr>
                              <w:tabs>
                                <w:tab w:val="left" w:pos="1560"/>
                              </w:tabs>
                              <w:kinsoku w:val="0"/>
                              <w:overflowPunct w:val="0"/>
                              <w:adjustRightInd w:val="0"/>
                              <w:snapToGrid w:val="0"/>
                              <w:jc w:val="center"/>
                              <w:rPr>
                                <w:rFonts w:ascii="標楷體" w:eastAsia="標楷體" w:hAnsi="標楷體"/>
                                <w:b/>
                                <w:spacing w:val="-4"/>
                              </w:rPr>
                            </w:pPr>
                            <w:r w:rsidRPr="00EB17B4">
                              <w:rPr>
                                <w:rFonts w:ascii="標楷體" w:eastAsia="標楷體" w:hAnsi="標楷體" w:hint="eastAsia"/>
                                <w:b/>
                                <w:color w:val="000000" w:themeColor="text1"/>
                                <w:spacing w:val="-4"/>
                                <w:szCs w:val="24"/>
                              </w:rPr>
                              <w:t>表</w:t>
                            </w:r>
                            <w:r>
                              <w:rPr>
                                <w:rFonts w:ascii="標楷體" w:eastAsia="標楷體" w:hAnsi="標楷體"/>
                                <w:b/>
                                <w:color w:val="000000" w:themeColor="text1"/>
                                <w:spacing w:val="-4"/>
                                <w:szCs w:val="24"/>
                              </w:rPr>
                              <w:t>19</w:t>
                            </w:r>
                            <w:r w:rsidRPr="00D8282A">
                              <w:rPr>
                                <w:rFonts w:ascii="標楷體" w:eastAsia="標楷體" w:hAnsi="標楷體" w:hint="eastAsia"/>
                                <w:b/>
                                <w:spacing w:val="-4"/>
                              </w:rPr>
                              <w:t xml:space="preserve">　截至1</w:t>
                            </w:r>
                            <w:r w:rsidRPr="00D8282A">
                              <w:rPr>
                                <w:rFonts w:ascii="標楷體" w:eastAsia="標楷體" w:hAnsi="標楷體"/>
                                <w:b/>
                                <w:spacing w:val="-4"/>
                              </w:rPr>
                              <w:t>12</w:t>
                            </w:r>
                            <w:r w:rsidRPr="00D8282A">
                              <w:rPr>
                                <w:rFonts w:ascii="標楷體" w:eastAsia="標楷體" w:hAnsi="標楷體" w:hint="eastAsia"/>
                                <w:b/>
                                <w:spacing w:val="-4"/>
                              </w:rPr>
                              <w:t>年底漁電共生專案推動情形</w:t>
                            </w:r>
                          </w:p>
                          <w:p w14:paraId="44944B3F" w14:textId="77777777" w:rsidR="00A0212B" w:rsidRPr="00D8282A" w:rsidRDefault="00A0212B" w:rsidP="008A76F0">
                            <w:pPr>
                              <w:tabs>
                                <w:tab w:val="left" w:pos="1560"/>
                              </w:tabs>
                              <w:kinsoku w:val="0"/>
                              <w:overflowPunct w:val="0"/>
                              <w:adjustRightInd w:val="0"/>
                              <w:snapToGrid w:val="0"/>
                              <w:spacing w:line="220" w:lineRule="exact"/>
                              <w:ind w:firstLineChars="300" w:firstLine="576"/>
                              <w:jc w:val="right"/>
                              <w:rPr>
                                <w:rFonts w:ascii="標楷體" w:eastAsia="標楷體" w:hAnsi="標楷體"/>
                                <w:spacing w:val="-4"/>
                                <w:sz w:val="20"/>
                              </w:rPr>
                            </w:pPr>
                            <w:r w:rsidRPr="00D8282A">
                              <w:rPr>
                                <w:rFonts w:ascii="標楷體" w:eastAsia="標楷體" w:hAnsi="標楷體" w:hint="eastAsia"/>
                                <w:spacing w:val="-4"/>
                                <w:sz w:val="20"/>
                              </w:rPr>
                              <w:t>單位：公頃、％、M</w:t>
                            </w:r>
                            <w:r w:rsidRPr="00D8282A">
                              <w:rPr>
                                <w:rFonts w:ascii="標楷體" w:eastAsia="標楷體" w:hAnsi="標楷體"/>
                                <w:spacing w:val="-4"/>
                                <w:sz w:val="20"/>
                              </w:rPr>
                              <w:t>W</w:t>
                            </w:r>
                          </w:p>
                          <w:tbl>
                            <w:tblPr>
                              <w:tblW w:w="5000" w:type="pct"/>
                              <w:tblCellMar>
                                <w:left w:w="28" w:type="dxa"/>
                                <w:right w:w="28" w:type="dxa"/>
                              </w:tblCellMar>
                              <w:tblLook w:val="04A0" w:firstRow="1" w:lastRow="0" w:firstColumn="1" w:lastColumn="0" w:noHBand="0" w:noVBand="1"/>
                            </w:tblPr>
                            <w:tblGrid>
                              <w:gridCol w:w="838"/>
                              <w:gridCol w:w="997"/>
                              <w:gridCol w:w="869"/>
                              <w:gridCol w:w="966"/>
                              <w:gridCol w:w="839"/>
                              <w:gridCol w:w="837"/>
                              <w:gridCol w:w="709"/>
                              <w:gridCol w:w="966"/>
                              <w:gridCol w:w="709"/>
                              <w:gridCol w:w="709"/>
                              <w:gridCol w:w="1092"/>
                            </w:tblGrid>
                            <w:tr w:rsidR="00A0212B" w:rsidRPr="00D8282A" w14:paraId="79025A2F" w14:textId="77777777" w:rsidTr="002314E4">
                              <w:tc>
                                <w:tcPr>
                                  <w:tcW w:w="439"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8178310"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市縣</w:t>
                                  </w:r>
                                </w:p>
                              </w:tc>
                              <w:tc>
                                <w:tcPr>
                                  <w:tcW w:w="979" w:type="pct"/>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90BA1C1"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可優先推動區域</w:t>
                                  </w:r>
                                </w:p>
                              </w:tc>
                              <w:tc>
                                <w:tcPr>
                                  <w:tcW w:w="3582" w:type="pct"/>
                                  <w:gridSpan w:val="8"/>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E4931A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推動成果</w:t>
                                  </w:r>
                                </w:p>
                              </w:tc>
                            </w:tr>
                            <w:tr w:rsidR="00A0212B" w:rsidRPr="00D8282A" w14:paraId="7DF4E44D" w14:textId="77777777" w:rsidTr="002314E4">
                              <w:tc>
                                <w:tcPr>
                                  <w:tcW w:w="439"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4AB5B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978" w:type="pct"/>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29CBAD"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947"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1778D68"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合計</w:t>
                                  </w:r>
                                </w:p>
                              </w:tc>
                              <w:tc>
                                <w:tcPr>
                                  <w:tcW w:w="439"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278954A"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已併網</w:t>
                                  </w:r>
                                </w:p>
                              </w:tc>
                              <w:tc>
                                <w:tcPr>
                                  <w:tcW w:w="372"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7040ECC"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施工</w:t>
                                  </w:r>
                                </w:p>
                                <w:p w14:paraId="51B89CEC"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階段</w:t>
                                  </w:r>
                                </w:p>
                              </w:tc>
                              <w:tc>
                                <w:tcPr>
                                  <w:tcW w:w="1826" w:type="pct"/>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268EA6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行政程序階段</w:t>
                                  </w:r>
                                </w:p>
                              </w:tc>
                            </w:tr>
                            <w:tr w:rsidR="00A0212B" w:rsidRPr="00D8282A" w14:paraId="25DD5D5A" w14:textId="77777777" w:rsidTr="002314E4">
                              <w:tc>
                                <w:tcPr>
                                  <w:tcW w:w="439"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E76658"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523" w:type="pct"/>
                                  <w:tcBorders>
                                    <w:top w:val="nil"/>
                                    <w:left w:val="nil"/>
                                    <w:bottom w:val="single" w:sz="4" w:space="0" w:color="auto"/>
                                    <w:right w:val="single" w:sz="4" w:space="0" w:color="auto"/>
                                  </w:tcBorders>
                                  <w:shd w:val="clear" w:color="auto" w:fill="D9D9D9" w:themeFill="background1" w:themeFillShade="D9"/>
                                  <w:noWrap/>
                                  <w:vAlign w:val="center"/>
                                  <w:hideMark/>
                                </w:tcPr>
                                <w:p w14:paraId="664E07EC"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面積</w:t>
                                  </w:r>
                                </w:p>
                              </w:tc>
                              <w:tc>
                                <w:tcPr>
                                  <w:tcW w:w="455" w:type="pct"/>
                                  <w:tcBorders>
                                    <w:top w:val="nil"/>
                                    <w:left w:val="nil"/>
                                    <w:bottom w:val="single" w:sz="4" w:space="0" w:color="auto"/>
                                    <w:right w:val="single" w:sz="4" w:space="0" w:color="auto"/>
                                  </w:tcBorders>
                                  <w:shd w:val="clear" w:color="auto" w:fill="D9D9D9" w:themeFill="background1" w:themeFillShade="D9"/>
                                  <w:noWrap/>
                                  <w:vAlign w:val="center"/>
                                  <w:hideMark/>
                                </w:tcPr>
                                <w:p w14:paraId="5A92CD49"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占比</w:t>
                                  </w:r>
                                </w:p>
                              </w:tc>
                              <w:tc>
                                <w:tcPr>
                                  <w:tcW w:w="507" w:type="pct"/>
                                  <w:tcBorders>
                                    <w:top w:val="nil"/>
                                    <w:left w:val="nil"/>
                                    <w:bottom w:val="single" w:sz="4" w:space="0" w:color="auto"/>
                                    <w:right w:val="single" w:sz="4" w:space="0" w:color="auto"/>
                                  </w:tcBorders>
                                  <w:shd w:val="clear" w:color="auto" w:fill="D9D9D9" w:themeFill="background1" w:themeFillShade="D9"/>
                                  <w:noWrap/>
                                  <w:vAlign w:val="center"/>
                                  <w:hideMark/>
                                </w:tcPr>
                                <w:p w14:paraId="4CDA609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裝置</w:t>
                                  </w:r>
                                </w:p>
                                <w:p w14:paraId="70B7FFA7"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容量</w:t>
                                  </w:r>
                                </w:p>
                              </w:tc>
                              <w:tc>
                                <w:tcPr>
                                  <w:tcW w:w="440" w:type="pct"/>
                                  <w:tcBorders>
                                    <w:top w:val="nil"/>
                                    <w:left w:val="nil"/>
                                    <w:bottom w:val="single" w:sz="4" w:space="0" w:color="auto"/>
                                    <w:right w:val="single" w:sz="4" w:space="0" w:color="auto"/>
                                  </w:tcBorders>
                                  <w:shd w:val="clear" w:color="auto" w:fill="D9D9D9" w:themeFill="background1" w:themeFillShade="D9"/>
                                  <w:noWrap/>
                                  <w:vAlign w:val="center"/>
                                  <w:hideMark/>
                                </w:tcPr>
                                <w:p w14:paraId="5DD7AD77"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占比</w:t>
                                  </w:r>
                                </w:p>
                              </w:tc>
                              <w:tc>
                                <w:tcPr>
                                  <w:tcW w:w="439"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6269B8D"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372"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22A4A97"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507" w:type="pct"/>
                                  <w:tcBorders>
                                    <w:top w:val="nil"/>
                                    <w:left w:val="nil"/>
                                    <w:bottom w:val="single" w:sz="4" w:space="0" w:color="auto"/>
                                    <w:right w:val="single" w:sz="4" w:space="0" w:color="auto"/>
                                  </w:tcBorders>
                                  <w:shd w:val="clear" w:color="auto" w:fill="D9D9D9" w:themeFill="background1" w:themeFillShade="D9"/>
                                  <w:noWrap/>
                                  <w:vAlign w:val="center"/>
                                  <w:hideMark/>
                                </w:tcPr>
                                <w:p w14:paraId="2B7C389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小計</w:t>
                                  </w:r>
                                </w:p>
                              </w:tc>
                              <w:tc>
                                <w:tcPr>
                                  <w:tcW w:w="372" w:type="pct"/>
                                  <w:tcBorders>
                                    <w:top w:val="nil"/>
                                    <w:left w:val="nil"/>
                                    <w:bottom w:val="single" w:sz="4" w:space="0" w:color="auto"/>
                                    <w:right w:val="single" w:sz="4" w:space="0" w:color="auto"/>
                                  </w:tcBorders>
                                  <w:shd w:val="clear" w:color="auto" w:fill="D9D9D9" w:themeFill="background1" w:themeFillShade="D9"/>
                                  <w:noWrap/>
                                  <w:vAlign w:val="center"/>
                                  <w:hideMark/>
                                </w:tcPr>
                                <w:p w14:paraId="579368AC"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電業</w:t>
                                  </w:r>
                                </w:p>
                                <w:p w14:paraId="4D237656"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籌設</w:t>
                                  </w:r>
                                </w:p>
                              </w:tc>
                              <w:tc>
                                <w:tcPr>
                                  <w:tcW w:w="372" w:type="pct"/>
                                  <w:tcBorders>
                                    <w:top w:val="nil"/>
                                    <w:left w:val="nil"/>
                                    <w:bottom w:val="single" w:sz="4" w:space="0" w:color="auto"/>
                                    <w:right w:val="single" w:sz="4" w:space="0" w:color="auto"/>
                                  </w:tcBorders>
                                  <w:shd w:val="clear" w:color="auto" w:fill="D9D9D9" w:themeFill="background1" w:themeFillShade="D9"/>
                                  <w:noWrap/>
                                  <w:vAlign w:val="center"/>
                                  <w:hideMark/>
                                </w:tcPr>
                                <w:p w14:paraId="647F91A3"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農業</w:t>
                                  </w:r>
                                </w:p>
                                <w:p w14:paraId="0D031699"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容許</w:t>
                                  </w:r>
                                </w:p>
                              </w:tc>
                              <w:tc>
                                <w:tcPr>
                                  <w:tcW w:w="573" w:type="pct"/>
                                  <w:tcBorders>
                                    <w:top w:val="nil"/>
                                    <w:left w:val="nil"/>
                                    <w:bottom w:val="single" w:sz="4" w:space="0" w:color="auto"/>
                                    <w:right w:val="single" w:sz="4" w:space="0" w:color="auto"/>
                                  </w:tcBorders>
                                  <w:shd w:val="clear" w:color="auto" w:fill="D9D9D9" w:themeFill="background1" w:themeFillShade="D9"/>
                                  <w:noWrap/>
                                  <w:vAlign w:val="center"/>
                                  <w:hideMark/>
                                </w:tcPr>
                                <w:p w14:paraId="4A86B323"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建照與</w:t>
                                  </w:r>
                                </w:p>
                                <w:p w14:paraId="2C933177"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施工許可</w:t>
                                  </w:r>
                                </w:p>
                              </w:tc>
                            </w:tr>
                            <w:tr w:rsidR="00A0212B" w:rsidRPr="00D8282A" w14:paraId="019314D6"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3853053C" w14:textId="77777777" w:rsidR="00A0212B" w:rsidRPr="00D8282A" w:rsidRDefault="00A0212B" w:rsidP="002314E4">
                                  <w:pPr>
                                    <w:widowControl/>
                                    <w:spacing w:line="220" w:lineRule="exact"/>
                                    <w:jc w:val="center"/>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合計</w:t>
                                  </w:r>
                                </w:p>
                              </w:tc>
                              <w:tc>
                                <w:tcPr>
                                  <w:tcW w:w="523" w:type="pct"/>
                                  <w:tcBorders>
                                    <w:top w:val="nil"/>
                                    <w:left w:val="nil"/>
                                    <w:bottom w:val="single" w:sz="4" w:space="0" w:color="auto"/>
                                    <w:right w:val="single" w:sz="4" w:space="0" w:color="auto"/>
                                  </w:tcBorders>
                                  <w:shd w:val="clear" w:color="auto" w:fill="auto"/>
                                  <w:noWrap/>
                                  <w:vAlign w:val="center"/>
                                  <w:hideMark/>
                                </w:tcPr>
                                <w:p w14:paraId="63FCA9D5"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11,341</w:t>
                                  </w:r>
                                </w:p>
                              </w:tc>
                              <w:tc>
                                <w:tcPr>
                                  <w:tcW w:w="455" w:type="pct"/>
                                  <w:tcBorders>
                                    <w:top w:val="nil"/>
                                    <w:left w:val="nil"/>
                                    <w:bottom w:val="single" w:sz="4" w:space="0" w:color="auto"/>
                                    <w:right w:val="single" w:sz="4" w:space="0" w:color="auto"/>
                                  </w:tcBorders>
                                  <w:shd w:val="clear" w:color="auto" w:fill="auto"/>
                                  <w:noWrap/>
                                  <w:vAlign w:val="center"/>
                                  <w:hideMark/>
                                </w:tcPr>
                                <w:p w14:paraId="6F0C44D1"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100.00</w:t>
                                  </w:r>
                                </w:p>
                              </w:tc>
                              <w:tc>
                                <w:tcPr>
                                  <w:tcW w:w="507" w:type="pct"/>
                                  <w:tcBorders>
                                    <w:top w:val="nil"/>
                                    <w:left w:val="nil"/>
                                    <w:bottom w:val="single" w:sz="4" w:space="0" w:color="auto"/>
                                    <w:right w:val="single" w:sz="4" w:space="0" w:color="auto"/>
                                  </w:tcBorders>
                                  <w:shd w:val="clear" w:color="auto" w:fill="auto"/>
                                  <w:noWrap/>
                                  <w:vAlign w:val="center"/>
                                  <w:hideMark/>
                                </w:tcPr>
                                <w:p w14:paraId="44B8EA1B"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2,619.2</w:t>
                                  </w:r>
                                </w:p>
                              </w:tc>
                              <w:tc>
                                <w:tcPr>
                                  <w:tcW w:w="440" w:type="pct"/>
                                  <w:tcBorders>
                                    <w:top w:val="nil"/>
                                    <w:left w:val="nil"/>
                                    <w:bottom w:val="single" w:sz="4" w:space="0" w:color="auto"/>
                                    <w:right w:val="single" w:sz="4" w:space="0" w:color="auto"/>
                                  </w:tcBorders>
                                  <w:shd w:val="clear" w:color="auto" w:fill="auto"/>
                                  <w:noWrap/>
                                  <w:vAlign w:val="center"/>
                                  <w:hideMark/>
                                </w:tcPr>
                                <w:p w14:paraId="04F9E21B"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100.00</w:t>
                                  </w:r>
                                </w:p>
                              </w:tc>
                              <w:tc>
                                <w:tcPr>
                                  <w:tcW w:w="439" w:type="pct"/>
                                  <w:tcBorders>
                                    <w:top w:val="nil"/>
                                    <w:left w:val="nil"/>
                                    <w:bottom w:val="single" w:sz="4" w:space="0" w:color="auto"/>
                                    <w:right w:val="single" w:sz="4" w:space="0" w:color="auto"/>
                                  </w:tcBorders>
                                  <w:shd w:val="clear" w:color="auto" w:fill="auto"/>
                                  <w:noWrap/>
                                  <w:vAlign w:val="center"/>
                                  <w:hideMark/>
                                </w:tcPr>
                                <w:p w14:paraId="0163E68D"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637.7</w:t>
                                  </w:r>
                                </w:p>
                              </w:tc>
                              <w:tc>
                                <w:tcPr>
                                  <w:tcW w:w="372" w:type="pct"/>
                                  <w:tcBorders>
                                    <w:top w:val="nil"/>
                                    <w:left w:val="nil"/>
                                    <w:bottom w:val="single" w:sz="4" w:space="0" w:color="auto"/>
                                    <w:right w:val="single" w:sz="4" w:space="0" w:color="auto"/>
                                  </w:tcBorders>
                                  <w:shd w:val="clear" w:color="auto" w:fill="auto"/>
                                  <w:noWrap/>
                                  <w:vAlign w:val="center"/>
                                  <w:hideMark/>
                                </w:tcPr>
                                <w:p w14:paraId="7090604C"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569.6</w:t>
                                  </w:r>
                                </w:p>
                              </w:tc>
                              <w:tc>
                                <w:tcPr>
                                  <w:tcW w:w="507" w:type="pct"/>
                                  <w:tcBorders>
                                    <w:top w:val="nil"/>
                                    <w:left w:val="nil"/>
                                    <w:bottom w:val="single" w:sz="4" w:space="0" w:color="auto"/>
                                    <w:right w:val="single" w:sz="4" w:space="0" w:color="auto"/>
                                  </w:tcBorders>
                                  <w:shd w:val="clear" w:color="auto" w:fill="auto"/>
                                  <w:noWrap/>
                                  <w:vAlign w:val="center"/>
                                  <w:hideMark/>
                                </w:tcPr>
                                <w:p w14:paraId="6DCB42D6"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1,411.9</w:t>
                                  </w:r>
                                </w:p>
                              </w:tc>
                              <w:tc>
                                <w:tcPr>
                                  <w:tcW w:w="372" w:type="pct"/>
                                  <w:tcBorders>
                                    <w:top w:val="nil"/>
                                    <w:left w:val="nil"/>
                                    <w:bottom w:val="single" w:sz="4" w:space="0" w:color="auto"/>
                                    <w:right w:val="single" w:sz="4" w:space="0" w:color="auto"/>
                                  </w:tcBorders>
                                  <w:shd w:val="clear" w:color="auto" w:fill="auto"/>
                                  <w:noWrap/>
                                  <w:vAlign w:val="center"/>
                                  <w:hideMark/>
                                </w:tcPr>
                                <w:p w14:paraId="29D00175"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640.9</w:t>
                                  </w:r>
                                </w:p>
                              </w:tc>
                              <w:tc>
                                <w:tcPr>
                                  <w:tcW w:w="372" w:type="pct"/>
                                  <w:tcBorders>
                                    <w:top w:val="nil"/>
                                    <w:left w:val="nil"/>
                                    <w:bottom w:val="single" w:sz="4" w:space="0" w:color="auto"/>
                                    <w:right w:val="single" w:sz="4" w:space="0" w:color="auto"/>
                                  </w:tcBorders>
                                  <w:shd w:val="clear" w:color="auto" w:fill="auto"/>
                                  <w:noWrap/>
                                  <w:vAlign w:val="center"/>
                                  <w:hideMark/>
                                </w:tcPr>
                                <w:p w14:paraId="2BD4A6C5"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669.6</w:t>
                                  </w:r>
                                </w:p>
                              </w:tc>
                              <w:tc>
                                <w:tcPr>
                                  <w:tcW w:w="573" w:type="pct"/>
                                  <w:tcBorders>
                                    <w:top w:val="nil"/>
                                    <w:left w:val="nil"/>
                                    <w:bottom w:val="single" w:sz="4" w:space="0" w:color="auto"/>
                                    <w:right w:val="single" w:sz="4" w:space="0" w:color="auto"/>
                                  </w:tcBorders>
                                  <w:shd w:val="clear" w:color="auto" w:fill="auto"/>
                                  <w:noWrap/>
                                  <w:vAlign w:val="center"/>
                                  <w:hideMark/>
                                </w:tcPr>
                                <w:p w14:paraId="180E8F10"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101.4</w:t>
                                  </w:r>
                                </w:p>
                              </w:tc>
                            </w:tr>
                            <w:tr w:rsidR="00A0212B" w:rsidRPr="00D8282A" w14:paraId="71AEC536"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0292F5D1"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高雄市</w:t>
                                  </w:r>
                                </w:p>
                              </w:tc>
                              <w:tc>
                                <w:tcPr>
                                  <w:tcW w:w="523" w:type="pct"/>
                                  <w:tcBorders>
                                    <w:top w:val="nil"/>
                                    <w:left w:val="nil"/>
                                    <w:bottom w:val="single" w:sz="4" w:space="0" w:color="auto"/>
                                    <w:right w:val="single" w:sz="4" w:space="0" w:color="auto"/>
                                  </w:tcBorders>
                                  <w:shd w:val="clear" w:color="auto" w:fill="auto"/>
                                  <w:noWrap/>
                                  <w:vAlign w:val="center"/>
                                  <w:hideMark/>
                                </w:tcPr>
                                <w:p w14:paraId="5AECFC83"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2,923</w:t>
                                  </w:r>
                                </w:p>
                              </w:tc>
                              <w:tc>
                                <w:tcPr>
                                  <w:tcW w:w="455" w:type="pct"/>
                                  <w:tcBorders>
                                    <w:top w:val="nil"/>
                                    <w:left w:val="nil"/>
                                    <w:bottom w:val="single" w:sz="4" w:space="0" w:color="auto"/>
                                    <w:right w:val="single" w:sz="4" w:space="0" w:color="auto"/>
                                  </w:tcBorders>
                                  <w:shd w:val="clear" w:color="auto" w:fill="auto"/>
                                  <w:noWrap/>
                                  <w:vAlign w:val="center"/>
                                  <w:hideMark/>
                                </w:tcPr>
                                <w:p w14:paraId="50A00BA9"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25.77</w:t>
                                  </w:r>
                                </w:p>
                              </w:tc>
                              <w:tc>
                                <w:tcPr>
                                  <w:tcW w:w="507" w:type="pct"/>
                                  <w:tcBorders>
                                    <w:top w:val="nil"/>
                                    <w:left w:val="nil"/>
                                    <w:bottom w:val="single" w:sz="4" w:space="0" w:color="auto"/>
                                    <w:right w:val="single" w:sz="4" w:space="0" w:color="auto"/>
                                  </w:tcBorders>
                                  <w:shd w:val="clear" w:color="auto" w:fill="auto"/>
                                  <w:noWrap/>
                                  <w:vAlign w:val="center"/>
                                  <w:hideMark/>
                                </w:tcPr>
                                <w:p w14:paraId="26EC2A5D"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249.1</w:t>
                                  </w:r>
                                </w:p>
                              </w:tc>
                              <w:tc>
                                <w:tcPr>
                                  <w:tcW w:w="440" w:type="pct"/>
                                  <w:tcBorders>
                                    <w:top w:val="nil"/>
                                    <w:left w:val="nil"/>
                                    <w:bottom w:val="single" w:sz="4" w:space="0" w:color="auto"/>
                                    <w:right w:val="single" w:sz="4" w:space="0" w:color="auto"/>
                                  </w:tcBorders>
                                  <w:shd w:val="clear" w:color="auto" w:fill="auto"/>
                                  <w:noWrap/>
                                  <w:vAlign w:val="center"/>
                                  <w:hideMark/>
                                </w:tcPr>
                                <w:p w14:paraId="4D21EEB4"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9.51</w:t>
                                  </w:r>
                                </w:p>
                              </w:tc>
                              <w:tc>
                                <w:tcPr>
                                  <w:tcW w:w="439" w:type="pct"/>
                                  <w:tcBorders>
                                    <w:top w:val="nil"/>
                                    <w:left w:val="nil"/>
                                    <w:bottom w:val="single" w:sz="4" w:space="0" w:color="auto"/>
                                    <w:right w:val="single" w:sz="4" w:space="0" w:color="auto"/>
                                  </w:tcBorders>
                                  <w:shd w:val="clear" w:color="auto" w:fill="auto"/>
                                  <w:noWrap/>
                                  <w:vAlign w:val="center"/>
                                  <w:hideMark/>
                                </w:tcPr>
                                <w:p w14:paraId="29CF3CB8"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16.8</w:t>
                                  </w:r>
                                </w:p>
                              </w:tc>
                              <w:tc>
                                <w:tcPr>
                                  <w:tcW w:w="372" w:type="pct"/>
                                  <w:tcBorders>
                                    <w:top w:val="nil"/>
                                    <w:left w:val="nil"/>
                                    <w:bottom w:val="single" w:sz="4" w:space="0" w:color="auto"/>
                                    <w:right w:val="single" w:sz="4" w:space="0" w:color="auto"/>
                                  </w:tcBorders>
                                  <w:shd w:val="clear" w:color="auto" w:fill="auto"/>
                                  <w:noWrap/>
                                  <w:vAlign w:val="center"/>
                                  <w:hideMark/>
                                </w:tcPr>
                                <w:p w14:paraId="0E5923B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96.3</w:t>
                                  </w:r>
                                </w:p>
                              </w:tc>
                              <w:tc>
                                <w:tcPr>
                                  <w:tcW w:w="507" w:type="pct"/>
                                  <w:tcBorders>
                                    <w:top w:val="nil"/>
                                    <w:left w:val="nil"/>
                                    <w:bottom w:val="single" w:sz="4" w:space="0" w:color="auto"/>
                                    <w:right w:val="single" w:sz="4" w:space="0" w:color="auto"/>
                                  </w:tcBorders>
                                  <w:shd w:val="clear" w:color="auto" w:fill="auto"/>
                                  <w:noWrap/>
                                  <w:vAlign w:val="center"/>
                                  <w:hideMark/>
                                </w:tcPr>
                                <w:p w14:paraId="0CBB8776"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136.1</w:t>
                                  </w:r>
                                </w:p>
                              </w:tc>
                              <w:tc>
                                <w:tcPr>
                                  <w:tcW w:w="372" w:type="pct"/>
                                  <w:tcBorders>
                                    <w:top w:val="nil"/>
                                    <w:left w:val="nil"/>
                                    <w:bottom w:val="single" w:sz="4" w:space="0" w:color="auto"/>
                                    <w:right w:val="single" w:sz="4" w:space="0" w:color="auto"/>
                                  </w:tcBorders>
                                  <w:shd w:val="clear" w:color="auto" w:fill="auto"/>
                                  <w:noWrap/>
                                  <w:vAlign w:val="center"/>
                                  <w:hideMark/>
                                </w:tcPr>
                                <w:p w14:paraId="11486FE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116.7</w:t>
                                  </w:r>
                                </w:p>
                              </w:tc>
                              <w:tc>
                                <w:tcPr>
                                  <w:tcW w:w="372" w:type="pct"/>
                                  <w:tcBorders>
                                    <w:top w:val="nil"/>
                                    <w:left w:val="nil"/>
                                    <w:bottom w:val="single" w:sz="4" w:space="0" w:color="auto"/>
                                    <w:right w:val="single" w:sz="4" w:space="0" w:color="auto"/>
                                  </w:tcBorders>
                                  <w:shd w:val="clear" w:color="auto" w:fill="auto"/>
                                  <w:noWrap/>
                                  <w:vAlign w:val="center"/>
                                  <w:hideMark/>
                                </w:tcPr>
                                <w:p w14:paraId="22F9563F"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4.2</w:t>
                                  </w:r>
                                </w:p>
                              </w:tc>
                              <w:tc>
                                <w:tcPr>
                                  <w:tcW w:w="573" w:type="pct"/>
                                  <w:tcBorders>
                                    <w:top w:val="nil"/>
                                    <w:left w:val="nil"/>
                                    <w:bottom w:val="single" w:sz="4" w:space="0" w:color="auto"/>
                                    <w:right w:val="single" w:sz="4" w:space="0" w:color="auto"/>
                                  </w:tcBorders>
                                  <w:shd w:val="clear" w:color="auto" w:fill="auto"/>
                                  <w:noWrap/>
                                  <w:vAlign w:val="center"/>
                                  <w:hideMark/>
                                </w:tcPr>
                                <w:p w14:paraId="526E6F40"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15.2</w:t>
                                  </w:r>
                                </w:p>
                              </w:tc>
                            </w:tr>
                            <w:tr w:rsidR="00A0212B" w:rsidRPr="00D8282A" w14:paraId="178A8C22"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58D09616"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臺南市</w:t>
                                  </w:r>
                                </w:p>
                              </w:tc>
                              <w:tc>
                                <w:tcPr>
                                  <w:tcW w:w="523" w:type="pct"/>
                                  <w:tcBorders>
                                    <w:top w:val="nil"/>
                                    <w:left w:val="nil"/>
                                    <w:bottom w:val="single" w:sz="4" w:space="0" w:color="auto"/>
                                    <w:right w:val="single" w:sz="4" w:space="0" w:color="auto"/>
                                  </w:tcBorders>
                                  <w:shd w:val="clear" w:color="auto" w:fill="auto"/>
                                  <w:noWrap/>
                                  <w:vAlign w:val="center"/>
                                  <w:hideMark/>
                                </w:tcPr>
                                <w:p w14:paraId="551AB25E"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2,518</w:t>
                                  </w:r>
                                </w:p>
                              </w:tc>
                              <w:tc>
                                <w:tcPr>
                                  <w:tcW w:w="455" w:type="pct"/>
                                  <w:tcBorders>
                                    <w:top w:val="nil"/>
                                    <w:left w:val="nil"/>
                                    <w:bottom w:val="single" w:sz="4" w:space="0" w:color="auto"/>
                                    <w:right w:val="single" w:sz="4" w:space="0" w:color="auto"/>
                                  </w:tcBorders>
                                  <w:shd w:val="clear" w:color="auto" w:fill="auto"/>
                                  <w:noWrap/>
                                  <w:vAlign w:val="center"/>
                                  <w:hideMark/>
                                </w:tcPr>
                                <w:p w14:paraId="7C399AF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22.21</w:t>
                                  </w:r>
                                </w:p>
                              </w:tc>
                              <w:tc>
                                <w:tcPr>
                                  <w:tcW w:w="507" w:type="pct"/>
                                  <w:tcBorders>
                                    <w:top w:val="nil"/>
                                    <w:left w:val="nil"/>
                                    <w:bottom w:val="single" w:sz="4" w:space="0" w:color="auto"/>
                                    <w:right w:val="single" w:sz="4" w:space="0" w:color="auto"/>
                                  </w:tcBorders>
                                  <w:shd w:val="clear" w:color="auto" w:fill="auto"/>
                                  <w:noWrap/>
                                  <w:vAlign w:val="center"/>
                                  <w:hideMark/>
                                </w:tcPr>
                                <w:p w14:paraId="48FAAEE7"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1,348.3</w:t>
                                  </w:r>
                                </w:p>
                              </w:tc>
                              <w:tc>
                                <w:tcPr>
                                  <w:tcW w:w="440" w:type="pct"/>
                                  <w:tcBorders>
                                    <w:top w:val="nil"/>
                                    <w:left w:val="nil"/>
                                    <w:bottom w:val="single" w:sz="4" w:space="0" w:color="auto"/>
                                    <w:right w:val="single" w:sz="4" w:space="0" w:color="auto"/>
                                  </w:tcBorders>
                                  <w:shd w:val="clear" w:color="auto" w:fill="auto"/>
                                  <w:noWrap/>
                                  <w:vAlign w:val="center"/>
                                  <w:hideMark/>
                                </w:tcPr>
                                <w:p w14:paraId="54149E2C"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51.48</w:t>
                                  </w:r>
                                </w:p>
                              </w:tc>
                              <w:tc>
                                <w:tcPr>
                                  <w:tcW w:w="439" w:type="pct"/>
                                  <w:tcBorders>
                                    <w:top w:val="nil"/>
                                    <w:left w:val="nil"/>
                                    <w:bottom w:val="single" w:sz="4" w:space="0" w:color="auto"/>
                                    <w:right w:val="single" w:sz="4" w:space="0" w:color="auto"/>
                                  </w:tcBorders>
                                  <w:shd w:val="clear" w:color="auto" w:fill="auto"/>
                                  <w:noWrap/>
                                  <w:vAlign w:val="center"/>
                                  <w:hideMark/>
                                </w:tcPr>
                                <w:p w14:paraId="3604D80D"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399.1</w:t>
                                  </w:r>
                                </w:p>
                              </w:tc>
                              <w:tc>
                                <w:tcPr>
                                  <w:tcW w:w="372" w:type="pct"/>
                                  <w:tcBorders>
                                    <w:top w:val="nil"/>
                                    <w:left w:val="nil"/>
                                    <w:bottom w:val="single" w:sz="4" w:space="0" w:color="auto"/>
                                    <w:right w:val="single" w:sz="4" w:space="0" w:color="auto"/>
                                  </w:tcBorders>
                                  <w:shd w:val="clear" w:color="auto" w:fill="auto"/>
                                  <w:noWrap/>
                                  <w:vAlign w:val="center"/>
                                  <w:hideMark/>
                                </w:tcPr>
                                <w:p w14:paraId="72E12AEF"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426.9</w:t>
                                  </w:r>
                                </w:p>
                              </w:tc>
                              <w:tc>
                                <w:tcPr>
                                  <w:tcW w:w="507" w:type="pct"/>
                                  <w:tcBorders>
                                    <w:top w:val="nil"/>
                                    <w:left w:val="nil"/>
                                    <w:bottom w:val="single" w:sz="4" w:space="0" w:color="auto"/>
                                    <w:right w:val="single" w:sz="4" w:space="0" w:color="auto"/>
                                  </w:tcBorders>
                                  <w:shd w:val="clear" w:color="auto" w:fill="auto"/>
                                  <w:noWrap/>
                                  <w:vAlign w:val="center"/>
                                  <w:hideMark/>
                                </w:tcPr>
                                <w:p w14:paraId="43390637"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522.3</w:t>
                                  </w:r>
                                </w:p>
                              </w:tc>
                              <w:tc>
                                <w:tcPr>
                                  <w:tcW w:w="372" w:type="pct"/>
                                  <w:tcBorders>
                                    <w:top w:val="nil"/>
                                    <w:left w:val="nil"/>
                                    <w:bottom w:val="single" w:sz="4" w:space="0" w:color="auto"/>
                                    <w:right w:val="single" w:sz="4" w:space="0" w:color="auto"/>
                                  </w:tcBorders>
                                  <w:shd w:val="clear" w:color="auto" w:fill="auto"/>
                                  <w:noWrap/>
                                  <w:vAlign w:val="center"/>
                                  <w:hideMark/>
                                </w:tcPr>
                                <w:p w14:paraId="7DB03B53"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388.1</w:t>
                                  </w:r>
                                </w:p>
                              </w:tc>
                              <w:tc>
                                <w:tcPr>
                                  <w:tcW w:w="372" w:type="pct"/>
                                  <w:tcBorders>
                                    <w:top w:val="nil"/>
                                    <w:left w:val="nil"/>
                                    <w:bottom w:val="single" w:sz="4" w:space="0" w:color="auto"/>
                                    <w:right w:val="single" w:sz="4" w:space="0" w:color="auto"/>
                                  </w:tcBorders>
                                  <w:shd w:val="clear" w:color="auto" w:fill="auto"/>
                                  <w:noWrap/>
                                  <w:vAlign w:val="center"/>
                                  <w:hideMark/>
                                </w:tcPr>
                                <w:p w14:paraId="6CE0ED10"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71.8</w:t>
                                  </w:r>
                                </w:p>
                              </w:tc>
                              <w:tc>
                                <w:tcPr>
                                  <w:tcW w:w="573" w:type="pct"/>
                                  <w:tcBorders>
                                    <w:top w:val="nil"/>
                                    <w:left w:val="nil"/>
                                    <w:bottom w:val="single" w:sz="4" w:space="0" w:color="auto"/>
                                    <w:right w:val="single" w:sz="4" w:space="0" w:color="auto"/>
                                  </w:tcBorders>
                                  <w:shd w:val="clear" w:color="auto" w:fill="auto"/>
                                  <w:noWrap/>
                                  <w:vAlign w:val="center"/>
                                  <w:hideMark/>
                                </w:tcPr>
                                <w:p w14:paraId="0BF38038"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62.4</w:t>
                                  </w:r>
                                </w:p>
                              </w:tc>
                            </w:tr>
                            <w:tr w:rsidR="00A0212B" w:rsidRPr="00D8282A" w14:paraId="4486B148"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392EB923"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嘉義縣</w:t>
                                  </w:r>
                                </w:p>
                              </w:tc>
                              <w:tc>
                                <w:tcPr>
                                  <w:tcW w:w="523" w:type="pct"/>
                                  <w:tcBorders>
                                    <w:top w:val="nil"/>
                                    <w:left w:val="nil"/>
                                    <w:bottom w:val="single" w:sz="4" w:space="0" w:color="auto"/>
                                    <w:right w:val="single" w:sz="4" w:space="0" w:color="auto"/>
                                  </w:tcBorders>
                                  <w:shd w:val="clear" w:color="auto" w:fill="auto"/>
                                  <w:noWrap/>
                                  <w:vAlign w:val="center"/>
                                  <w:hideMark/>
                                </w:tcPr>
                                <w:p w14:paraId="508143D0"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1,956</w:t>
                                  </w:r>
                                </w:p>
                              </w:tc>
                              <w:tc>
                                <w:tcPr>
                                  <w:tcW w:w="455" w:type="pct"/>
                                  <w:tcBorders>
                                    <w:top w:val="nil"/>
                                    <w:left w:val="nil"/>
                                    <w:bottom w:val="single" w:sz="4" w:space="0" w:color="auto"/>
                                    <w:right w:val="single" w:sz="4" w:space="0" w:color="auto"/>
                                  </w:tcBorders>
                                  <w:shd w:val="clear" w:color="auto" w:fill="auto"/>
                                  <w:noWrap/>
                                  <w:vAlign w:val="center"/>
                                  <w:hideMark/>
                                </w:tcPr>
                                <w:p w14:paraId="0A136313"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17.25</w:t>
                                  </w:r>
                                </w:p>
                              </w:tc>
                              <w:tc>
                                <w:tcPr>
                                  <w:tcW w:w="507" w:type="pct"/>
                                  <w:tcBorders>
                                    <w:top w:val="nil"/>
                                    <w:left w:val="nil"/>
                                    <w:bottom w:val="single" w:sz="4" w:space="0" w:color="auto"/>
                                    <w:right w:val="single" w:sz="4" w:space="0" w:color="auto"/>
                                  </w:tcBorders>
                                  <w:shd w:val="clear" w:color="auto" w:fill="auto"/>
                                  <w:noWrap/>
                                  <w:vAlign w:val="center"/>
                                  <w:hideMark/>
                                </w:tcPr>
                                <w:p w14:paraId="24CC8195"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840.3</w:t>
                                  </w:r>
                                </w:p>
                              </w:tc>
                              <w:tc>
                                <w:tcPr>
                                  <w:tcW w:w="440" w:type="pct"/>
                                  <w:tcBorders>
                                    <w:top w:val="nil"/>
                                    <w:left w:val="nil"/>
                                    <w:bottom w:val="single" w:sz="4" w:space="0" w:color="auto"/>
                                    <w:right w:val="single" w:sz="4" w:space="0" w:color="auto"/>
                                  </w:tcBorders>
                                  <w:shd w:val="clear" w:color="auto" w:fill="auto"/>
                                  <w:noWrap/>
                                  <w:vAlign w:val="center"/>
                                  <w:hideMark/>
                                </w:tcPr>
                                <w:p w14:paraId="5493F503"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32.08</w:t>
                                  </w:r>
                                </w:p>
                              </w:tc>
                              <w:tc>
                                <w:tcPr>
                                  <w:tcW w:w="439" w:type="pct"/>
                                  <w:tcBorders>
                                    <w:top w:val="nil"/>
                                    <w:left w:val="nil"/>
                                    <w:bottom w:val="single" w:sz="4" w:space="0" w:color="auto"/>
                                    <w:right w:val="single" w:sz="4" w:space="0" w:color="auto"/>
                                  </w:tcBorders>
                                  <w:shd w:val="clear" w:color="auto" w:fill="auto"/>
                                  <w:noWrap/>
                                  <w:vAlign w:val="center"/>
                                  <w:hideMark/>
                                </w:tcPr>
                                <w:p w14:paraId="4B2B63A8"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188.6</w:t>
                                  </w:r>
                                </w:p>
                              </w:tc>
                              <w:tc>
                                <w:tcPr>
                                  <w:tcW w:w="372" w:type="pct"/>
                                  <w:tcBorders>
                                    <w:top w:val="nil"/>
                                    <w:left w:val="nil"/>
                                    <w:bottom w:val="single" w:sz="4" w:space="0" w:color="auto"/>
                                    <w:right w:val="single" w:sz="4" w:space="0" w:color="auto"/>
                                  </w:tcBorders>
                                  <w:shd w:val="clear" w:color="auto" w:fill="auto"/>
                                  <w:noWrap/>
                                  <w:vAlign w:val="center"/>
                                  <w:hideMark/>
                                </w:tcPr>
                                <w:p w14:paraId="5A9B0FA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38.6</w:t>
                                  </w:r>
                                </w:p>
                              </w:tc>
                              <w:tc>
                                <w:tcPr>
                                  <w:tcW w:w="507" w:type="pct"/>
                                  <w:tcBorders>
                                    <w:top w:val="nil"/>
                                    <w:left w:val="nil"/>
                                    <w:bottom w:val="single" w:sz="4" w:space="0" w:color="auto"/>
                                    <w:right w:val="single" w:sz="4" w:space="0" w:color="auto"/>
                                  </w:tcBorders>
                                  <w:shd w:val="clear" w:color="auto" w:fill="auto"/>
                                  <w:noWrap/>
                                  <w:vAlign w:val="center"/>
                                  <w:hideMark/>
                                </w:tcPr>
                                <w:p w14:paraId="09B36709"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613.1</w:t>
                                  </w:r>
                                </w:p>
                              </w:tc>
                              <w:tc>
                                <w:tcPr>
                                  <w:tcW w:w="372" w:type="pct"/>
                                  <w:tcBorders>
                                    <w:top w:val="nil"/>
                                    <w:left w:val="nil"/>
                                    <w:bottom w:val="single" w:sz="4" w:space="0" w:color="auto"/>
                                    <w:right w:val="single" w:sz="4" w:space="0" w:color="auto"/>
                                  </w:tcBorders>
                                  <w:shd w:val="clear" w:color="auto" w:fill="auto"/>
                                  <w:noWrap/>
                                  <w:vAlign w:val="center"/>
                                  <w:hideMark/>
                                </w:tcPr>
                                <w:p w14:paraId="42848C0D"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372" w:type="pct"/>
                                  <w:tcBorders>
                                    <w:top w:val="nil"/>
                                    <w:left w:val="nil"/>
                                    <w:bottom w:val="single" w:sz="4" w:space="0" w:color="auto"/>
                                    <w:right w:val="single" w:sz="4" w:space="0" w:color="auto"/>
                                  </w:tcBorders>
                                  <w:shd w:val="clear" w:color="auto" w:fill="auto"/>
                                  <w:noWrap/>
                                  <w:vAlign w:val="center"/>
                                  <w:hideMark/>
                                </w:tcPr>
                                <w:p w14:paraId="71FDA902"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591.1</w:t>
                                  </w:r>
                                </w:p>
                              </w:tc>
                              <w:tc>
                                <w:tcPr>
                                  <w:tcW w:w="573" w:type="pct"/>
                                  <w:tcBorders>
                                    <w:top w:val="nil"/>
                                    <w:left w:val="nil"/>
                                    <w:bottom w:val="single" w:sz="4" w:space="0" w:color="auto"/>
                                    <w:right w:val="single" w:sz="4" w:space="0" w:color="auto"/>
                                  </w:tcBorders>
                                  <w:shd w:val="clear" w:color="auto" w:fill="auto"/>
                                  <w:noWrap/>
                                  <w:vAlign w:val="center"/>
                                  <w:hideMark/>
                                </w:tcPr>
                                <w:p w14:paraId="2B49AD36"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22.0</w:t>
                                  </w:r>
                                </w:p>
                              </w:tc>
                            </w:tr>
                            <w:tr w:rsidR="00A0212B" w:rsidRPr="00D8282A" w14:paraId="6B83206A"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7E4BE7A0"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雲林縣</w:t>
                                  </w:r>
                                </w:p>
                              </w:tc>
                              <w:tc>
                                <w:tcPr>
                                  <w:tcW w:w="523" w:type="pct"/>
                                  <w:tcBorders>
                                    <w:top w:val="nil"/>
                                    <w:left w:val="nil"/>
                                    <w:bottom w:val="single" w:sz="4" w:space="0" w:color="auto"/>
                                    <w:right w:val="single" w:sz="4" w:space="0" w:color="auto"/>
                                  </w:tcBorders>
                                  <w:shd w:val="clear" w:color="auto" w:fill="auto"/>
                                  <w:noWrap/>
                                  <w:vAlign w:val="center"/>
                                  <w:hideMark/>
                                </w:tcPr>
                                <w:p w14:paraId="4101E879"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1,859</w:t>
                                  </w:r>
                                </w:p>
                              </w:tc>
                              <w:tc>
                                <w:tcPr>
                                  <w:tcW w:w="455" w:type="pct"/>
                                  <w:tcBorders>
                                    <w:top w:val="nil"/>
                                    <w:left w:val="nil"/>
                                    <w:bottom w:val="single" w:sz="4" w:space="0" w:color="auto"/>
                                    <w:right w:val="single" w:sz="4" w:space="0" w:color="auto"/>
                                  </w:tcBorders>
                                  <w:shd w:val="clear" w:color="auto" w:fill="auto"/>
                                  <w:noWrap/>
                                  <w:vAlign w:val="center"/>
                                  <w:hideMark/>
                                </w:tcPr>
                                <w:p w14:paraId="014053D6"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16.39</w:t>
                                  </w:r>
                                </w:p>
                              </w:tc>
                              <w:tc>
                                <w:tcPr>
                                  <w:tcW w:w="507" w:type="pct"/>
                                  <w:tcBorders>
                                    <w:top w:val="nil"/>
                                    <w:left w:val="nil"/>
                                    <w:bottom w:val="single" w:sz="4" w:space="0" w:color="auto"/>
                                    <w:right w:val="single" w:sz="4" w:space="0" w:color="auto"/>
                                  </w:tcBorders>
                                  <w:shd w:val="clear" w:color="auto" w:fill="auto"/>
                                  <w:noWrap/>
                                  <w:vAlign w:val="center"/>
                                  <w:hideMark/>
                                </w:tcPr>
                                <w:p w14:paraId="1BDCDF1C"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28.4</w:t>
                                  </w:r>
                                </w:p>
                              </w:tc>
                              <w:tc>
                                <w:tcPr>
                                  <w:tcW w:w="440" w:type="pct"/>
                                  <w:tcBorders>
                                    <w:top w:val="nil"/>
                                    <w:left w:val="nil"/>
                                    <w:bottom w:val="single" w:sz="4" w:space="0" w:color="auto"/>
                                    <w:right w:val="single" w:sz="4" w:space="0" w:color="auto"/>
                                  </w:tcBorders>
                                  <w:shd w:val="clear" w:color="auto" w:fill="auto"/>
                                  <w:noWrap/>
                                  <w:vAlign w:val="center"/>
                                  <w:hideMark/>
                                </w:tcPr>
                                <w:p w14:paraId="0367E8A7"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1.08</w:t>
                                  </w:r>
                                </w:p>
                              </w:tc>
                              <w:tc>
                                <w:tcPr>
                                  <w:tcW w:w="439" w:type="pct"/>
                                  <w:tcBorders>
                                    <w:top w:val="nil"/>
                                    <w:left w:val="nil"/>
                                    <w:bottom w:val="single" w:sz="4" w:space="0" w:color="auto"/>
                                    <w:right w:val="single" w:sz="4" w:space="0" w:color="auto"/>
                                  </w:tcBorders>
                                  <w:shd w:val="clear" w:color="auto" w:fill="auto"/>
                                  <w:noWrap/>
                                  <w:vAlign w:val="center"/>
                                  <w:hideMark/>
                                </w:tcPr>
                                <w:p w14:paraId="4455057A"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11.9</w:t>
                                  </w:r>
                                </w:p>
                              </w:tc>
                              <w:tc>
                                <w:tcPr>
                                  <w:tcW w:w="372" w:type="pct"/>
                                  <w:tcBorders>
                                    <w:top w:val="nil"/>
                                    <w:left w:val="nil"/>
                                    <w:bottom w:val="single" w:sz="4" w:space="0" w:color="auto"/>
                                    <w:right w:val="single" w:sz="4" w:space="0" w:color="auto"/>
                                  </w:tcBorders>
                                  <w:shd w:val="clear" w:color="auto" w:fill="auto"/>
                                  <w:noWrap/>
                                  <w:vAlign w:val="center"/>
                                  <w:hideMark/>
                                </w:tcPr>
                                <w:p w14:paraId="0CC0015D"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7.8</w:t>
                                  </w:r>
                                </w:p>
                              </w:tc>
                              <w:tc>
                                <w:tcPr>
                                  <w:tcW w:w="507" w:type="pct"/>
                                  <w:tcBorders>
                                    <w:top w:val="nil"/>
                                    <w:left w:val="nil"/>
                                    <w:bottom w:val="single" w:sz="4" w:space="0" w:color="auto"/>
                                    <w:right w:val="single" w:sz="4" w:space="0" w:color="auto"/>
                                  </w:tcBorders>
                                  <w:shd w:val="clear" w:color="auto" w:fill="auto"/>
                                  <w:noWrap/>
                                  <w:vAlign w:val="center"/>
                                  <w:hideMark/>
                                </w:tcPr>
                                <w:p w14:paraId="3D00F519"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8.7</w:t>
                                  </w:r>
                                </w:p>
                              </w:tc>
                              <w:tc>
                                <w:tcPr>
                                  <w:tcW w:w="372" w:type="pct"/>
                                  <w:tcBorders>
                                    <w:top w:val="nil"/>
                                    <w:left w:val="nil"/>
                                    <w:bottom w:val="single" w:sz="4" w:space="0" w:color="auto"/>
                                    <w:right w:val="single" w:sz="4" w:space="0" w:color="auto"/>
                                  </w:tcBorders>
                                  <w:shd w:val="clear" w:color="auto" w:fill="auto"/>
                                  <w:noWrap/>
                                  <w:vAlign w:val="center"/>
                                  <w:hideMark/>
                                </w:tcPr>
                                <w:p w14:paraId="68C78F47"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4.3</w:t>
                                  </w:r>
                                </w:p>
                              </w:tc>
                              <w:tc>
                                <w:tcPr>
                                  <w:tcW w:w="372" w:type="pct"/>
                                  <w:tcBorders>
                                    <w:top w:val="nil"/>
                                    <w:left w:val="nil"/>
                                    <w:bottom w:val="single" w:sz="4" w:space="0" w:color="auto"/>
                                    <w:right w:val="single" w:sz="4" w:space="0" w:color="auto"/>
                                  </w:tcBorders>
                                  <w:shd w:val="clear" w:color="auto" w:fill="auto"/>
                                  <w:noWrap/>
                                  <w:vAlign w:val="center"/>
                                  <w:hideMark/>
                                </w:tcPr>
                                <w:p w14:paraId="4AD096C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2.5</w:t>
                                  </w:r>
                                </w:p>
                              </w:tc>
                              <w:tc>
                                <w:tcPr>
                                  <w:tcW w:w="573" w:type="pct"/>
                                  <w:tcBorders>
                                    <w:top w:val="nil"/>
                                    <w:left w:val="nil"/>
                                    <w:bottom w:val="single" w:sz="4" w:space="0" w:color="auto"/>
                                    <w:right w:val="single" w:sz="4" w:space="0" w:color="auto"/>
                                  </w:tcBorders>
                                  <w:shd w:val="clear" w:color="auto" w:fill="auto"/>
                                  <w:noWrap/>
                                  <w:vAlign w:val="center"/>
                                  <w:hideMark/>
                                </w:tcPr>
                                <w:p w14:paraId="3F34E6B2"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1.9</w:t>
                                  </w:r>
                                </w:p>
                              </w:tc>
                            </w:tr>
                            <w:tr w:rsidR="00A0212B" w:rsidRPr="00D8282A" w14:paraId="18133F1E"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207F75F9"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屏東縣</w:t>
                                  </w:r>
                                </w:p>
                              </w:tc>
                              <w:tc>
                                <w:tcPr>
                                  <w:tcW w:w="523" w:type="pct"/>
                                  <w:tcBorders>
                                    <w:top w:val="nil"/>
                                    <w:left w:val="nil"/>
                                    <w:bottom w:val="single" w:sz="4" w:space="0" w:color="auto"/>
                                    <w:right w:val="single" w:sz="4" w:space="0" w:color="auto"/>
                                  </w:tcBorders>
                                  <w:shd w:val="clear" w:color="auto" w:fill="auto"/>
                                  <w:noWrap/>
                                  <w:vAlign w:val="center"/>
                                  <w:hideMark/>
                                </w:tcPr>
                                <w:p w14:paraId="54DDA7D9"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1,772</w:t>
                                  </w:r>
                                </w:p>
                              </w:tc>
                              <w:tc>
                                <w:tcPr>
                                  <w:tcW w:w="455" w:type="pct"/>
                                  <w:tcBorders>
                                    <w:top w:val="nil"/>
                                    <w:left w:val="nil"/>
                                    <w:bottom w:val="single" w:sz="4" w:space="0" w:color="auto"/>
                                    <w:right w:val="single" w:sz="4" w:space="0" w:color="auto"/>
                                  </w:tcBorders>
                                  <w:shd w:val="clear" w:color="auto" w:fill="auto"/>
                                  <w:noWrap/>
                                  <w:vAlign w:val="center"/>
                                  <w:hideMark/>
                                </w:tcPr>
                                <w:p w14:paraId="567D1A3B"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15.63</w:t>
                                  </w:r>
                                </w:p>
                              </w:tc>
                              <w:tc>
                                <w:tcPr>
                                  <w:tcW w:w="507" w:type="pct"/>
                                  <w:tcBorders>
                                    <w:top w:val="nil"/>
                                    <w:left w:val="nil"/>
                                    <w:bottom w:val="single" w:sz="4" w:space="0" w:color="auto"/>
                                    <w:right w:val="single" w:sz="4" w:space="0" w:color="auto"/>
                                  </w:tcBorders>
                                  <w:shd w:val="clear" w:color="auto" w:fill="auto"/>
                                  <w:noWrap/>
                                  <w:vAlign w:val="center"/>
                                  <w:hideMark/>
                                </w:tcPr>
                                <w:p w14:paraId="18642094"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18.1</w:t>
                                  </w:r>
                                </w:p>
                              </w:tc>
                              <w:tc>
                                <w:tcPr>
                                  <w:tcW w:w="440" w:type="pct"/>
                                  <w:tcBorders>
                                    <w:top w:val="nil"/>
                                    <w:left w:val="nil"/>
                                    <w:bottom w:val="single" w:sz="4" w:space="0" w:color="auto"/>
                                    <w:right w:val="single" w:sz="4" w:space="0" w:color="auto"/>
                                  </w:tcBorders>
                                  <w:shd w:val="clear" w:color="auto" w:fill="auto"/>
                                  <w:noWrap/>
                                  <w:vAlign w:val="center"/>
                                  <w:hideMark/>
                                </w:tcPr>
                                <w:p w14:paraId="54428AC2"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0.69</w:t>
                                  </w:r>
                                </w:p>
                              </w:tc>
                              <w:tc>
                                <w:tcPr>
                                  <w:tcW w:w="439" w:type="pct"/>
                                  <w:tcBorders>
                                    <w:top w:val="nil"/>
                                    <w:left w:val="nil"/>
                                    <w:bottom w:val="single" w:sz="4" w:space="0" w:color="auto"/>
                                    <w:right w:val="single" w:sz="4" w:space="0" w:color="auto"/>
                                  </w:tcBorders>
                                  <w:shd w:val="clear" w:color="auto" w:fill="auto"/>
                                  <w:noWrap/>
                                  <w:vAlign w:val="center"/>
                                  <w:hideMark/>
                                </w:tcPr>
                                <w:p w14:paraId="17D208C6"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18.1</w:t>
                                  </w:r>
                                </w:p>
                              </w:tc>
                              <w:tc>
                                <w:tcPr>
                                  <w:tcW w:w="372" w:type="pct"/>
                                  <w:tcBorders>
                                    <w:top w:val="nil"/>
                                    <w:left w:val="nil"/>
                                    <w:bottom w:val="single" w:sz="4" w:space="0" w:color="auto"/>
                                    <w:right w:val="single" w:sz="4" w:space="0" w:color="auto"/>
                                  </w:tcBorders>
                                  <w:shd w:val="clear" w:color="auto" w:fill="auto"/>
                                  <w:noWrap/>
                                  <w:vAlign w:val="center"/>
                                  <w:hideMark/>
                                </w:tcPr>
                                <w:p w14:paraId="6FA754AA"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507" w:type="pct"/>
                                  <w:tcBorders>
                                    <w:top w:val="nil"/>
                                    <w:left w:val="nil"/>
                                    <w:bottom w:val="single" w:sz="4" w:space="0" w:color="auto"/>
                                    <w:right w:val="single" w:sz="4" w:space="0" w:color="auto"/>
                                  </w:tcBorders>
                                  <w:shd w:val="clear" w:color="auto" w:fill="auto"/>
                                  <w:noWrap/>
                                  <w:vAlign w:val="center"/>
                                  <w:hideMark/>
                                </w:tcPr>
                                <w:p w14:paraId="0167FB9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372" w:type="pct"/>
                                  <w:tcBorders>
                                    <w:top w:val="nil"/>
                                    <w:left w:val="nil"/>
                                    <w:bottom w:val="single" w:sz="4" w:space="0" w:color="auto"/>
                                    <w:right w:val="single" w:sz="4" w:space="0" w:color="auto"/>
                                  </w:tcBorders>
                                  <w:shd w:val="clear" w:color="auto" w:fill="auto"/>
                                  <w:noWrap/>
                                  <w:vAlign w:val="center"/>
                                  <w:hideMark/>
                                </w:tcPr>
                                <w:p w14:paraId="0D2A9C4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372" w:type="pct"/>
                                  <w:tcBorders>
                                    <w:top w:val="nil"/>
                                    <w:left w:val="nil"/>
                                    <w:bottom w:val="single" w:sz="4" w:space="0" w:color="auto"/>
                                    <w:right w:val="single" w:sz="4" w:space="0" w:color="auto"/>
                                  </w:tcBorders>
                                  <w:shd w:val="clear" w:color="auto" w:fill="auto"/>
                                  <w:noWrap/>
                                  <w:vAlign w:val="center"/>
                                  <w:hideMark/>
                                </w:tcPr>
                                <w:p w14:paraId="36B9346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573" w:type="pct"/>
                                  <w:tcBorders>
                                    <w:top w:val="nil"/>
                                    <w:left w:val="nil"/>
                                    <w:bottom w:val="single" w:sz="4" w:space="0" w:color="auto"/>
                                    <w:right w:val="single" w:sz="4" w:space="0" w:color="auto"/>
                                  </w:tcBorders>
                                  <w:shd w:val="clear" w:color="auto" w:fill="auto"/>
                                  <w:noWrap/>
                                  <w:vAlign w:val="center"/>
                                  <w:hideMark/>
                                </w:tcPr>
                                <w:p w14:paraId="7A1BD04E"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r>
                            <w:tr w:rsidR="00A0212B" w:rsidRPr="00D8282A" w14:paraId="7488ACCB"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35692243"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彰化縣</w:t>
                                  </w:r>
                                </w:p>
                              </w:tc>
                              <w:tc>
                                <w:tcPr>
                                  <w:tcW w:w="523" w:type="pct"/>
                                  <w:tcBorders>
                                    <w:top w:val="nil"/>
                                    <w:left w:val="nil"/>
                                    <w:bottom w:val="single" w:sz="4" w:space="0" w:color="auto"/>
                                    <w:right w:val="single" w:sz="4" w:space="0" w:color="auto"/>
                                  </w:tcBorders>
                                  <w:shd w:val="clear" w:color="auto" w:fill="auto"/>
                                  <w:noWrap/>
                                  <w:vAlign w:val="center"/>
                                  <w:hideMark/>
                                </w:tcPr>
                                <w:p w14:paraId="1D543F4E"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312</w:t>
                                  </w:r>
                                </w:p>
                              </w:tc>
                              <w:tc>
                                <w:tcPr>
                                  <w:tcW w:w="455" w:type="pct"/>
                                  <w:tcBorders>
                                    <w:top w:val="nil"/>
                                    <w:left w:val="nil"/>
                                    <w:bottom w:val="single" w:sz="4" w:space="0" w:color="auto"/>
                                    <w:right w:val="single" w:sz="4" w:space="0" w:color="auto"/>
                                  </w:tcBorders>
                                  <w:shd w:val="clear" w:color="auto" w:fill="auto"/>
                                  <w:noWrap/>
                                  <w:vAlign w:val="center"/>
                                  <w:hideMark/>
                                </w:tcPr>
                                <w:p w14:paraId="440D5A7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2.75</w:t>
                                  </w:r>
                                </w:p>
                              </w:tc>
                              <w:tc>
                                <w:tcPr>
                                  <w:tcW w:w="507" w:type="pct"/>
                                  <w:tcBorders>
                                    <w:top w:val="nil"/>
                                    <w:left w:val="nil"/>
                                    <w:bottom w:val="single" w:sz="4" w:space="0" w:color="auto"/>
                                    <w:right w:val="single" w:sz="4" w:space="0" w:color="auto"/>
                                  </w:tcBorders>
                                  <w:shd w:val="clear" w:color="auto" w:fill="auto"/>
                                  <w:noWrap/>
                                  <w:vAlign w:val="center"/>
                                  <w:hideMark/>
                                </w:tcPr>
                                <w:p w14:paraId="4F53895A"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135.1</w:t>
                                  </w:r>
                                </w:p>
                              </w:tc>
                              <w:tc>
                                <w:tcPr>
                                  <w:tcW w:w="440" w:type="pct"/>
                                  <w:tcBorders>
                                    <w:top w:val="nil"/>
                                    <w:left w:val="nil"/>
                                    <w:bottom w:val="single" w:sz="4" w:space="0" w:color="auto"/>
                                    <w:right w:val="single" w:sz="4" w:space="0" w:color="auto"/>
                                  </w:tcBorders>
                                  <w:shd w:val="clear" w:color="auto" w:fill="auto"/>
                                  <w:noWrap/>
                                  <w:vAlign w:val="center"/>
                                  <w:hideMark/>
                                </w:tcPr>
                                <w:p w14:paraId="52C9158A"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5.16</w:t>
                                  </w:r>
                                </w:p>
                              </w:tc>
                              <w:tc>
                                <w:tcPr>
                                  <w:tcW w:w="439" w:type="pct"/>
                                  <w:tcBorders>
                                    <w:top w:val="nil"/>
                                    <w:left w:val="nil"/>
                                    <w:bottom w:val="single" w:sz="4" w:space="0" w:color="auto"/>
                                    <w:right w:val="single" w:sz="4" w:space="0" w:color="auto"/>
                                  </w:tcBorders>
                                  <w:shd w:val="clear" w:color="auto" w:fill="auto"/>
                                  <w:noWrap/>
                                  <w:vAlign w:val="center"/>
                                  <w:hideMark/>
                                </w:tcPr>
                                <w:p w14:paraId="074C32CB"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3.3</w:t>
                                  </w:r>
                                </w:p>
                              </w:tc>
                              <w:tc>
                                <w:tcPr>
                                  <w:tcW w:w="372" w:type="pct"/>
                                  <w:tcBorders>
                                    <w:top w:val="nil"/>
                                    <w:left w:val="nil"/>
                                    <w:bottom w:val="single" w:sz="4" w:space="0" w:color="auto"/>
                                    <w:right w:val="single" w:sz="4" w:space="0" w:color="auto"/>
                                  </w:tcBorders>
                                  <w:shd w:val="clear" w:color="auto" w:fill="auto"/>
                                  <w:noWrap/>
                                  <w:vAlign w:val="center"/>
                                  <w:hideMark/>
                                </w:tcPr>
                                <w:p w14:paraId="1145393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507" w:type="pct"/>
                                  <w:tcBorders>
                                    <w:top w:val="nil"/>
                                    <w:left w:val="nil"/>
                                    <w:bottom w:val="single" w:sz="4" w:space="0" w:color="auto"/>
                                    <w:right w:val="single" w:sz="4" w:space="0" w:color="auto"/>
                                  </w:tcBorders>
                                  <w:shd w:val="clear" w:color="auto" w:fill="auto"/>
                                  <w:noWrap/>
                                  <w:vAlign w:val="center"/>
                                  <w:hideMark/>
                                </w:tcPr>
                                <w:p w14:paraId="27AFBD0E"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131.8</w:t>
                                  </w:r>
                                </w:p>
                              </w:tc>
                              <w:tc>
                                <w:tcPr>
                                  <w:tcW w:w="372" w:type="pct"/>
                                  <w:tcBorders>
                                    <w:top w:val="nil"/>
                                    <w:left w:val="nil"/>
                                    <w:bottom w:val="single" w:sz="4" w:space="0" w:color="auto"/>
                                    <w:right w:val="single" w:sz="4" w:space="0" w:color="auto"/>
                                  </w:tcBorders>
                                  <w:shd w:val="clear" w:color="auto" w:fill="auto"/>
                                  <w:noWrap/>
                                  <w:vAlign w:val="center"/>
                                  <w:hideMark/>
                                </w:tcPr>
                                <w:p w14:paraId="1BF49B07"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131.8</w:t>
                                  </w:r>
                                </w:p>
                              </w:tc>
                              <w:tc>
                                <w:tcPr>
                                  <w:tcW w:w="372" w:type="pct"/>
                                  <w:tcBorders>
                                    <w:top w:val="nil"/>
                                    <w:left w:val="nil"/>
                                    <w:bottom w:val="single" w:sz="4" w:space="0" w:color="auto"/>
                                    <w:right w:val="single" w:sz="4" w:space="0" w:color="auto"/>
                                  </w:tcBorders>
                                  <w:shd w:val="clear" w:color="auto" w:fill="auto"/>
                                  <w:noWrap/>
                                  <w:vAlign w:val="center"/>
                                  <w:hideMark/>
                                </w:tcPr>
                                <w:p w14:paraId="11EC2653"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573" w:type="pct"/>
                                  <w:tcBorders>
                                    <w:top w:val="nil"/>
                                    <w:left w:val="nil"/>
                                    <w:bottom w:val="single" w:sz="4" w:space="0" w:color="auto"/>
                                    <w:right w:val="single" w:sz="4" w:space="0" w:color="auto"/>
                                  </w:tcBorders>
                                  <w:shd w:val="clear" w:color="auto" w:fill="auto"/>
                                  <w:noWrap/>
                                  <w:vAlign w:val="center"/>
                                  <w:hideMark/>
                                </w:tcPr>
                                <w:p w14:paraId="2B86FC4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r>
                            <w:tr w:rsidR="00A0212B" w:rsidRPr="00D8282A" w14:paraId="249D389D" w14:textId="77777777" w:rsidTr="002314E4">
                              <w:tc>
                                <w:tcPr>
                                  <w:tcW w:w="1" w:type="pct"/>
                                  <w:gridSpan w:val="11"/>
                                  <w:tcBorders>
                                    <w:top w:val="single" w:sz="4" w:space="0" w:color="auto"/>
                                  </w:tcBorders>
                                  <w:shd w:val="clear" w:color="auto" w:fill="auto"/>
                                  <w:noWrap/>
                                  <w:vAlign w:val="bottom"/>
                                </w:tcPr>
                                <w:p w14:paraId="3A59DDC2" w14:textId="77777777" w:rsidR="00A0212B" w:rsidRPr="00D8282A" w:rsidRDefault="00A0212B" w:rsidP="002314E4">
                                  <w:pPr>
                                    <w:widowControl/>
                                    <w:spacing w:line="240" w:lineRule="exact"/>
                                    <w:jc w:val="both"/>
                                    <w:rPr>
                                      <w:rFonts w:ascii="標楷體" w:eastAsia="標楷體" w:hAnsi="標楷體" w:cs="新細明體"/>
                                      <w:color w:val="000000"/>
                                      <w:kern w:val="0"/>
                                      <w:sz w:val="18"/>
                                    </w:rPr>
                                  </w:pPr>
                                  <w:r w:rsidRPr="00D8282A">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經濟部</w:t>
                                  </w:r>
                                  <w:r w:rsidRPr="00D8282A">
                                    <w:rPr>
                                      <w:rFonts w:ascii="標楷體" w:eastAsia="標楷體" w:hAnsi="標楷體" w:cs="新細明體" w:hint="eastAsia"/>
                                      <w:color w:val="000000"/>
                                      <w:kern w:val="0"/>
                                      <w:sz w:val="18"/>
                                    </w:rPr>
                                    <w:t>能源署提供資料。</w:t>
                                  </w:r>
                                </w:p>
                              </w:tc>
                            </w:tr>
                          </w:tbl>
                          <w:p w14:paraId="3E91B068" w14:textId="77777777" w:rsidR="00A0212B" w:rsidRPr="00532377" w:rsidRDefault="00A0212B" w:rsidP="008A76F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C7571B" id="_x0000_s1058" type="#_x0000_t202" style="position:absolute;left:0;text-align:left;margin-left:52.95pt;margin-top:333.15pt;width:488.15pt;height:174.9pt;z-index:251641856;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" stroked="f">
                <v:textbox>
                  <w:txbxContent>
                    <w:p w14:paraId="4F352333" w14:textId="77777777" w:rsidR="00A0212B" w:rsidRPr="00D8282A" w:rsidRDefault="00A0212B" w:rsidP="008A76F0">
                      <w:pPr>
                        <w:tabs>
                          <w:tab w:val="left" w:pos="1560"/>
                        </w:tabs>
                        <w:kinsoku w:val="0"/>
                        <w:overflowPunct w:val="0"/>
                        <w:adjustRightInd w:val="0"/>
                        <w:snapToGrid w:val="0"/>
                        <w:jc w:val="center"/>
                        <w:rPr>
                          <w:rFonts w:ascii="標楷體" w:eastAsia="標楷體" w:hAnsi="標楷體"/>
                          <w:b/>
                          <w:spacing w:val="-4"/>
                        </w:rPr>
                      </w:pPr>
                      <w:r w:rsidRPr="00EB17B4">
                        <w:rPr>
                          <w:rFonts w:ascii="標楷體" w:eastAsia="標楷體" w:hAnsi="標楷體" w:hint="eastAsia"/>
                          <w:b/>
                          <w:color w:val="000000" w:themeColor="text1"/>
                          <w:spacing w:val="-4"/>
                          <w:szCs w:val="24"/>
                        </w:rPr>
                        <w:t>表</w:t>
                      </w:r>
                      <w:r>
                        <w:rPr>
                          <w:rFonts w:ascii="標楷體" w:eastAsia="標楷體" w:hAnsi="標楷體"/>
                          <w:b/>
                          <w:color w:val="000000" w:themeColor="text1"/>
                          <w:spacing w:val="-4"/>
                          <w:szCs w:val="24"/>
                        </w:rPr>
                        <w:t>19</w:t>
                      </w:r>
                      <w:r w:rsidRPr="00D8282A">
                        <w:rPr>
                          <w:rFonts w:ascii="標楷體" w:eastAsia="標楷體" w:hAnsi="標楷體" w:hint="eastAsia"/>
                          <w:b/>
                          <w:spacing w:val="-4"/>
                        </w:rPr>
                        <w:t xml:space="preserve">　截至1</w:t>
                      </w:r>
                      <w:r w:rsidRPr="00D8282A">
                        <w:rPr>
                          <w:rFonts w:ascii="標楷體" w:eastAsia="標楷體" w:hAnsi="標楷體"/>
                          <w:b/>
                          <w:spacing w:val="-4"/>
                        </w:rPr>
                        <w:t>12</w:t>
                      </w:r>
                      <w:r w:rsidRPr="00D8282A">
                        <w:rPr>
                          <w:rFonts w:ascii="標楷體" w:eastAsia="標楷體" w:hAnsi="標楷體" w:hint="eastAsia"/>
                          <w:b/>
                          <w:spacing w:val="-4"/>
                        </w:rPr>
                        <w:t>年底漁電共生專案推動情形</w:t>
                      </w:r>
                    </w:p>
                    <w:p w14:paraId="44944B3F" w14:textId="77777777" w:rsidR="00A0212B" w:rsidRPr="00D8282A" w:rsidRDefault="00A0212B" w:rsidP="008A76F0">
                      <w:pPr>
                        <w:tabs>
                          <w:tab w:val="left" w:pos="1560"/>
                        </w:tabs>
                        <w:kinsoku w:val="0"/>
                        <w:overflowPunct w:val="0"/>
                        <w:adjustRightInd w:val="0"/>
                        <w:snapToGrid w:val="0"/>
                        <w:spacing w:line="220" w:lineRule="exact"/>
                        <w:ind w:firstLineChars="300" w:firstLine="576"/>
                        <w:jc w:val="right"/>
                        <w:rPr>
                          <w:rFonts w:ascii="標楷體" w:eastAsia="標楷體" w:hAnsi="標楷體"/>
                          <w:spacing w:val="-4"/>
                          <w:sz w:val="20"/>
                        </w:rPr>
                      </w:pPr>
                      <w:r w:rsidRPr="00D8282A">
                        <w:rPr>
                          <w:rFonts w:ascii="標楷體" w:eastAsia="標楷體" w:hAnsi="標楷體" w:hint="eastAsia"/>
                          <w:spacing w:val="-4"/>
                          <w:sz w:val="20"/>
                        </w:rPr>
                        <w:t>單位：公頃、％、M</w:t>
                      </w:r>
                      <w:r w:rsidRPr="00D8282A">
                        <w:rPr>
                          <w:rFonts w:ascii="標楷體" w:eastAsia="標楷體" w:hAnsi="標楷體"/>
                          <w:spacing w:val="-4"/>
                          <w:sz w:val="20"/>
                        </w:rPr>
                        <w:t>W</w:t>
                      </w:r>
                    </w:p>
                    <w:tbl>
                      <w:tblPr>
                        <w:tblW w:w="5000" w:type="pct"/>
                        <w:tblCellMar>
                          <w:left w:w="28" w:type="dxa"/>
                          <w:right w:w="28" w:type="dxa"/>
                        </w:tblCellMar>
                        <w:tblLook w:val="04A0" w:firstRow="1" w:lastRow="0" w:firstColumn="1" w:lastColumn="0" w:noHBand="0" w:noVBand="1"/>
                      </w:tblPr>
                      <w:tblGrid>
                        <w:gridCol w:w="838"/>
                        <w:gridCol w:w="997"/>
                        <w:gridCol w:w="869"/>
                        <w:gridCol w:w="966"/>
                        <w:gridCol w:w="839"/>
                        <w:gridCol w:w="837"/>
                        <w:gridCol w:w="709"/>
                        <w:gridCol w:w="966"/>
                        <w:gridCol w:w="709"/>
                        <w:gridCol w:w="709"/>
                        <w:gridCol w:w="1092"/>
                      </w:tblGrid>
                      <w:tr w:rsidR="00A0212B" w:rsidRPr="00D8282A" w14:paraId="79025A2F" w14:textId="77777777" w:rsidTr="002314E4">
                        <w:tc>
                          <w:tcPr>
                            <w:tcW w:w="439"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8178310"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市縣</w:t>
                            </w:r>
                          </w:p>
                        </w:tc>
                        <w:tc>
                          <w:tcPr>
                            <w:tcW w:w="979" w:type="pct"/>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90BA1C1"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可優先推動區域</w:t>
                            </w:r>
                          </w:p>
                        </w:tc>
                        <w:tc>
                          <w:tcPr>
                            <w:tcW w:w="3582" w:type="pct"/>
                            <w:gridSpan w:val="8"/>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E4931A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推動成果</w:t>
                            </w:r>
                          </w:p>
                        </w:tc>
                      </w:tr>
                      <w:tr w:rsidR="00A0212B" w:rsidRPr="00D8282A" w14:paraId="7DF4E44D" w14:textId="77777777" w:rsidTr="002314E4">
                        <w:tc>
                          <w:tcPr>
                            <w:tcW w:w="439"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4AB5B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978" w:type="pct"/>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F29CBAD"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947"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1778D68"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合計</w:t>
                            </w:r>
                          </w:p>
                        </w:tc>
                        <w:tc>
                          <w:tcPr>
                            <w:tcW w:w="439"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278954A"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已併網</w:t>
                            </w:r>
                          </w:p>
                        </w:tc>
                        <w:tc>
                          <w:tcPr>
                            <w:tcW w:w="372" w:type="pct"/>
                            <w:vMerge w:val="restar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7040ECC"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施工</w:t>
                            </w:r>
                          </w:p>
                          <w:p w14:paraId="51B89CEC"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階段</w:t>
                            </w:r>
                          </w:p>
                        </w:tc>
                        <w:tc>
                          <w:tcPr>
                            <w:tcW w:w="1826" w:type="pct"/>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268EA6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行政程序階段</w:t>
                            </w:r>
                          </w:p>
                        </w:tc>
                      </w:tr>
                      <w:tr w:rsidR="00A0212B" w:rsidRPr="00D8282A" w14:paraId="25DD5D5A" w14:textId="77777777" w:rsidTr="002314E4">
                        <w:tc>
                          <w:tcPr>
                            <w:tcW w:w="439"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E76658"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523" w:type="pct"/>
                            <w:tcBorders>
                              <w:top w:val="nil"/>
                              <w:left w:val="nil"/>
                              <w:bottom w:val="single" w:sz="4" w:space="0" w:color="auto"/>
                              <w:right w:val="single" w:sz="4" w:space="0" w:color="auto"/>
                            </w:tcBorders>
                            <w:shd w:val="clear" w:color="auto" w:fill="D9D9D9" w:themeFill="background1" w:themeFillShade="D9"/>
                            <w:noWrap/>
                            <w:vAlign w:val="center"/>
                            <w:hideMark/>
                          </w:tcPr>
                          <w:p w14:paraId="664E07EC"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面積</w:t>
                            </w:r>
                          </w:p>
                        </w:tc>
                        <w:tc>
                          <w:tcPr>
                            <w:tcW w:w="455" w:type="pct"/>
                            <w:tcBorders>
                              <w:top w:val="nil"/>
                              <w:left w:val="nil"/>
                              <w:bottom w:val="single" w:sz="4" w:space="0" w:color="auto"/>
                              <w:right w:val="single" w:sz="4" w:space="0" w:color="auto"/>
                            </w:tcBorders>
                            <w:shd w:val="clear" w:color="auto" w:fill="D9D9D9" w:themeFill="background1" w:themeFillShade="D9"/>
                            <w:noWrap/>
                            <w:vAlign w:val="center"/>
                            <w:hideMark/>
                          </w:tcPr>
                          <w:p w14:paraId="5A92CD49"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占比</w:t>
                            </w:r>
                          </w:p>
                        </w:tc>
                        <w:tc>
                          <w:tcPr>
                            <w:tcW w:w="507" w:type="pct"/>
                            <w:tcBorders>
                              <w:top w:val="nil"/>
                              <w:left w:val="nil"/>
                              <w:bottom w:val="single" w:sz="4" w:space="0" w:color="auto"/>
                              <w:right w:val="single" w:sz="4" w:space="0" w:color="auto"/>
                            </w:tcBorders>
                            <w:shd w:val="clear" w:color="auto" w:fill="D9D9D9" w:themeFill="background1" w:themeFillShade="D9"/>
                            <w:noWrap/>
                            <w:vAlign w:val="center"/>
                            <w:hideMark/>
                          </w:tcPr>
                          <w:p w14:paraId="4CDA609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裝置</w:t>
                            </w:r>
                          </w:p>
                          <w:p w14:paraId="70B7FFA7"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容量</w:t>
                            </w:r>
                          </w:p>
                        </w:tc>
                        <w:tc>
                          <w:tcPr>
                            <w:tcW w:w="440" w:type="pct"/>
                            <w:tcBorders>
                              <w:top w:val="nil"/>
                              <w:left w:val="nil"/>
                              <w:bottom w:val="single" w:sz="4" w:space="0" w:color="auto"/>
                              <w:right w:val="single" w:sz="4" w:space="0" w:color="auto"/>
                            </w:tcBorders>
                            <w:shd w:val="clear" w:color="auto" w:fill="D9D9D9" w:themeFill="background1" w:themeFillShade="D9"/>
                            <w:noWrap/>
                            <w:vAlign w:val="center"/>
                            <w:hideMark/>
                          </w:tcPr>
                          <w:p w14:paraId="5DD7AD77"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占比</w:t>
                            </w:r>
                          </w:p>
                        </w:tc>
                        <w:tc>
                          <w:tcPr>
                            <w:tcW w:w="439"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6269B8D"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372"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22A4A97"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p>
                        </w:tc>
                        <w:tc>
                          <w:tcPr>
                            <w:tcW w:w="507" w:type="pct"/>
                            <w:tcBorders>
                              <w:top w:val="nil"/>
                              <w:left w:val="nil"/>
                              <w:bottom w:val="single" w:sz="4" w:space="0" w:color="auto"/>
                              <w:right w:val="single" w:sz="4" w:space="0" w:color="auto"/>
                            </w:tcBorders>
                            <w:shd w:val="clear" w:color="auto" w:fill="D9D9D9" w:themeFill="background1" w:themeFillShade="D9"/>
                            <w:noWrap/>
                            <w:vAlign w:val="center"/>
                            <w:hideMark/>
                          </w:tcPr>
                          <w:p w14:paraId="2B7C3895"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小計</w:t>
                            </w:r>
                          </w:p>
                        </w:tc>
                        <w:tc>
                          <w:tcPr>
                            <w:tcW w:w="372" w:type="pct"/>
                            <w:tcBorders>
                              <w:top w:val="nil"/>
                              <w:left w:val="nil"/>
                              <w:bottom w:val="single" w:sz="4" w:space="0" w:color="auto"/>
                              <w:right w:val="single" w:sz="4" w:space="0" w:color="auto"/>
                            </w:tcBorders>
                            <w:shd w:val="clear" w:color="auto" w:fill="D9D9D9" w:themeFill="background1" w:themeFillShade="D9"/>
                            <w:noWrap/>
                            <w:vAlign w:val="center"/>
                            <w:hideMark/>
                          </w:tcPr>
                          <w:p w14:paraId="579368AC"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電業</w:t>
                            </w:r>
                          </w:p>
                          <w:p w14:paraId="4D237656"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籌設</w:t>
                            </w:r>
                          </w:p>
                        </w:tc>
                        <w:tc>
                          <w:tcPr>
                            <w:tcW w:w="372" w:type="pct"/>
                            <w:tcBorders>
                              <w:top w:val="nil"/>
                              <w:left w:val="nil"/>
                              <w:bottom w:val="single" w:sz="4" w:space="0" w:color="auto"/>
                              <w:right w:val="single" w:sz="4" w:space="0" w:color="auto"/>
                            </w:tcBorders>
                            <w:shd w:val="clear" w:color="auto" w:fill="D9D9D9" w:themeFill="background1" w:themeFillShade="D9"/>
                            <w:noWrap/>
                            <w:vAlign w:val="center"/>
                            <w:hideMark/>
                          </w:tcPr>
                          <w:p w14:paraId="647F91A3"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農業</w:t>
                            </w:r>
                          </w:p>
                          <w:p w14:paraId="0D031699"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容許</w:t>
                            </w:r>
                          </w:p>
                        </w:tc>
                        <w:tc>
                          <w:tcPr>
                            <w:tcW w:w="573" w:type="pct"/>
                            <w:tcBorders>
                              <w:top w:val="nil"/>
                              <w:left w:val="nil"/>
                              <w:bottom w:val="single" w:sz="4" w:space="0" w:color="auto"/>
                              <w:right w:val="single" w:sz="4" w:space="0" w:color="auto"/>
                            </w:tcBorders>
                            <w:shd w:val="clear" w:color="auto" w:fill="D9D9D9" w:themeFill="background1" w:themeFillShade="D9"/>
                            <w:noWrap/>
                            <w:vAlign w:val="center"/>
                            <w:hideMark/>
                          </w:tcPr>
                          <w:p w14:paraId="4A86B323"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建照與</w:t>
                            </w:r>
                          </w:p>
                          <w:p w14:paraId="2C933177" w14:textId="77777777" w:rsidR="00A0212B" w:rsidRPr="00D8282A" w:rsidRDefault="00A0212B" w:rsidP="002314E4">
                            <w:pPr>
                              <w:widowControl/>
                              <w:spacing w:line="220" w:lineRule="exact"/>
                              <w:jc w:val="center"/>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施工許可</w:t>
                            </w:r>
                          </w:p>
                        </w:tc>
                      </w:tr>
                      <w:tr w:rsidR="00A0212B" w:rsidRPr="00D8282A" w14:paraId="019314D6"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3853053C" w14:textId="77777777" w:rsidR="00A0212B" w:rsidRPr="00D8282A" w:rsidRDefault="00A0212B" w:rsidP="002314E4">
                            <w:pPr>
                              <w:widowControl/>
                              <w:spacing w:line="220" w:lineRule="exact"/>
                              <w:jc w:val="center"/>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合計</w:t>
                            </w:r>
                          </w:p>
                        </w:tc>
                        <w:tc>
                          <w:tcPr>
                            <w:tcW w:w="523" w:type="pct"/>
                            <w:tcBorders>
                              <w:top w:val="nil"/>
                              <w:left w:val="nil"/>
                              <w:bottom w:val="single" w:sz="4" w:space="0" w:color="auto"/>
                              <w:right w:val="single" w:sz="4" w:space="0" w:color="auto"/>
                            </w:tcBorders>
                            <w:shd w:val="clear" w:color="auto" w:fill="auto"/>
                            <w:noWrap/>
                            <w:vAlign w:val="center"/>
                            <w:hideMark/>
                          </w:tcPr>
                          <w:p w14:paraId="63FCA9D5"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11,341</w:t>
                            </w:r>
                          </w:p>
                        </w:tc>
                        <w:tc>
                          <w:tcPr>
                            <w:tcW w:w="455" w:type="pct"/>
                            <w:tcBorders>
                              <w:top w:val="nil"/>
                              <w:left w:val="nil"/>
                              <w:bottom w:val="single" w:sz="4" w:space="0" w:color="auto"/>
                              <w:right w:val="single" w:sz="4" w:space="0" w:color="auto"/>
                            </w:tcBorders>
                            <w:shd w:val="clear" w:color="auto" w:fill="auto"/>
                            <w:noWrap/>
                            <w:vAlign w:val="center"/>
                            <w:hideMark/>
                          </w:tcPr>
                          <w:p w14:paraId="6F0C44D1"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100.00</w:t>
                            </w:r>
                          </w:p>
                        </w:tc>
                        <w:tc>
                          <w:tcPr>
                            <w:tcW w:w="507" w:type="pct"/>
                            <w:tcBorders>
                              <w:top w:val="nil"/>
                              <w:left w:val="nil"/>
                              <w:bottom w:val="single" w:sz="4" w:space="0" w:color="auto"/>
                              <w:right w:val="single" w:sz="4" w:space="0" w:color="auto"/>
                            </w:tcBorders>
                            <w:shd w:val="clear" w:color="auto" w:fill="auto"/>
                            <w:noWrap/>
                            <w:vAlign w:val="center"/>
                            <w:hideMark/>
                          </w:tcPr>
                          <w:p w14:paraId="44B8EA1B"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2,619.2</w:t>
                            </w:r>
                          </w:p>
                        </w:tc>
                        <w:tc>
                          <w:tcPr>
                            <w:tcW w:w="440" w:type="pct"/>
                            <w:tcBorders>
                              <w:top w:val="nil"/>
                              <w:left w:val="nil"/>
                              <w:bottom w:val="single" w:sz="4" w:space="0" w:color="auto"/>
                              <w:right w:val="single" w:sz="4" w:space="0" w:color="auto"/>
                            </w:tcBorders>
                            <w:shd w:val="clear" w:color="auto" w:fill="auto"/>
                            <w:noWrap/>
                            <w:vAlign w:val="center"/>
                            <w:hideMark/>
                          </w:tcPr>
                          <w:p w14:paraId="04F9E21B"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100.00</w:t>
                            </w:r>
                          </w:p>
                        </w:tc>
                        <w:tc>
                          <w:tcPr>
                            <w:tcW w:w="439" w:type="pct"/>
                            <w:tcBorders>
                              <w:top w:val="nil"/>
                              <w:left w:val="nil"/>
                              <w:bottom w:val="single" w:sz="4" w:space="0" w:color="auto"/>
                              <w:right w:val="single" w:sz="4" w:space="0" w:color="auto"/>
                            </w:tcBorders>
                            <w:shd w:val="clear" w:color="auto" w:fill="auto"/>
                            <w:noWrap/>
                            <w:vAlign w:val="center"/>
                            <w:hideMark/>
                          </w:tcPr>
                          <w:p w14:paraId="0163E68D"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637.7</w:t>
                            </w:r>
                          </w:p>
                        </w:tc>
                        <w:tc>
                          <w:tcPr>
                            <w:tcW w:w="372" w:type="pct"/>
                            <w:tcBorders>
                              <w:top w:val="nil"/>
                              <w:left w:val="nil"/>
                              <w:bottom w:val="single" w:sz="4" w:space="0" w:color="auto"/>
                              <w:right w:val="single" w:sz="4" w:space="0" w:color="auto"/>
                            </w:tcBorders>
                            <w:shd w:val="clear" w:color="auto" w:fill="auto"/>
                            <w:noWrap/>
                            <w:vAlign w:val="center"/>
                            <w:hideMark/>
                          </w:tcPr>
                          <w:p w14:paraId="7090604C"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569.6</w:t>
                            </w:r>
                          </w:p>
                        </w:tc>
                        <w:tc>
                          <w:tcPr>
                            <w:tcW w:w="507" w:type="pct"/>
                            <w:tcBorders>
                              <w:top w:val="nil"/>
                              <w:left w:val="nil"/>
                              <w:bottom w:val="single" w:sz="4" w:space="0" w:color="auto"/>
                              <w:right w:val="single" w:sz="4" w:space="0" w:color="auto"/>
                            </w:tcBorders>
                            <w:shd w:val="clear" w:color="auto" w:fill="auto"/>
                            <w:noWrap/>
                            <w:vAlign w:val="center"/>
                            <w:hideMark/>
                          </w:tcPr>
                          <w:p w14:paraId="6DCB42D6"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1,411.9</w:t>
                            </w:r>
                          </w:p>
                        </w:tc>
                        <w:tc>
                          <w:tcPr>
                            <w:tcW w:w="372" w:type="pct"/>
                            <w:tcBorders>
                              <w:top w:val="nil"/>
                              <w:left w:val="nil"/>
                              <w:bottom w:val="single" w:sz="4" w:space="0" w:color="auto"/>
                              <w:right w:val="single" w:sz="4" w:space="0" w:color="auto"/>
                            </w:tcBorders>
                            <w:shd w:val="clear" w:color="auto" w:fill="auto"/>
                            <w:noWrap/>
                            <w:vAlign w:val="center"/>
                            <w:hideMark/>
                          </w:tcPr>
                          <w:p w14:paraId="29D00175"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640.9</w:t>
                            </w:r>
                          </w:p>
                        </w:tc>
                        <w:tc>
                          <w:tcPr>
                            <w:tcW w:w="372" w:type="pct"/>
                            <w:tcBorders>
                              <w:top w:val="nil"/>
                              <w:left w:val="nil"/>
                              <w:bottom w:val="single" w:sz="4" w:space="0" w:color="auto"/>
                              <w:right w:val="single" w:sz="4" w:space="0" w:color="auto"/>
                            </w:tcBorders>
                            <w:shd w:val="clear" w:color="auto" w:fill="auto"/>
                            <w:noWrap/>
                            <w:vAlign w:val="center"/>
                            <w:hideMark/>
                          </w:tcPr>
                          <w:p w14:paraId="2BD4A6C5"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669.6</w:t>
                            </w:r>
                          </w:p>
                        </w:tc>
                        <w:tc>
                          <w:tcPr>
                            <w:tcW w:w="573" w:type="pct"/>
                            <w:tcBorders>
                              <w:top w:val="nil"/>
                              <w:left w:val="nil"/>
                              <w:bottom w:val="single" w:sz="4" w:space="0" w:color="auto"/>
                              <w:right w:val="single" w:sz="4" w:space="0" w:color="auto"/>
                            </w:tcBorders>
                            <w:shd w:val="clear" w:color="auto" w:fill="auto"/>
                            <w:noWrap/>
                            <w:vAlign w:val="center"/>
                            <w:hideMark/>
                          </w:tcPr>
                          <w:p w14:paraId="180E8F10"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101.4</w:t>
                            </w:r>
                          </w:p>
                        </w:tc>
                      </w:tr>
                      <w:tr w:rsidR="00A0212B" w:rsidRPr="00D8282A" w14:paraId="71AEC536"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0292F5D1"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高雄市</w:t>
                            </w:r>
                          </w:p>
                        </w:tc>
                        <w:tc>
                          <w:tcPr>
                            <w:tcW w:w="523" w:type="pct"/>
                            <w:tcBorders>
                              <w:top w:val="nil"/>
                              <w:left w:val="nil"/>
                              <w:bottom w:val="single" w:sz="4" w:space="0" w:color="auto"/>
                              <w:right w:val="single" w:sz="4" w:space="0" w:color="auto"/>
                            </w:tcBorders>
                            <w:shd w:val="clear" w:color="auto" w:fill="auto"/>
                            <w:noWrap/>
                            <w:vAlign w:val="center"/>
                            <w:hideMark/>
                          </w:tcPr>
                          <w:p w14:paraId="5AECFC83"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2,923</w:t>
                            </w:r>
                          </w:p>
                        </w:tc>
                        <w:tc>
                          <w:tcPr>
                            <w:tcW w:w="455" w:type="pct"/>
                            <w:tcBorders>
                              <w:top w:val="nil"/>
                              <w:left w:val="nil"/>
                              <w:bottom w:val="single" w:sz="4" w:space="0" w:color="auto"/>
                              <w:right w:val="single" w:sz="4" w:space="0" w:color="auto"/>
                            </w:tcBorders>
                            <w:shd w:val="clear" w:color="auto" w:fill="auto"/>
                            <w:noWrap/>
                            <w:vAlign w:val="center"/>
                            <w:hideMark/>
                          </w:tcPr>
                          <w:p w14:paraId="50A00BA9"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25.77</w:t>
                            </w:r>
                          </w:p>
                        </w:tc>
                        <w:tc>
                          <w:tcPr>
                            <w:tcW w:w="507" w:type="pct"/>
                            <w:tcBorders>
                              <w:top w:val="nil"/>
                              <w:left w:val="nil"/>
                              <w:bottom w:val="single" w:sz="4" w:space="0" w:color="auto"/>
                              <w:right w:val="single" w:sz="4" w:space="0" w:color="auto"/>
                            </w:tcBorders>
                            <w:shd w:val="clear" w:color="auto" w:fill="auto"/>
                            <w:noWrap/>
                            <w:vAlign w:val="center"/>
                            <w:hideMark/>
                          </w:tcPr>
                          <w:p w14:paraId="26EC2A5D"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249.1</w:t>
                            </w:r>
                          </w:p>
                        </w:tc>
                        <w:tc>
                          <w:tcPr>
                            <w:tcW w:w="440" w:type="pct"/>
                            <w:tcBorders>
                              <w:top w:val="nil"/>
                              <w:left w:val="nil"/>
                              <w:bottom w:val="single" w:sz="4" w:space="0" w:color="auto"/>
                              <w:right w:val="single" w:sz="4" w:space="0" w:color="auto"/>
                            </w:tcBorders>
                            <w:shd w:val="clear" w:color="auto" w:fill="auto"/>
                            <w:noWrap/>
                            <w:vAlign w:val="center"/>
                            <w:hideMark/>
                          </w:tcPr>
                          <w:p w14:paraId="4D21EEB4"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9.51</w:t>
                            </w:r>
                          </w:p>
                        </w:tc>
                        <w:tc>
                          <w:tcPr>
                            <w:tcW w:w="439" w:type="pct"/>
                            <w:tcBorders>
                              <w:top w:val="nil"/>
                              <w:left w:val="nil"/>
                              <w:bottom w:val="single" w:sz="4" w:space="0" w:color="auto"/>
                              <w:right w:val="single" w:sz="4" w:space="0" w:color="auto"/>
                            </w:tcBorders>
                            <w:shd w:val="clear" w:color="auto" w:fill="auto"/>
                            <w:noWrap/>
                            <w:vAlign w:val="center"/>
                            <w:hideMark/>
                          </w:tcPr>
                          <w:p w14:paraId="29CF3CB8"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16.8</w:t>
                            </w:r>
                          </w:p>
                        </w:tc>
                        <w:tc>
                          <w:tcPr>
                            <w:tcW w:w="372" w:type="pct"/>
                            <w:tcBorders>
                              <w:top w:val="nil"/>
                              <w:left w:val="nil"/>
                              <w:bottom w:val="single" w:sz="4" w:space="0" w:color="auto"/>
                              <w:right w:val="single" w:sz="4" w:space="0" w:color="auto"/>
                            </w:tcBorders>
                            <w:shd w:val="clear" w:color="auto" w:fill="auto"/>
                            <w:noWrap/>
                            <w:vAlign w:val="center"/>
                            <w:hideMark/>
                          </w:tcPr>
                          <w:p w14:paraId="0E5923B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96.3</w:t>
                            </w:r>
                          </w:p>
                        </w:tc>
                        <w:tc>
                          <w:tcPr>
                            <w:tcW w:w="507" w:type="pct"/>
                            <w:tcBorders>
                              <w:top w:val="nil"/>
                              <w:left w:val="nil"/>
                              <w:bottom w:val="single" w:sz="4" w:space="0" w:color="auto"/>
                              <w:right w:val="single" w:sz="4" w:space="0" w:color="auto"/>
                            </w:tcBorders>
                            <w:shd w:val="clear" w:color="auto" w:fill="auto"/>
                            <w:noWrap/>
                            <w:vAlign w:val="center"/>
                            <w:hideMark/>
                          </w:tcPr>
                          <w:p w14:paraId="0CBB8776"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136.1</w:t>
                            </w:r>
                          </w:p>
                        </w:tc>
                        <w:tc>
                          <w:tcPr>
                            <w:tcW w:w="372" w:type="pct"/>
                            <w:tcBorders>
                              <w:top w:val="nil"/>
                              <w:left w:val="nil"/>
                              <w:bottom w:val="single" w:sz="4" w:space="0" w:color="auto"/>
                              <w:right w:val="single" w:sz="4" w:space="0" w:color="auto"/>
                            </w:tcBorders>
                            <w:shd w:val="clear" w:color="auto" w:fill="auto"/>
                            <w:noWrap/>
                            <w:vAlign w:val="center"/>
                            <w:hideMark/>
                          </w:tcPr>
                          <w:p w14:paraId="11486FE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116.7</w:t>
                            </w:r>
                          </w:p>
                        </w:tc>
                        <w:tc>
                          <w:tcPr>
                            <w:tcW w:w="372" w:type="pct"/>
                            <w:tcBorders>
                              <w:top w:val="nil"/>
                              <w:left w:val="nil"/>
                              <w:bottom w:val="single" w:sz="4" w:space="0" w:color="auto"/>
                              <w:right w:val="single" w:sz="4" w:space="0" w:color="auto"/>
                            </w:tcBorders>
                            <w:shd w:val="clear" w:color="auto" w:fill="auto"/>
                            <w:noWrap/>
                            <w:vAlign w:val="center"/>
                            <w:hideMark/>
                          </w:tcPr>
                          <w:p w14:paraId="22F9563F"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4.2</w:t>
                            </w:r>
                          </w:p>
                        </w:tc>
                        <w:tc>
                          <w:tcPr>
                            <w:tcW w:w="573" w:type="pct"/>
                            <w:tcBorders>
                              <w:top w:val="nil"/>
                              <w:left w:val="nil"/>
                              <w:bottom w:val="single" w:sz="4" w:space="0" w:color="auto"/>
                              <w:right w:val="single" w:sz="4" w:space="0" w:color="auto"/>
                            </w:tcBorders>
                            <w:shd w:val="clear" w:color="auto" w:fill="auto"/>
                            <w:noWrap/>
                            <w:vAlign w:val="center"/>
                            <w:hideMark/>
                          </w:tcPr>
                          <w:p w14:paraId="526E6F40"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15.2</w:t>
                            </w:r>
                          </w:p>
                        </w:tc>
                      </w:tr>
                      <w:tr w:rsidR="00A0212B" w:rsidRPr="00D8282A" w14:paraId="178A8C22"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58D09616"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臺南市</w:t>
                            </w:r>
                          </w:p>
                        </w:tc>
                        <w:tc>
                          <w:tcPr>
                            <w:tcW w:w="523" w:type="pct"/>
                            <w:tcBorders>
                              <w:top w:val="nil"/>
                              <w:left w:val="nil"/>
                              <w:bottom w:val="single" w:sz="4" w:space="0" w:color="auto"/>
                              <w:right w:val="single" w:sz="4" w:space="0" w:color="auto"/>
                            </w:tcBorders>
                            <w:shd w:val="clear" w:color="auto" w:fill="auto"/>
                            <w:noWrap/>
                            <w:vAlign w:val="center"/>
                            <w:hideMark/>
                          </w:tcPr>
                          <w:p w14:paraId="551AB25E"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2,518</w:t>
                            </w:r>
                          </w:p>
                        </w:tc>
                        <w:tc>
                          <w:tcPr>
                            <w:tcW w:w="455" w:type="pct"/>
                            <w:tcBorders>
                              <w:top w:val="nil"/>
                              <w:left w:val="nil"/>
                              <w:bottom w:val="single" w:sz="4" w:space="0" w:color="auto"/>
                              <w:right w:val="single" w:sz="4" w:space="0" w:color="auto"/>
                            </w:tcBorders>
                            <w:shd w:val="clear" w:color="auto" w:fill="auto"/>
                            <w:noWrap/>
                            <w:vAlign w:val="center"/>
                            <w:hideMark/>
                          </w:tcPr>
                          <w:p w14:paraId="7C399AF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22.21</w:t>
                            </w:r>
                          </w:p>
                        </w:tc>
                        <w:tc>
                          <w:tcPr>
                            <w:tcW w:w="507" w:type="pct"/>
                            <w:tcBorders>
                              <w:top w:val="nil"/>
                              <w:left w:val="nil"/>
                              <w:bottom w:val="single" w:sz="4" w:space="0" w:color="auto"/>
                              <w:right w:val="single" w:sz="4" w:space="0" w:color="auto"/>
                            </w:tcBorders>
                            <w:shd w:val="clear" w:color="auto" w:fill="auto"/>
                            <w:noWrap/>
                            <w:vAlign w:val="center"/>
                            <w:hideMark/>
                          </w:tcPr>
                          <w:p w14:paraId="48FAAEE7"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1,348.3</w:t>
                            </w:r>
                          </w:p>
                        </w:tc>
                        <w:tc>
                          <w:tcPr>
                            <w:tcW w:w="440" w:type="pct"/>
                            <w:tcBorders>
                              <w:top w:val="nil"/>
                              <w:left w:val="nil"/>
                              <w:bottom w:val="single" w:sz="4" w:space="0" w:color="auto"/>
                              <w:right w:val="single" w:sz="4" w:space="0" w:color="auto"/>
                            </w:tcBorders>
                            <w:shd w:val="clear" w:color="auto" w:fill="auto"/>
                            <w:noWrap/>
                            <w:vAlign w:val="center"/>
                            <w:hideMark/>
                          </w:tcPr>
                          <w:p w14:paraId="54149E2C"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51.48</w:t>
                            </w:r>
                          </w:p>
                        </w:tc>
                        <w:tc>
                          <w:tcPr>
                            <w:tcW w:w="439" w:type="pct"/>
                            <w:tcBorders>
                              <w:top w:val="nil"/>
                              <w:left w:val="nil"/>
                              <w:bottom w:val="single" w:sz="4" w:space="0" w:color="auto"/>
                              <w:right w:val="single" w:sz="4" w:space="0" w:color="auto"/>
                            </w:tcBorders>
                            <w:shd w:val="clear" w:color="auto" w:fill="auto"/>
                            <w:noWrap/>
                            <w:vAlign w:val="center"/>
                            <w:hideMark/>
                          </w:tcPr>
                          <w:p w14:paraId="3604D80D"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399.1</w:t>
                            </w:r>
                          </w:p>
                        </w:tc>
                        <w:tc>
                          <w:tcPr>
                            <w:tcW w:w="372" w:type="pct"/>
                            <w:tcBorders>
                              <w:top w:val="nil"/>
                              <w:left w:val="nil"/>
                              <w:bottom w:val="single" w:sz="4" w:space="0" w:color="auto"/>
                              <w:right w:val="single" w:sz="4" w:space="0" w:color="auto"/>
                            </w:tcBorders>
                            <w:shd w:val="clear" w:color="auto" w:fill="auto"/>
                            <w:noWrap/>
                            <w:vAlign w:val="center"/>
                            <w:hideMark/>
                          </w:tcPr>
                          <w:p w14:paraId="72E12AEF"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426.9</w:t>
                            </w:r>
                          </w:p>
                        </w:tc>
                        <w:tc>
                          <w:tcPr>
                            <w:tcW w:w="507" w:type="pct"/>
                            <w:tcBorders>
                              <w:top w:val="nil"/>
                              <w:left w:val="nil"/>
                              <w:bottom w:val="single" w:sz="4" w:space="0" w:color="auto"/>
                              <w:right w:val="single" w:sz="4" w:space="0" w:color="auto"/>
                            </w:tcBorders>
                            <w:shd w:val="clear" w:color="auto" w:fill="auto"/>
                            <w:noWrap/>
                            <w:vAlign w:val="center"/>
                            <w:hideMark/>
                          </w:tcPr>
                          <w:p w14:paraId="43390637"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522.3</w:t>
                            </w:r>
                          </w:p>
                        </w:tc>
                        <w:tc>
                          <w:tcPr>
                            <w:tcW w:w="372" w:type="pct"/>
                            <w:tcBorders>
                              <w:top w:val="nil"/>
                              <w:left w:val="nil"/>
                              <w:bottom w:val="single" w:sz="4" w:space="0" w:color="auto"/>
                              <w:right w:val="single" w:sz="4" w:space="0" w:color="auto"/>
                            </w:tcBorders>
                            <w:shd w:val="clear" w:color="auto" w:fill="auto"/>
                            <w:noWrap/>
                            <w:vAlign w:val="center"/>
                            <w:hideMark/>
                          </w:tcPr>
                          <w:p w14:paraId="7DB03B53"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388.1</w:t>
                            </w:r>
                          </w:p>
                        </w:tc>
                        <w:tc>
                          <w:tcPr>
                            <w:tcW w:w="372" w:type="pct"/>
                            <w:tcBorders>
                              <w:top w:val="nil"/>
                              <w:left w:val="nil"/>
                              <w:bottom w:val="single" w:sz="4" w:space="0" w:color="auto"/>
                              <w:right w:val="single" w:sz="4" w:space="0" w:color="auto"/>
                            </w:tcBorders>
                            <w:shd w:val="clear" w:color="auto" w:fill="auto"/>
                            <w:noWrap/>
                            <w:vAlign w:val="center"/>
                            <w:hideMark/>
                          </w:tcPr>
                          <w:p w14:paraId="6CE0ED10"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71.8</w:t>
                            </w:r>
                          </w:p>
                        </w:tc>
                        <w:tc>
                          <w:tcPr>
                            <w:tcW w:w="573" w:type="pct"/>
                            <w:tcBorders>
                              <w:top w:val="nil"/>
                              <w:left w:val="nil"/>
                              <w:bottom w:val="single" w:sz="4" w:space="0" w:color="auto"/>
                              <w:right w:val="single" w:sz="4" w:space="0" w:color="auto"/>
                            </w:tcBorders>
                            <w:shd w:val="clear" w:color="auto" w:fill="auto"/>
                            <w:noWrap/>
                            <w:vAlign w:val="center"/>
                            <w:hideMark/>
                          </w:tcPr>
                          <w:p w14:paraId="0BF38038"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62.4</w:t>
                            </w:r>
                          </w:p>
                        </w:tc>
                      </w:tr>
                      <w:tr w:rsidR="00A0212B" w:rsidRPr="00D8282A" w14:paraId="4486B148"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392EB923"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嘉義縣</w:t>
                            </w:r>
                          </w:p>
                        </w:tc>
                        <w:tc>
                          <w:tcPr>
                            <w:tcW w:w="523" w:type="pct"/>
                            <w:tcBorders>
                              <w:top w:val="nil"/>
                              <w:left w:val="nil"/>
                              <w:bottom w:val="single" w:sz="4" w:space="0" w:color="auto"/>
                              <w:right w:val="single" w:sz="4" w:space="0" w:color="auto"/>
                            </w:tcBorders>
                            <w:shd w:val="clear" w:color="auto" w:fill="auto"/>
                            <w:noWrap/>
                            <w:vAlign w:val="center"/>
                            <w:hideMark/>
                          </w:tcPr>
                          <w:p w14:paraId="508143D0"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1,956</w:t>
                            </w:r>
                          </w:p>
                        </w:tc>
                        <w:tc>
                          <w:tcPr>
                            <w:tcW w:w="455" w:type="pct"/>
                            <w:tcBorders>
                              <w:top w:val="nil"/>
                              <w:left w:val="nil"/>
                              <w:bottom w:val="single" w:sz="4" w:space="0" w:color="auto"/>
                              <w:right w:val="single" w:sz="4" w:space="0" w:color="auto"/>
                            </w:tcBorders>
                            <w:shd w:val="clear" w:color="auto" w:fill="auto"/>
                            <w:noWrap/>
                            <w:vAlign w:val="center"/>
                            <w:hideMark/>
                          </w:tcPr>
                          <w:p w14:paraId="0A136313"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17.25</w:t>
                            </w:r>
                          </w:p>
                        </w:tc>
                        <w:tc>
                          <w:tcPr>
                            <w:tcW w:w="507" w:type="pct"/>
                            <w:tcBorders>
                              <w:top w:val="nil"/>
                              <w:left w:val="nil"/>
                              <w:bottom w:val="single" w:sz="4" w:space="0" w:color="auto"/>
                              <w:right w:val="single" w:sz="4" w:space="0" w:color="auto"/>
                            </w:tcBorders>
                            <w:shd w:val="clear" w:color="auto" w:fill="auto"/>
                            <w:noWrap/>
                            <w:vAlign w:val="center"/>
                            <w:hideMark/>
                          </w:tcPr>
                          <w:p w14:paraId="24CC8195"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840.3</w:t>
                            </w:r>
                          </w:p>
                        </w:tc>
                        <w:tc>
                          <w:tcPr>
                            <w:tcW w:w="440" w:type="pct"/>
                            <w:tcBorders>
                              <w:top w:val="nil"/>
                              <w:left w:val="nil"/>
                              <w:bottom w:val="single" w:sz="4" w:space="0" w:color="auto"/>
                              <w:right w:val="single" w:sz="4" w:space="0" w:color="auto"/>
                            </w:tcBorders>
                            <w:shd w:val="clear" w:color="auto" w:fill="auto"/>
                            <w:noWrap/>
                            <w:vAlign w:val="center"/>
                            <w:hideMark/>
                          </w:tcPr>
                          <w:p w14:paraId="5493F503"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32.08</w:t>
                            </w:r>
                          </w:p>
                        </w:tc>
                        <w:tc>
                          <w:tcPr>
                            <w:tcW w:w="439" w:type="pct"/>
                            <w:tcBorders>
                              <w:top w:val="nil"/>
                              <w:left w:val="nil"/>
                              <w:bottom w:val="single" w:sz="4" w:space="0" w:color="auto"/>
                              <w:right w:val="single" w:sz="4" w:space="0" w:color="auto"/>
                            </w:tcBorders>
                            <w:shd w:val="clear" w:color="auto" w:fill="auto"/>
                            <w:noWrap/>
                            <w:vAlign w:val="center"/>
                            <w:hideMark/>
                          </w:tcPr>
                          <w:p w14:paraId="4B2B63A8"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188.6</w:t>
                            </w:r>
                          </w:p>
                        </w:tc>
                        <w:tc>
                          <w:tcPr>
                            <w:tcW w:w="372" w:type="pct"/>
                            <w:tcBorders>
                              <w:top w:val="nil"/>
                              <w:left w:val="nil"/>
                              <w:bottom w:val="single" w:sz="4" w:space="0" w:color="auto"/>
                              <w:right w:val="single" w:sz="4" w:space="0" w:color="auto"/>
                            </w:tcBorders>
                            <w:shd w:val="clear" w:color="auto" w:fill="auto"/>
                            <w:noWrap/>
                            <w:vAlign w:val="center"/>
                            <w:hideMark/>
                          </w:tcPr>
                          <w:p w14:paraId="5A9B0FA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38.6</w:t>
                            </w:r>
                          </w:p>
                        </w:tc>
                        <w:tc>
                          <w:tcPr>
                            <w:tcW w:w="507" w:type="pct"/>
                            <w:tcBorders>
                              <w:top w:val="nil"/>
                              <w:left w:val="nil"/>
                              <w:bottom w:val="single" w:sz="4" w:space="0" w:color="auto"/>
                              <w:right w:val="single" w:sz="4" w:space="0" w:color="auto"/>
                            </w:tcBorders>
                            <w:shd w:val="clear" w:color="auto" w:fill="auto"/>
                            <w:noWrap/>
                            <w:vAlign w:val="center"/>
                            <w:hideMark/>
                          </w:tcPr>
                          <w:p w14:paraId="09B36709"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613.1</w:t>
                            </w:r>
                          </w:p>
                        </w:tc>
                        <w:tc>
                          <w:tcPr>
                            <w:tcW w:w="372" w:type="pct"/>
                            <w:tcBorders>
                              <w:top w:val="nil"/>
                              <w:left w:val="nil"/>
                              <w:bottom w:val="single" w:sz="4" w:space="0" w:color="auto"/>
                              <w:right w:val="single" w:sz="4" w:space="0" w:color="auto"/>
                            </w:tcBorders>
                            <w:shd w:val="clear" w:color="auto" w:fill="auto"/>
                            <w:noWrap/>
                            <w:vAlign w:val="center"/>
                            <w:hideMark/>
                          </w:tcPr>
                          <w:p w14:paraId="42848C0D"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372" w:type="pct"/>
                            <w:tcBorders>
                              <w:top w:val="nil"/>
                              <w:left w:val="nil"/>
                              <w:bottom w:val="single" w:sz="4" w:space="0" w:color="auto"/>
                              <w:right w:val="single" w:sz="4" w:space="0" w:color="auto"/>
                            </w:tcBorders>
                            <w:shd w:val="clear" w:color="auto" w:fill="auto"/>
                            <w:noWrap/>
                            <w:vAlign w:val="center"/>
                            <w:hideMark/>
                          </w:tcPr>
                          <w:p w14:paraId="71FDA902"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591.1</w:t>
                            </w:r>
                          </w:p>
                        </w:tc>
                        <w:tc>
                          <w:tcPr>
                            <w:tcW w:w="573" w:type="pct"/>
                            <w:tcBorders>
                              <w:top w:val="nil"/>
                              <w:left w:val="nil"/>
                              <w:bottom w:val="single" w:sz="4" w:space="0" w:color="auto"/>
                              <w:right w:val="single" w:sz="4" w:space="0" w:color="auto"/>
                            </w:tcBorders>
                            <w:shd w:val="clear" w:color="auto" w:fill="auto"/>
                            <w:noWrap/>
                            <w:vAlign w:val="center"/>
                            <w:hideMark/>
                          </w:tcPr>
                          <w:p w14:paraId="2B49AD36"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22.0</w:t>
                            </w:r>
                          </w:p>
                        </w:tc>
                      </w:tr>
                      <w:tr w:rsidR="00A0212B" w:rsidRPr="00D8282A" w14:paraId="6B83206A"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7E4BE7A0"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雲林縣</w:t>
                            </w:r>
                          </w:p>
                        </w:tc>
                        <w:tc>
                          <w:tcPr>
                            <w:tcW w:w="523" w:type="pct"/>
                            <w:tcBorders>
                              <w:top w:val="nil"/>
                              <w:left w:val="nil"/>
                              <w:bottom w:val="single" w:sz="4" w:space="0" w:color="auto"/>
                              <w:right w:val="single" w:sz="4" w:space="0" w:color="auto"/>
                            </w:tcBorders>
                            <w:shd w:val="clear" w:color="auto" w:fill="auto"/>
                            <w:noWrap/>
                            <w:vAlign w:val="center"/>
                            <w:hideMark/>
                          </w:tcPr>
                          <w:p w14:paraId="4101E879"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1,859</w:t>
                            </w:r>
                          </w:p>
                        </w:tc>
                        <w:tc>
                          <w:tcPr>
                            <w:tcW w:w="455" w:type="pct"/>
                            <w:tcBorders>
                              <w:top w:val="nil"/>
                              <w:left w:val="nil"/>
                              <w:bottom w:val="single" w:sz="4" w:space="0" w:color="auto"/>
                              <w:right w:val="single" w:sz="4" w:space="0" w:color="auto"/>
                            </w:tcBorders>
                            <w:shd w:val="clear" w:color="auto" w:fill="auto"/>
                            <w:noWrap/>
                            <w:vAlign w:val="center"/>
                            <w:hideMark/>
                          </w:tcPr>
                          <w:p w14:paraId="014053D6"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16.39</w:t>
                            </w:r>
                          </w:p>
                        </w:tc>
                        <w:tc>
                          <w:tcPr>
                            <w:tcW w:w="507" w:type="pct"/>
                            <w:tcBorders>
                              <w:top w:val="nil"/>
                              <w:left w:val="nil"/>
                              <w:bottom w:val="single" w:sz="4" w:space="0" w:color="auto"/>
                              <w:right w:val="single" w:sz="4" w:space="0" w:color="auto"/>
                            </w:tcBorders>
                            <w:shd w:val="clear" w:color="auto" w:fill="auto"/>
                            <w:noWrap/>
                            <w:vAlign w:val="center"/>
                            <w:hideMark/>
                          </w:tcPr>
                          <w:p w14:paraId="1BDCDF1C"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28.4</w:t>
                            </w:r>
                          </w:p>
                        </w:tc>
                        <w:tc>
                          <w:tcPr>
                            <w:tcW w:w="440" w:type="pct"/>
                            <w:tcBorders>
                              <w:top w:val="nil"/>
                              <w:left w:val="nil"/>
                              <w:bottom w:val="single" w:sz="4" w:space="0" w:color="auto"/>
                              <w:right w:val="single" w:sz="4" w:space="0" w:color="auto"/>
                            </w:tcBorders>
                            <w:shd w:val="clear" w:color="auto" w:fill="auto"/>
                            <w:noWrap/>
                            <w:vAlign w:val="center"/>
                            <w:hideMark/>
                          </w:tcPr>
                          <w:p w14:paraId="0367E8A7"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1.08</w:t>
                            </w:r>
                          </w:p>
                        </w:tc>
                        <w:tc>
                          <w:tcPr>
                            <w:tcW w:w="439" w:type="pct"/>
                            <w:tcBorders>
                              <w:top w:val="nil"/>
                              <w:left w:val="nil"/>
                              <w:bottom w:val="single" w:sz="4" w:space="0" w:color="auto"/>
                              <w:right w:val="single" w:sz="4" w:space="0" w:color="auto"/>
                            </w:tcBorders>
                            <w:shd w:val="clear" w:color="auto" w:fill="auto"/>
                            <w:noWrap/>
                            <w:vAlign w:val="center"/>
                            <w:hideMark/>
                          </w:tcPr>
                          <w:p w14:paraId="4455057A"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11.9</w:t>
                            </w:r>
                          </w:p>
                        </w:tc>
                        <w:tc>
                          <w:tcPr>
                            <w:tcW w:w="372" w:type="pct"/>
                            <w:tcBorders>
                              <w:top w:val="nil"/>
                              <w:left w:val="nil"/>
                              <w:bottom w:val="single" w:sz="4" w:space="0" w:color="auto"/>
                              <w:right w:val="single" w:sz="4" w:space="0" w:color="auto"/>
                            </w:tcBorders>
                            <w:shd w:val="clear" w:color="auto" w:fill="auto"/>
                            <w:noWrap/>
                            <w:vAlign w:val="center"/>
                            <w:hideMark/>
                          </w:tcPr>
                          <w:p w14:paraId="0CC0015D"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7.8</w:t>
                            </w:r>
                          </w:p>
                        </w:tc>
                        <w:tc>
                          <w:tcPr>
                            <w:tcW w:w="507" w:type="pct"/>
                            <w:tcBorders>
                              <w:top w:val="nil"/>
                              <w:left w:val="nil"/>
                              <w:bottom w:val="single" w:sz="4" w:space="0" w:color="auto"/>
                              <w:right w:val="single" w:sz="4" w:space="0" w:color="auto"/>
                            </w:tcBorders>
                            <w:shd w:val="clear" w:color="auto" w:fill="auto"/>
                            <w:noWrap/>
                            <w:vAlign w:val="center"/>
                            <w:hideMark/>
                          </w:tcPr>
                          <w:p w14:paraId="3D00F519"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8.7</w:t>
                            </w:r>
                          </w:p>
                        </w:tc>
                        <w:tc>
                          <w:tcPr>
                            <w:tcW w:w="372" w:type="pct"/>
                            <w:tcBorders>
                              <w:top w:val="nil"/>
                              <w:left w:val="nil"/>
                              <w:bottom w:val="single" w:sz="4" w:space="0" w:color="auto"/>
                              <w:right w:val="single" w:sz="4" w:space="0" w:color="auto"/>
                            </w:tcBorders>
                            <w:shd w:val="clear" w:color="auto" w:fill="auto"/>
                            <w:noWrap/>
                            <w:vAlign w:val="center"/>
                            <w:hideMark/>
                          </w:tcPr>
                          <w:p w14:paraId="68C78F47"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4.3</w:t>
                            </w:r>
                          </w:p>
                        </w:tc>
                        <w:tc>
                          <w:tcPr>
                            <w:tcW w:w="372" w:type="pct"/>
                            <w:tcBorders>
                              <w:top w:val="nil"/>
                              <w:left w:val="nil"/>
                              <w:bottom w:val="single" w:sz="4" w:space="0" w:color="auto"/>
                              <w:right w:val="single" w:sz="4" w:space="0" w:color="auto"/>
                            </w:tcBorders>
                            <w:shd w:val="clear" w:color="auto" w:fill="auto"/>
                            <w:noWrap/>
                            <w:vAlign w:val="center"/>
                            <w:hideMark/>
                          </w:tcPr>
                          <w:p w14:paraId="4AD096C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2.5</w:t>
                            </w:r>
                          </w:p>
                        </w:tc>
                        <w:tc>
                          <w:tcPr>
                            <w:tcW w:w="573" w:type="pct"/>
                            <w:tcBorders>
                              <w:top w:val="nil"/>
                              <w:left w:val="nil"/>
                              <w:bottom w:val="single" w:sz="4" w:space="0" w:color="auto"/>
                              <w:right w:val="single" w:sz="4" w:space="0" w:color="auto"/>
                            </w:tcBorders>
                            <w:shd w:val="clear" w:color="auto" w:fill="auto"/>
                            <w:noWrap/>
                            <w:vAlign w:val="center"/>
                            <w:hideMark/>
                          </w:tcPr>
                          <w:p w14:paraId="3F34E6B2"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1.9</w:t>
                            </w:r>
                          </w:p>
                        </w:tc>
                      </w:tr>
                      <w:tr w:rsidR="00A0212B" w:rsidRPr="00D8282A" w14:paraId="18133F1E"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207F75F9"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屏東縣</w:t>
                            </w:r>
                          </w:p>
                        </w:tc>
                        <w:tc>
                          <w:tcPr>
                            <w:tcW w:w="523" w:type="pct"/>
                            <w:tcBorders>
                              <w:top w:val="nil"/>
                              <w:left w:val="nil"/>
                              <w:bottom w:val="single" w:sz="4" w:space="0" w:color="auto"/>
                              <w:right w:val="single" w:sz="4" w:space="0" w:color="auto"/>
                            </w:tcBorders>
                            <w:shd w:val="clear" w:color="auto" w:fill="auto"/>
                            <w:noWrap/>
                            <w:vAlign w:val="center"/>
                            <w:hideMark/>
                          </w:tcPr>
                          <w:p w14:paraId="54DDA7D9"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1,772</w:t>
                            </w:r>
                          </w:p>
                        </w:tc>
                        <w:tc>
                          <w:tcPr>
                            <w:tcW w:w="455" w:type="pct"/>
                            <w:tcBorders>
                              <w:top w:val="nil"/>
                              <w:left w:val="nil"/>
                              <w:bottom w:val="single" w:sz="4" w:space="0" w:color="auto"/>
                              <w:right w:val="single" w:sz="4" w:space="0" w:color="auto"/>
                            </w:tcBorders>
                            <w:shd w:val="clear" w:color="auto" w:fill="auto"/>
                            <w:noWrap/>
                            <w:vAlign w:val="center"/>
                            <w:hideMark/>
                          </w:tcPr>
                          <w:p w14:paraId="567D1A3B"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15.63</w:t>
                            </w:r>
                          </w:p>
                        </w:tc>
                        <w:tc>
                          <w:tcPr>
                            <w:tcW w:w="507" w:type="pct"/>
                            <w:tcBorders>
                              <w:top w:val="nil"/>
                              <w:left w:val="nil"/>
                              <w:bottom w:val="single" w:sz="4" w:space="0" w:color="auto"/>
                              <w:right w:val="single" w:sz="4" w:space="0" w:color="auto"/>
                            </w:tcBorders>
                            <w:shd w:val="clear" w:color="auto" w:fill="auto"/>
                            <w:noWrap/>
                            <w:vAlign w:val="center"/>
                            <w:hideMark/>
                          </w:tcPr>
                          <w:p w14:paraId="18642094"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18.1</w:t>
                            </w:r>
                          </w:p>
                        </w:tc>
                        <w:tc>
                          <w:tcPr>
                            <w:tcW w:w="440" w:type="pct"/>
                            <w:tcBorders>
                              <w:top w:val="nil"/>
                              <w:left w:val="nil"/>
                              <w:bottom w:val="single" w:sz="4" w:space="0" w:color="auto"/>
                              <w:right w:val="single" w:sz="4" w:space="0" w:color="auto"/>
                            </w:tcBorders>
                            <w:shd w:val="clear" w:color="auto" w:fill="auto"/>
                            <w:noWrap/>
                            <w:vAlign w:val="center"/>
                            <w:hideMark/>
                          </w:tcPr>
                          <w:p w14:paraId="54428AC2"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0.69</w:t>
                            </w:r>
                          </w:p>
                        </w:tc>
                        <w:tc>
                          <w:tcPr>
                            <w:tcW w:w="439" w:type="pct"/>
                            <w:tcBorders>
                              <w:top w:val="nil"/>
                              <w:left w:val="nil"/>
                              <w:bottom w:val="single" w:sz="4" w:space="0" w:color="auto"/>
                              <w:right w:val="single" w:sz="4" w:space="0" w:color="auto"/>
                            </w:tcBorders>
                            <w:shd w:val="clear" w:color="auto" w:fill="auto"/>
                            <w:noWrap/>
                            <w:vAlign w:val="center"/>
                            <w:hideMark/>
                          </w:tcPr>
                          <w:p w14:paraId="17D208C6"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18.1</w:t>
                            </w:r>
                          </w:p>
                        </w:tc>
                        <w:tc>
                          <w:tcPr>
                            <w:tcW w:w="372" w:type="pct"/>
                            <w:tcBorders>
                              <w:top w:val="nil"/>
                              <w:left w:val="nil"/>
                              <w:bottom w:val="single" w:sz="4" w:space="0" w:color="auto"/>
                              <w:right w:val="single" w:sz="4" w:space="0" w:color="auto"/>
                            </w:tcBorders>
                            <w:shd w:val="clear" w:color="auto" w:fill="auto"/>
                            <w:noWrap/>
                            <w:vAlign w:val="center"/>
                            <w:hideMark/>
                          </w:tcPr>
                          <w:p w14:paraId="6FA754AA"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507" w:type="pct"/>
                            <w:tcBorders>
                              <w:top w:val="nil"/>
                              <w:left w:val="nil"/>
                              <w:bottom w:val="single" w:sz="4" w:space="0" w:color="auto"/>
                              <w:right w:val="single" w:sz="4" w:space="0" w:color="auto"/>
                            </w:tcBorders>
                            <w:shd w:val="clear" w:color="auto" w:fill="auto"/>
                            <w:noWrap/>
                            <w:vAlign w:val="center"/>
                            <w:hideMark/>
                          </w:tcPr>
                          <w:p w14:paraId="0167FB9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372" w:type="pct"/>
                            <w:tcBorders>
                              <w:top w:val="nil"/>
                              <w:left w:val="nil"/>
                              <w:bottom w:val="single" w:sz="4" w:space="0" w:color="auto"/>
                              <w:right w:val="single" w:sz="4" w:space="0" w:color="auto"/>
                            </w:tcBorders>
                            <w:shd w:val="clear" w:color="auto" w:fill="auto"/>
                            <w:noWrap/>
                            <w:vAlign w:val="center"/>
                            <w:hideMark/>
                          </w:tcPr>
                          <w:p w14:paraId="0D2A9C4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372" w:type="pct"/>
                            <w:tcBorders>
                              <w:top w:val="nil"/>
                              <w:left w:val="nil"/>
                              <w:bottom w:val="single" w:sz="4" w:space="0" w:color="auto"/>
                              <w:right w:val="single" w:sz="4" w:space="0" w:color="auto"/>
                            </w:tcBorders>
                            <w:shd w:val="clear" w:color="auto" w:fill="auto"/>
                            <w:noWrap/>
                            <w:vAlign w:val="center"/>
                            <w:hideMark/>
                          </w:tcPr>
                          <w:p w14:paraId="36B9346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573" w:type="pct"/>
                            <w:tcBorders>
                              <w:top w:val="nil"/>
                              <w:left w:val="nil"/>
                              <w:bottom w:val="single" w:sz="4" w:space="0" w:color="auto"/>
                              <w:right w:val="single" w:sz="4" w:space="0" w:color="auto"/>
                            </w:tcBorders>
                            <w:shd w:val="clear" w:color="auto" w:fill="auto"/>
                            <w:noWrap/>
                            <w:vAlign w:val="center"/>
                            <w:hideMark/>
                          </w:tcPr>
                          <w:p w14:paraId="7A1BD04E"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r>
                      <w:tr w:rsidR="00A0212B" w:rsidRPr="00D8282A" w14:paraId="7488ACCB" w14:textId="77777777" w:rsidTr="002314E4">
                        <w:tc>
                          <w:tcPr>
                            <w:tcW w:w="439" w:type="pct"/>
                            <w:tcBorders>
                              <w:top w:val="nil"/>
                              <w:left w:val="single" w:sz="4" w:space="0" w:color="auto"/>
                              <w:bottom w:val="single" w:sz="4" w:space="0" w:color="auto"/>
                              <w:right w:val="single" w:sz="4" w:space="0" w:color="auto"/>
                            </w:tcBorders>
                            <w:shd w:val="clear" w:color="auto" w:fill="auto"/>
                            <w:noWrap/>
                            <w:vAlign w:val="center"/>
                            <w:hideMark/>
                          </w:tcPr>
                          <w:p w14:paraId="35692243" w14:textId="77777777" w:rsidR="00A0212B" w:rsidRPr="00D8282A" w:rsidRDefault="00A0212B" w:rsidP="002314E4">
                            <w:pPr>
                              <w:widowControl/>
                              <w:spacing w:line="220" w:lineRule="exact"/>
                              <w:jc w:val="both"/>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彰化縣</w:t>
                            </w:r>
                          </w:p>
                        </w:tc>
                        <w:tc>
                          <w:tcPr>
                            <w:tcW w:w="523" w:type="pct"/>
                            <w:tcBorders>
                              <w:top w:val="nil"/>
                              <w:left w:val="nil"/>
                              <w:bottom w:val="single" w:sz="4" w:space="0" w:color="auto"/>
                              <w:right w:val="single" w:sz="4" w:space="0" w:color="auto"/>
                            </w:tcBorders>
                            <w:shd w:val="clear" w:color="auto" w:fill="auto"/>
                            <w:noWrap/>
                            <w:vAlign w:val="center"/>
                            <w:hideMark/>
                          </w:tcPr>
                          <w:p w14:paraId="1D543F4E" w14:textId="77777777" w:rsidR="00A0212B" w:rsidRPr="00D8282A" w:rsidRDefault="00A0212B" w:rsidP="002314E4">
                            <w:pPr>
                              <w:widowControl/>
                              <w:spacing w:line="220" w:lineRule="exact"/>
                              <w:ind w:firstLineChars="100" w:firstLine="200"/>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312</w:t>
                            </w:r>
                          </w:p>
                        </w:tc>
                        <w:tc>
                          <w:tcPr>
                            <w:tcW w:w="455" w:type="pct"/>
                            <w:tcBorders>
                              <w:top w:val="nil"/>
                              <w:left w:val="nil"/>
                              <w:bottom w:val="single" w:sz="4" w:space="0" w:color="auto"/>
                              <w:right w:val="single" w:sz="4" w:space="0" w:color="auto"/>
                            </w:tcBorders>
                            <w:shd w:val="clear" w:color="auto" w:fill="auto"/>
                            <w:noWrap/>
                            <w:vAlign w:val="center"/>
                            <w:hideMark/>
                          </w:tcPr>
                          <w:p w14:paraId="440D5A7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2.75</w:t>
                            </w:r>
                          </w:p>
                        </w:tc>
                        <w:tc>
                          <w:tcPr>
                            <w:tcW w:w="507" w:type="pct"/>
                            <w:tcBorders>
                              <w:top w:val="nil"/>
                              <w:left w:val="nil"/>
                              <w:bottom w:val="single" w:sz="4" w:space="0" w:color="auto"/>
                              <w:right w:val="single" w:sz="4" w:space="0" w:color="auto"/>
                            </w:tcBorders>
                            <w:shd w:val="clear" w:color="auto" w:fill="auto"/>
                            <w:noWrap/>
                            <w:vAlign w:val="center"/>
                            <w:hideMark/>
                          </w:tcPr>
                          <w:p w14:paraId="4F53895A" w14:textId="77777777" w:rsidR="00A0212B" w:rsidRPr="004D7C92" w:rsidRDefault="00A0212B" w:rsidP="002314E4">
                            <w:pPr>
                              <w:widowControl/>
                              <w:spacing w:line="220" w:lineRule="exact"/>
                              <w:jc w:val="right"/>
                              <w:rPr>
                                <w:rFonts w:ascii="標楷體" w:eastAsia="標楷體" w:hAnsi="標楷體" w:cs="新細明體"/>
                                <w:b/>
                                <w:color w:val="000000"/>
                                <w:kern w:val="0"/>
                                <w:sz w:val="20"/>
                              </w:rPr>
                            </w:pPr>
                            <w:r w:rsidRPr="004D7C92">
                              <w:rPr>
                                <w:rFonts w:ascii="標楷體" w:eastAsia="標楷體" w:hAnsi="標楷體" w:cs="新細明體"/>
                                <w:b/>
                                <w:color w:val="000000"/>
                                <w:kern w:val="0"/>
                                <w:sz w:val="20"/>
                              </w:rPr>
                              <w:t>135.1</w:t>
                            </w:r>
                          </w:p>
                        </w:tc>
                        <w:tc>
                          <w:tcPr>
                            <w:tcW w:w="440" w:type="pct"/>
                            <w:tcBorders>
                              <w:top w:val="nil"/>
                              <w:left w:val="nil"/>
                              <w:bottom w:val="single" w:sz="4" w:space="0" w:color="auto"/>
                              <w:right w:val="single" w:sz="4" w:space="0" w:color="auto"/>
                            </w:tcBorders>
                            <w:shd w:val="clear" w:color="auto" w:fill="auto"/>
                            <w:noWrap/>
                            <w:vAlign w:val="center"/>
                            <w:hideMark/>
                          </w:tcPr>
                          <w:p w14:paraId="52C9158A" w14:textId="77777777" w:rsidR="00A0212B" w:rsidRPr="00D8282A" w:rsidRDefault="00A0212B" w:rsidP="002314E4">
                            <w:pPr>
                              <w:widowControl/>
                              <w:spacing w:line="220" w:lineRule="exact"/>
                              <w:jc w:val="right"/>
                              <w:rPr>
                                <w:rFonts w:ascii="標楷體" w:eastAsia="標楷體" w:hAnsi="標楷體" w:cs="新細明體"/>
                                <w:b/>
                                <w:bCs/>
                                <w:color w:val="000000"/>
                                <w:kern w:val="0"/>
                                <w:sz w:val="20"/>
                              </w:rPr>
                            </w:pPr>
                            <w:r w:rsidRPr="00D8282A">
                              <w:rPr>
                                <w:rFonts w:ascii="標楷體" w:eastAsia="標楷體" w:hAnsi="標楷體" w:cs="新細明體" w:hint="eastAsia"/>
                                <w:b/>
                                <w:bCs/>
                                <w:color w:val="000000"/>
                                <w:kern w:val="0"/>
                                <w:sz w:val="20"/>
                              </w:rPr>
                              <w:t>5.16</w:t>
                            </w:r>
                          </w:p>
                        </w:tc>
                        <w:tc>
                          <w:tcPr>
                            <w:tcW w:w="439" w:type="pct"/>
                            <w:tcBorders>
                              <w:top w:val="nil"/>
                              <w:left w:val="nil"/>
                              <w:bottom w:val="single" w:sz="4" w:space="0" w:color="auto"/>
                              <w:right w:val="single" w:sz="4" w:space="0" w:color="auto"/>
                            </w:tcBorders>
                            <w:shd w:val="clear" w:color="auto" w:fill="auto"/>
                            <w:noWrap/>
                            <w:vAlign w:val="center"/>
                            <w:hideMark/>
                          </w:tcPr>
                          <w:p w14:paraId="074C32CB"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3.3</w:t>
                            </w:r>
                          </w:p>
                        </w:tc>
                        <w:tc>
                          <w:tcPr>
                            <w:tcW w:w="372" w:type="pct"/>
                            <w:tcBorders>
                              <w:top w:val="nil"/>
                              <w:left w:val="nil"/>
                              <w:bottom w:val="single" w:sz="4" w:space="0" w:color="auto"/>
                              <w:right w:val="single" w:sz="4" w:space="0" w:color="auto"/>
                            </w:tcBorders>
                            <w:shd w:val="clear" w:color="auto" w:fill="auto"/>
                            <w:noWrap/>
                            <w:vAlign w:val="center"/>
                            <w:hideMark/>
                          </w:tcPr>
                          <w:p w14:paraId="11453931"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507" w:type="pct"/>
                            <w:tcBorders>
                              <w:top w:val="nil"/>
                              <w:left w:val="nil"/>
                              <w:bottom w:val="single" w:sz="4" w:space="0" w:color="auto"/>
                              <w:right w:val="single" w:sz="4" w:space="0" w:color="auto"/>
                            </w:tcBorders>
                            <w:shd w:val="clear" w:color="auto" w:fill="auto"/>
                            <w:noWrap/>
                            <w:vAlign w:val="center"/>
                            <w:hideMark/>
                          </w:tcPr>
                          <w:p w14:paraId="27AFBD0E"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131.8</w:t>
                            </w:r>
                          </w:p>
                        </w:tc>
                        <w:tc>
                          <w:tcPr>
                            <w:tcW w:w="372" w:type="pct"/>
                            <w:tcBorders>
                              <w:top w:val="nil"/>
                              <w:left w:val="nil"/>
                              <w:bottom w:val="single" w:sz="4" w:space="0" w:color="auto"/>
                              <w:right w:val="single" w:sz="4" w:space="0" w:color="auto"/>
                            </w:tcBorders>
                            <w:shd w:val="clear" w:color="auto" w:fill="auto"/>
                            <w:noWrap/>
                            <w:vAlign w:val="center"/>
                            <w:hideMark/>
                          </w:tcPr>
                          <w:p w14:paraId="1BF49B07"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131.8</w:t>
                            </w:r>
                          </w:p>
                        </w:tc>
                        <w:tc>
                          <w:tcPr>
                            <w:tcW w:w="372" w:type="pct"/>
                            <w:tcBorders>
                              <w:top w:val="nil"/>
                              <w:left w:val="nil"/>
                              <w:bottom w:val="single" w:sz="4" w:space="0" w:color="auto"/>
                              <w:right w:val="single" w:sz="4" w:space="0" w:color="auto"/>
                            </w:tcBorders>
                            <w:shd w:val="clear" w:color="auto" w:fill="auto"/>
                            <w:noWrap/>
                            <w:vAlign w:val="center"/>
                            <w:hideMark/>
                          </w:tcPr>
                          <w:p w14:paraId="11EC2653"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c>
                          <w:tcPr>
                            <w:tcW w:w="573" w:type="pct"/>
                            <w:tcBorders>
                              <w:top w:val="nil"/>
                              <w:left w:val="nil"/>
                              <w:bottom w:val="single" w:sz="4" w:space="0" w:color="auto"/>
                              <w:right w:val="single" w:sz="4" w:space="0" w:color="auto"/>
                            </w:tcBorders>
                            <w:shd w:val="clear" w:color="auto" w:fill="auto"/>
                            <w:noWrap/>
                            <w:vAlign w:val="center"/>
                            <w:hideMark/>
                          </w:tcPr>
                          <w:p w14:paraId="2B86FC45" w14:textId="77777777" w:rsidR="00A0212B" w:rsidRPr="00D8282A" w:rsidRDefault="00A0212B" w:rsidP="002314E4">
                            <w:pPr>
                              <w:widowControl/>
                              <w:spacing w:line="220" w:lineRule="exact"/>
                              <w:jc w:val="right"/>
                              <w:rPr>
                                <w:rFonts w:ascii="標楷體" w:eastAsia="標楷體" w:hAnsi="標楷體" w:cs="新細明體"/>
                                <w:color w:val="000000"/>
                                <w:kern w:val="0"/>
                                <w:sz w:val="20"/>
                              </w:rPr>
                            </w:pPr>
                            <w:r w:rsidRPr="00D8282A">
                              <w:rPr>
                                <w:rFonts w:ascii="標楷體" w:eastAsia="標楷體" w:hAnsi="標楷體" w:cs="新細明體" w:hint="eastAsia"/>
                                <w:color w:val="000000"/>
                                <w:kern w:val="0"/>
                                <w:sz w:val="20"/>
                              </w:rPr>
                              <w:t>－</w:t>
                            </w:r>
                          </w:p>
                        </w:tc>
                      </w:tr>
                      <w:tr w:rsidR="00A0212B" w:rsidRPr="00D8282A" w14:paraId="249D389D" w14:textId="77777777" w:rsidTr="002314E4">
                        <w:tc>
                          <w:tcPr>
                            <w:tcW w:w="1" w:type="pct"/>
                            <w:gridSpan w:val="11"/>
                            <w:tcBorders>
                              <w:top w:val="single" w:sz="4" w:space="0" w:color="auto"/>
                            </w:tcBorders>
                            <w:shd w:val="clear" w:color="auto" w:fill="auto"/>
                            <w:noWrap/>
                            <w:vAlign w:val="bottom"/>
                          </w:tcPr>
                          <w:p w14:paraId="3A59DDC2" w14:textId="77777777" w:rsidR="00A0212B" w:rsidRPr="00D8282A" w:rsidRDefault="00A0212B" w:rsidP="002314E4">
                            <w:pPr>
                              <w:widowControl/>
                              <w:spacing w:line="240" w:lineRule="exact"/>
                              <w:jc w:val="both"/>
                              <w:rPr>
                                <w:rFonts w:ascii="標楷體" w:eastAsia="標楷體" w:hAnsi="標楷體" w:cs="新細明體"/>
                                <w:color w:val="000000"/>
                                <w:kern w:val="0"/>
                                <w:sz w:val="18"/>
                              </w:rPr>
                            </w:pPr>
                            <w:r w:rsidRPr="00D8282A">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經濟部</w:t>
                            </w:r>
                            <w:r w:rsidRPr="00D8282A">
                              <w:rPr>
                                <w:rFonts w:ascii="標楷體" w:eastAsia="標楷體" w:hAnsi="標楷體" w:cs="新細明體" w:hint="eastAsia"/>
                                <w:color w:val="000000"/>
                                <w:kern w:val="0"/>
                                <w:sz w:val="18"/>
                              </w:rPr>
                              <w:t>能源署提供資料。</w:t>
                            </w:r>
                          </w:p>
                        </w:tc>
                      </w:tr>
                    </w:tbl>
                    <w:p w14:paraId="3E91B068" w14:textId="77777777" w:rsidR="00A0212B" w:rsidRPr="00532377" w:rsidRDefault="00A0212B" w:rsidP="008A76F0"/>
                  </w:txbxContent>
                </v:textbox>
                <w10:wrap type="square" anchorx="page" anchory="page"/>
              </v:shape>
            </w:pict>
          </mc:Fallback>
        </mc:AlternateContent>
      </w:r>
      <w:r w:rsidR="008A76F0" w:rsidRPr="008A76F0">
        <w:rPr>
          <w:rFonts w:ascii="標楷體" w:eastAsia="標楷體" w:hAnsi="標楷體" w:cstheme="minorBidi"/>
          <w:b/>
          <w:szCs w:val="22"/>
        </w:rPr>
        <w:t>3.</w:t>
      </w:r>
      <w:r w:rsidR="008A76F0" w:rsidRPr="008A76F0">
        <w:rPr>
          <w:rFonts w:ascii="標楷體" w:eastAsia="標楷體" w:hAnsi="標楷體" w:cstheme="minorBidi" w:hint="eastAsia"/>
          <w:b/>
          <w:szCs w:val="22"/>
        </w:rPr>
        <w:t xml:space="preserve">　漁電共生專案推動成效未如預期，另部分漁業共生業者未具養殖事實，或劃設漁電共生專區之規劃未盡周妥，不利政策推動：</w:t>
      </w:r>
      <w:r w:rsidR="008A76F0" w:rsidRPr="008A76F0">
        <w:rPr>
          <w:rFonts w:ascii="標楷體" w:eastAsia="標楷體" w:hAnsi="標楷體" w:cstheme="minorBidi" w:hint="eastAsia"/>
          <w:szCs w:val="22"/>
        </w:rPr>
        <w:t>政府推動漁電共生，結合漁業養殖與太陽光電，並為確保漁電共生與社會及環境共存共榮，於109年底納入「太陽光電環境與社會檢核機制」，以確認潛在影響，預為提出因應對策。經查漁電共生推動情形，核有：（</w:t>
      </w:r>
      <w:r w:rsidR="008A76F0" w:rsidRPr="008A76F0">
        <w:rPr>
          <w:rFonts w:ascii="標楷體" w:eastAsia="標楷體" w:hAnsi="標楷體" w:cstheme="minorBidi"/>
          <w:szCs w:val="22"/>
        </w:rPr>
        <w:t>1）</w:t>
      </w:r>
      <w:r w:rsidR="008A76F0" w:rsidRPr="008A76F0">
        <w:rPr>
          <w:rFonts w:ascii="標楷體" w:eastAsia="標楷體" w:hAnsi="標楷體" w:cstheme="minorBidi" w:hint="eastAsia"/>
          <w:szCs w:val="22"/>
        </w:rPr>
        <w:t>截至112年底</w:t>
      </w:r>
      <w:r w:rsidR="00D55497">
        <w:rPr>
          <w:rFonts w:ascii="標楷體" w:eastAsia="標楷體" w:hAnsi="標楷體" w:cstheme="minorBidi" w:hint="eastAsia"/>
          <w:szCs w:val="22"/>
        </w:rPr>
        <w:t>止，</w:t>
      </w:r>
      <w:r w:rsidR="008A76F0" w:rsidRPr="008A76F0">
        <w:rPr>
          <w:rFonts w:ascii="標楷體" w:eastAsia="標楷體" w:hAnsi="標楷體" w:cstheme="minorBidi" w:hint="eastAsia"/>
          <w:szCs w:val="22"/>
        </w:rPr>
        <w:t>已公布20,256公頃漁電共生專區，其中列為「可優先推動漁業經營結合綠能之區位範圍」計有</w:t>
      </w:r>
      <w:r w:rsidR="008A76F0" w:rsidRPr="004D7C92">
        <w:rPr>
          <w:rFonts w:ascii="標楷體" w:eastAsia="標楷體" w:hAnsi="標楷體" w:cstheme="minorBidi"/>
          <w:szCs w:val="22"/>
        </w:rPr>
        <w:t>11,341公頃，惟推動結果，已完工併網637.7MW、施工階段569.6MW、行政程序階段1,411.9MW，合計2,619.2MW（</w:t>
      </w:r>
      <w:r w:rsidR="008A76F0" w:rsidRPr="006678C5">
        <w:rPr>
          <w:rFonts w:ascii="標楷體" w:eastAsia="標楷體" w:hAnsi="標楷體" w:cstheme="minorBidi" w:hint="eastAsia"/>
          <w:szCs w:val="22"/>
        </w:rPr>
        <w:t>表</w:t>
      </w:r>
      <w:r w:rsidR="008A76F0" w:rsidRPr="006678C5">
        <w:rPr>
          <w:rFonts w:ascii="標楷體" w:eastAsia="標楷體" w:hAnsi="標楷體" w:cstheme="minorBidi"/>
          <w:szCs w:val="22"/>
        </w:rPr>
        <w:t>19</w:t>
      </w:r>
      <w:r w:rsidR="008A76F0" w:rsidRPr="004D7C92">
        <w:rPr>
          <w:rFonts w:ascii="標楷體" w:eastAsia="標楷體" w:hAnsi="標楷體" w:cstheme="minorBidi" w:hint="eastAsia"/>
          <w:szCs w:val="22"/>
        </w:rPr>
        <w:t>）</w:t>
      </w:r>
      <w:r w:rsidR="008A76F0" w:rsidRPr="008A76F0">
        <w:rPr>
          <w:rFonts w:ascii="標楷體" w:eastAsia="標楷體" w:hAnsi="標楷體" w:cstheme="minorBidi" w:hint="eastAsia"/>
          <w:szCs w:val="22"/>
        </w:rPr>
        <w:t>，尚較114年設定之漁電共生專案目標4,428.3MW減少1,809.1MW，其中</w:t>
      </w:r>
      <w:r w:rsidR="00D55497" w:rsidRPr="00D55497">
        <w:rPr>
          <w:rFonts w:ascii="標楷體" w:eastAsia="標楷體" w:hAnsi="標楷體" w:cstheme="minorBidi" w:hint="eastAsia"/>
          <w:szCs w:val="22"/>
        </w:rPr>
        <w:t>臺南市、嘉義縣等2市縣可優先推動區域合計占比39.46％，完成與申請設置量合計占比達83.56％，至於高雄市</w:t>
      </w:r>
      <w:r w:rsidR="008A76F0" w:rsidRPr="008A76F0">
        <w:rPr>
          <w:rFonts w:ascii="標楷體" w:eastAsia="標楷體" w:hAnsi="標楷體" w:cstheme="minorBidi" w:hint="eastAsia"/>
          <w:szCs w:val="22"/>
        </w:rPr>
        <w:t>可優先推動區域面積雖居冠，然完成與申請設置量僅249.1MW，占9.51％，暨雲林縣、屏東縣之設置量僅28.4MW、18.1MW，分別占1.08％、0.69％，甚</w:t>
      </w:r>
      <w:r w:rsidR="00D55497">
        <w:rPr>
          <w:rFonts w:ascii="標楷體" w:eastAsia="標楷體" w:hAnsi="標楷體" w:cstheme="minorBidi" w:hint="eastAsia"/>
          <w:szCs w:val="22"/>
        </w:rPr>
        <w:t>至</w:t>
      </w:r>
      <w:r w:rsidR="008A76F0" w:rsidRPr="008A76F0">
        <w:rPr>
          <w:rFonts w:ascii="標楷體" w:eastAsia="標楷體" w:hAnsi="標楷體" w:cstheme="minorBidi" w:hint="eastAsia"/>
          <w:szCs w:val="22"/>
        </w:rPr>
        <w:t>屏東縣已無案場申請，據述係案場建築物涉既存違建及案場用地夾雜非農業土地，或土地持分所有權人過多，影響土地整合時效，或地方政府審查人力不足等所致</w:t>
      </w:r>
      <w:r w:rsidR="00D55497">
        <w:rPr>
          <w:rFonts w:ascii="標楷體" w:eastAsia="標楷體" w:hAnsi="標楷體" w:cstheme="minorBidi" w:hint="eastAsia"/>
          <w:szCs w:val="22"/>
        </w:rPr>
        <w:t>；</w:t>
      </w:r>
      <w:r w:rsidR="008A76F0" w:rsidRPr="008A76F0">
        <w:rPr>
          <w:rFonts w:ascii="標楷體" w:eastAsia="標楷體" w:hAnsi="標楷體" w:cstheme="minorBidi" w:hint="eastAsia"/>
          <w:szCs w:val="22"/>
        </w:rPr>
        <w:t>（</w:t>
      </w:r>
      <w:r w:rsidR="008A76F0" w:rsidRPr="008A76F0">
        <w:rPr>
          <w:rFonts w:ascii="標楷體" w:eastAsia="標楷體" w:hAnsi="標楷體" w:cstheme="minorBidi"/>
          <w:szCs w:val="22"/>
        </w:rPr>
        <w:t>2）</w:t>
      </w:r>
      <w:r w:rsidR="008A76F0" w:rsidRPr="008A76F0">
        <w:rPr>
          <w:rFonts w:ascii="標楷體" w:eastAsia="標楷體" w:hAnsi="標楷體" w:cstheme="minorBidi" w:hint="eastAsia"/>
          <w:szCs w:val="22"/>
        </w:rPr>
        <w:t>依申請農業用地作農業設施容許使用審查辦法</w:t>
      </w:r>
      <w:r w:rsidR="00553FDE" w:rsidRPr="00553FDE">
        <w:rPr>
          <w:rFonts w:ascii="標楷體" w:eastAsia="標楷體" w:hAnsi="標楷體" w:cstheme="minorBidi" w:hint="eastAsia"/>
          <w:szCs w:val="22"/>
        </w:rPr>
        <w:t>（下稱農業容許辦法）</w:t>
      </w:r>
      <w:r w:rsidR="008A76F0" w:rsidRPr="008A76F0">
        <w:rPr>
          <w:rFonts w:ascii="標楷體" w:eastAsia="標楷體" w:hAnsi="標楷體" w:cstheme="minorBidi" w:hint="eastAsia"/>
          <w:szCs w:val="22"/>
        </w:rPr>
        <w:t>第33條規定，地方主管機關應視實際需要抽查（漁電共生案場）是否依核定計畫內容使用；未依計畫內容使用者，原核定機關得廢止其許可等，惟截至112年底止，經列管改善者計有7件，裝置容量3.33MW；遭廢止許可者計有10件，裝置容量1.39MW，尚處行政訴訟階段，相關設施暫停拆除，相關查核與輔導措施、政策與制度宣導等均待完備。（3）據農業部於112年2月修正農業容許辦法第21條附表4內容，並經農業部漁業署於112年9月補充函釋，要求農牧用地之養殖池應為既存養殖池（養殖池設定日起應連續在養</w:t>
      </w:r>
      <w:r w:rsidR="008A76F0" w:rsidRPr="008A76F0">
        <w:rPr>
          <w:rFonts w:ascii="標楷體" w:eastAsia="標楷體" w:hAnsi="標楷體" w:cstheme="minorBidi"/>
          <w:szCs w:val="22"/>
        </w:rPr>
        <w:t>3</w:t>
      </w:r>
      <w:r w:rsidR="008A76F0" w:rsidRPr="008A76F0">
        <w:rPr>
          <w:rFonts w:ascii="標楷體" w:eastAsia="標楷體" w:hAnsi="標楷體" w:cstheme="minorBidi" w:hint="eastAsia"/>
          <w:szCs w:val="22"/>
        </w:rPr>
        <w:t>年），方有同</w:t>
      </w:r>
      <w:r w:rsidR="008A76F0" w:rsidRPr="008A76F0">
        <w:rPr>
          <w:rFonts w:ascii="標楷體" w:eastAsia="標楷體" w:hAnsi="標楷體" w:cstheme="minorBidi" w:hint="eastAsia"/>
          <w:szCs w:val="22"/>
        </w:rPr>
        <w:lastRenderedPageBreak/>
        <w:t>意容許使用之可能，惟漁電共生專區係由農業部及經濟部共同公告，且現已有漁電共生案場將廢養魚塭重新活化恢復養殖，上開限制將影響該等業者申請設置水產養殖及綠能設施之權益，顯示農業部與經濟部劃設漁電共生專區之規劃未盡周妥，仍待評估影響程度，並於確保養殖環境與糧食安全之前提下，研議規範效力與範圍或可行遞補方案等情</w:t>
      </w:r>
      <w:r w:rsidR="00D55497">
        <w:rPr>
          <w:rFonts w:ascii="標楷體" w:eastAsia="標楷體" w:hAnsi="標楷體" w:cstheme="minorBidi" w:hint="eastAsia"/>
          <w:szCs w:val="22"/>
        </w:rPr>
        <w:t>事</w:t>
      </w:r>
      <w:r w:rsidR="008A76F0" w:rsidRPr="008A76F0">
        <w:rPr>
          <w:rFonts w:ascii="標楷體" w:eastAsia="標楷體" w:hAnsi="標楷體" w:cstheme="minorBidi" w:hint="eastAsia"/>
          <w:szCs w:val="22"/>
        </w:rPr>
        <w:t>，</w:t>
      </w:r>
      <w:r w:rsidR="008A76F0" w:rsidRPr="004D7C92">
        <w:rPr>
          <w:rFonts w:ascii="標楷體" w:eastAsia="標楷體" w:hAnsi="標楷體" w:cstheme="minorBidi" w:hint="eastAsia"/>
          <w:spacing w:val="-2"/>
          <w:szCs w:val="24"/>
        </w:rPr>
        <w:t>經函請行政院督促針對問題癥結研謀妥處。據復：</w:t>
      </w:r>
      <w:r w:rsidR="008A76F0" w:rsidRPr="004D7C92">
        <w:rPr>
          <w:rFonts w:ascii="標楷體" w:eastAsia="標楷體" w:hAnsi="標楷體" w:cstheme="minorBidi" w:hint="eastAsia"/>
          <w:spacing w:val="-2"/>
          <w:szCs w:val="32"/>
        </w:rPr>
        <w:t>（</w:t>
      </w:r>
      <w:r w:rsidR="008A76F0" w:rsidRPr="004D7C92">
        <w:rPr>
          <w:rFonts w:ascii="標楷體" w:eastAsia="標楷體" w:hAnsi="標楷體" w:cstheme="minorBidi"/>
          <w:spacing w:val="-2"/>
          <w:szCs w:val="32"/>
        </w:rPr>
        <w:t>1）農業部持續全面盤點、追蹤及加強宣導，期能提高農民設置意願，另將邀集相關主管機關及業者討論案件申設進度，促進交流，解決業者申請容許相關問題；（2）已請地方政府於核發綠能容許時，併同要求申請者主動取得產銷履歷或其他國際認驗證，加強養殖場管理，並依相關規定與機制落實漁電共生案場養殖事實查核；（3）農業部與經濟部共同合作盤點各市縣養殖魚塭較集中之鄉鎮市區，辦理環境與社會檢核後，就較無環境與社會敏感之區位會銜公告為漁電共生區位範圍，截至113年6月止，已公告漁電共生專區合計20,982公頃，可促使有意願之漁民與光電業者從事漁電共生</w:t>
      </w:r>
      <w:r w:rsidR="008A76F0" w:rsidRPr="004D7C92">
        <w:rPr>
          <w:rFonts w:ascii="標楷體" w:eastAsia="標楷體" w:hAnsi="標楷體" w:cstheme="minorBidi" w:hint="eastAsia"/>
          <w:spacing w:val="-2"/>
          <w:szCs w:val="32"/>
        </w:rPr>
        <w:t>。</w:t>
      </w:r>
    </w:p>
    <w:p w14:paraId="378A660B" w14:textId="4F1E595F" w:rsidR="00193785" w:rsidRPr="00193785" w:rsidRDefault="00193785" w:rsidP="004D7C92">
      <w:pPr>
        <w:overflowPunct w:val="0"/>
        <w:spacing w:line="460" w:lineRule="exact"/>
        <w:ind w:firstLineChars="450" w:firstLine="1261"/>
        <w:jc w:val="both"/>
        <w:outlineLvl w:val="1"/>
        <w:rPr>
          <w:rFonts w:ascii="標楷體" w:eastAsia="標楷體" w:hAnsi="標楷體" w:cstheme="minorBidi"/>
          <w:szCs w:val="22"/>
        </w:rPr>
      </w:pPr>
      <w:r w:rsidRPr="00193785">
        <w:rPr>
          <w:rFonts w:ascii="標楷體" w:eastAsia="標楷體" w:hAnsi="標楷體" w:cstheme="majorBidi" w:hint="eastAsia"/>
          <w:b/>
          <w:bCs/>
          <w:sz w:val="28"/>
          <w:szCs w:val="32"/>
        </w:rPr>
        <w:t>（</w:t>
      </w:r>
      <w:r>
        <w:rPr>
          <w:rFonts w:ascii="標楷體" w:eastAsia="標楷體" w:hAnsi="標楷體" w:cstheme="majorBidi" w:hint="eastAsia"/>
          <w:b/>
          <w:bCs/>
          <w:sz w:val="28"/>
          <w:szCs w:val="32"/>
        </w:rPr>
        <w:t>十二</w:t>
      </w:r>
      <w:r w:rsidRPr="00193785">
        <w:rPr>
          <w:rFonts w:ascii="標楷體" w:eastAsia="標楷體" w:hAnsi="標楷體" w:cstheme="majorBidi" w:hint="eastAsia"/>
          <w:b/>
          <w:bCs/>
          <w:sz w:val="28"/>
          <w:szCs w:val="32"/>
        </w:rPr>
        <w:t xml:space="preserve">）　</w:t>
      </w:r>
      <w:r w:rsidRPr="00193785">
        <w:rPr>
          <w:rFonts w:ascii="標楷體" w:eastAsia="標楷體" w:hAnsi="標楷體"/>
          <w:b/>
          <w:sz w:val="28"/>
          <w:szCs w:val="32"/>
        </w:rPr>
        <w:t>國營事業肩負配合政府淨零轉型政策使命，惟部分事業溫室氣體排放量規模龐巨，</w:t>
      </w:r>
      <w:r w:rsidRPr="00193785">
        <w:rPr>
          <w:rFonts w:ascii="標楷體" w:eastAsia="標楷體" w:hAnsi="標楷體" w:hint="eastAsia"/>
          <w:b/>
          <w:color w:val="000000" w:themeColor="text1"/>
          <w:sz w:val="28"/>
          <w:szCs w:val="32"/>
        </w:rPr>
        <w:t>係屬</w:t>
      </w:r>
      <w:r w:rsidRPr="00193785">
        <w:rPr>
          <w:rFonts w:ascii="標楷體" w:eastAsia="標楷體" w:hAnsi="標楷體"/>
          <w:b/>
          <w:color w:val="000000" w:themeColor="text1"/>
          <w:sz w:val="28"/>
          <w:szCs w:val="32"/>
        </w:rPr>
        <w:t>我國應盤查登錄及查驗</w:t>
      </w:r>
      <w:r w:rsidRPr="00193785">
        <w:rPr>
          <w:rFonts w:ascii="標楷體" w:eastAsia="標楷體" w:hAnsi="標楷體" w:hint="eastAsia"/>
          <w:b/>
          <w:color w:val="000000" w:themeColor="text1"/>
          <w:sz w:val="28"/>
          <w:szCs w:val="32"/>
        </w:rPr>
        <w:t>之主要對象</w:t>
      </w:r>
      <w:r w:rsidRPr="00193785">
        <w:rPr>
          <w:rFonts w:ascii="標楷體" w:eastAsia="標楷體" w:hAnsi="標楷體"/>
          <w:b/>
          <w:sz w:val="28"/>
          <w:szCs w:val="32"/>
        </w:rPr>
        <w:t>，及森林碳匯等相關減排措施尚未發揮實益，或經管場站設置太陽能光電及小水力發電進程未如預期，恐影響未來我國淨零轉型之目標，允宜</w:t>
      </w:r>
      <w:r w:rsidRPr="00193785">
        <w:rPr>
          <w:rFonts w:ascii="標楷體" w:eastAsia="標楷體" w:hAnsi="標楷體" w:hint="eastAsia"/>
          <w:b/>
          <w:sz w:val="28"/>
          <w:szCs w:val="32"/>
        </w:rPr>
        <w:t>督促</w:t>
      </w:r>
      <w:r w:rsidRPr="00193785">
        <w:rPr>
          <w:rFonts w:ascii="標楷體" w:eastAsia="標楷體" w:hAnsi="標楷體"/>
          <w:b/>
          <w:sz w:val="28"/>
          <w:szCs w:val="32"/>
        </w:rPr>
        <w:t>妥謀善策因應。</w:t>
      </w:r>
    </w:p>
    <w:p w14:paraId="5379824C" w14:textId="77777777" w:rsidR="00193785" w:rsidRPr="00193785" w:rsidRDefault="00193785" w:rsidP="004D7C92">
      <w:pPr>
        <w:overflowPunct w:val="0"/>
        <w:adjustRightInd w:val="0"/>
        <w:snapToGrid w:val="0"/>
        <w:spacing w:line="460" w:lineRule="exact"/>
        <w:ind w:firstLineChars="200" w:firstLine="480"/>
        <w:jc w:val="both"/>
        <w:rPr>
          <w:rFonts w:ascii="標楷體" w:eastAsia="標楷體" w:hAnsi="標楷體" w:cstheme="minorBidi"/>
          <w:szCs w:val="24"/>
        </w:rPr>
      </w:pPr>
      <w:r w:rsidRPr="00193785">
        <w:rPr>
          <w:rFonts w:ascii="標楷體" w:eastAsia="標楷體" w:hAnsi="標楷體" w:cstheme="minorBidi"/>
          <w:szCs w:val="24"/>
        </w:rPr>
        <w:t>政府為達成我國淨零轉型目標，於111年3月公布「臺灣2050淨零排放路徑及策略總說明」，透過推動「能源轉型」、「產業轉型」、「生活轉型」及「社會轉型」四大轉型策略，規劃「十二項關鍵戰略」行動計畫，整合跨部會資源，逐步實現2050淨零排放之永續社會。經查國營事業推動溫室氣體減量政策，及設置太陽能光電、小水力發電設備情形，核有下列事項：</w:t>
      </w:r>
    </w:p>
    <w:p w14:paraId="77887054" w14:textId="5B83D146" w:rsidR="00193785" w:rsidRPr="00193785" w:rsidRDefault="00193785" w:rsidP="004D7C92">
      <w:pPr>
        <w:overflowPunct w:val="0"/>
        <w:adjustRightInd w:val="0"/>
        <w:snapToGrid w:val="0"/>
        <w:spacing w:line="460" w:lineRule="exact"/>
        <w:ind w:firstLineChars="450" w:firstLine="1081"/>
        <w:jc w:val="both"/>
        <w:rPr>
          <w:rFonts w:ascii="標楷體" w:eastAsia="標楷體" w:hAnsi="標楷體"/>
          <w:szCs w:val="24"/>
        </w:rPr>
      </w:pPr>
      <w:r w:rsidRPr="00193785">
        <w:rPr>
          <w:rFonts w:ascii="標楷體" w:eastAsia="標楷體" w:hAnsi="標楷體" w:hint="eastAsia"/>
          <w:b/>
          <w:szCs w:val="24"/>
        </w:rPr>
        <w:t xml:space="preserve">1.　</w:t>
      </w:r>
      <w:r w:rsidRPr="00193785">
        <w:rPr>
          <w:rFonts w:ascii="標楷體" w:eastAsia="標楷體" w:hAnsi="標楷體"/>
          <w:b/>
          <w:szCs w:val="24"/>
        </w:rPr>
        <w:t>因應我國碳費開徵在即，部分國營事業為碳費徵收對象，</w:t>
      </w:r>
      <w:r w:rsidRPr="00193785">
        <w:rPr>
          <w:rFonts w:ascii="標楷體" w:eastAsia="標楷體" w:hAnsi="標楷體" w:hint="eastAsia"/>
          <w:b/>
          <w:szCs w:val="24"/>
        </w:rPr>
        <w:t>有待</w:t>
      </w:r>
      <w:r w:rsidRPr="00193785">
        <w:rPr>
          <w:rFonts w:ascii="標楷體" w:eastAsia="標楷體" w:hAnsi="標楷體"/>
          <w:b/>
          <w:szCs w:val="24"/>
        </w:rPr>
        <w:t>督促各主管機關積極輔導各事業研擬具體可行之溫室氣體減量措施，提出自主減量計畫，俾爭取適用優惠費率減低碳費支出，並應注意覈實編列碳費預算，以落實我國碳定價機制，善盡國營事業社會責任，達成淨零轉型目標</w:t>
      </w:r>
      <w:r w:rsidRPr="00193785">
        <w:rPr>
          <w:rFonts w:ascii="標楷體" w:eastAsia="標楷體" w:hAnsi="標楷體" w:hint="eastAsia"/>
          <w:b/>
          <w:szCs w:val="24"/>
        </w:rPr>
        <w:t>：</w:t>
      </w:r>
      <w:r w:rsidRPr="00193785">
        <w:rPr>
          <w:rFonts w:ascii="標楷體" w:eastAsia="標楷體" w:hAnsi="標楷體"/>
          <w:szCs w:val="24"/>
        </w:rPr>
        <w:t>氣候變遷因應法已於112年2月15日公布施行，該法第28條明</w:t>
      </w:r>
      <w:r w:rsidR="001A6763">
        <w:rPr>
          <w:rFonts w:ascii="標楷體" w:eastAsia="標楷體" w:hAnsi="標楷體" w:hint="eastAsia"/>
          <w:szCs w:val="24"/>
        </w:rPr>
        <w:t>定</w:t>
      </w:r>
      <w:r w:rsidRPr="00193785">
        <w:rPr>
          <w:rFonts w:ascii="標楷體" w:eastAsia="標楷體" w:hAnsi="標楷體"/>
          <w:szCs w:val="24"/>
        </w:rPr>
        <w:t>中央主管機關為達成國家溫室氣體長期減量目標及各期階段管制目標，得分階段對溫室氣體之排放源徵收碳費。依據環境部113年4月29日預告「碳費收費辦法」草案，其中第3條明</w:t>
      </w:r>
      <w:r w:rsidR="001A6763">
        <w:rPr>
          <w:rFonts w:ascii="標楷體" w:eastAsia="標楷體" w:hAnsi="標楷體" w:hint="eastAsia"/>
          <w:szCs w:val="24"/>
        </w:rPr>
        <w:t>定</w:t>
      </w:r>
      <w:r w:rsidRPr="00193785">
        <w:rPr>
          <w:rFonts w:ascii="標楷體" w:eastAsia="標楷體" w:hAnsi="標楷體"/>
          <w:szCs w:val="24"/>
        </w:rPr>
        <w:t>碳費徵收對象為符合「事業應盤查登錄及查驗溫室氣體排放量之排放源」、且其全廠（場）之直接排放及使用電力之間接排放產生溫室氣體年排放量，合計值達2.5萬公噸</w:t>
      </w:r>
      <w:r w:rsidRPr="00193785">
        <w:rPr>
          <w:rFonts w:ascii="標楷體" w:eastAsia="標楷體" w:hAnsi="標楷體" w:hint="eastAsia"/>
          <w:szCs w:val="24"/>
        </w:rPr>
        <w:t>二氧化碳當量（</w:t>
      </w:r>
      <w:r w:rsidRPr="00193785">
        <w:rPr>
          <w:rFonts w:ascii="標楷體" w:eastAsia="標楷體" w:hAnsi="標楷體"/>
          <w:bCs/>
          <w:kern w:val="0"/>
          <w:szCs w:val="24"/>
        </w:rPr>
        <w:t>CO</w:t>
      </w:r>
      <w:r w:rsidRPr="00193785">
        <w:rPr>
          <w:rFonts w:ascii="標楷體" w:eastAsia="標楷體" w:hAnsi="標楷體"/>
          <w:bCs/>
          <w:kern w:val="0"/>
          <w:szCs w:val="24"/>
          <w:vertAlign w:val="subscript"/>
        </w:rPr>
        <w:t>2</w:t>
      </w:r>
      <w:r w:rsidRPr="00193785">
        <w:rPr>
          <w:rFonts w:ascii="標楷體" w:eastAsia="標楷體" w:hAnsi="標楷體"/>
          <w:bCs/>
          <w:kern w:val="0"/>
          <w:szCs w:val="24"/>
        </w:rPr>
        <w:t>e</w:t>
      </w:r>
      <w:r w:rsidRPr="00193785">
        <w:rPr>
          <w:rFonts w:ascii="標楷體" w:eastAsia="標楷體" w:hAnsi="標楷體" w:hint="eastAsia"/>
          <w:bCs/>
          <w:kern w:val="0"/>
          <w:szCs w:val="24"/>
        </w:rPr>
        <w:t>）</w:t>
      </w:r>
      <w:r w:rsidRPr="00193785">
        <w:rPr>
          <w:rFonts w:ascii="標楷體" w:eastAsia="標楷體" w:hAnsi="標楷體"/>
          <w:szCs w:val="24"/>
        </w:rPr>
        <w:t>之電力業及製造業。按該部規劃收費對象自114年起，需於每年5月底前，依前一年度1月1日至12月31日之溫室氣體排放量，自行計算應繳納之費額，原則可扣除起徵門檻2.5萬公噸</w:t>
      </w:r>
      <w:r w:rsidRPr="00193785">
        <w:rPr>
          <w:rFonts w:ascii="標楷體" w:eastAsia="標楷體" w:hAnsi="標楷體"/>
          <w:bCs/>
          <w:kern w:val="0"/>
          <w:szCs w:val="24"/>
        </w:rPr>
        <w:t>CO</w:t>
      </w:r>
      <w:r w:rsidRPr="00193785">
        <w:rPr>
          <w:rFonts w:ascii="標楷體" w:eastAsia="標楷體" w:hAnsi="標楷體"/>
          <w:bCs/>
          <w:kern w:val="0"/>
          <w:szCs w:val="24"/>
          <w:vertAlign w:val="subscript"/>
        </w:rPr>
        <w:t>2</w:t>
      </w:r>
      <w:r w:rsidRPr="00193785">
        <w:rPr>
          <w:rFonts w:ascii="標楷體" w:eastAsia="標楷體" w:hAnsi="標楷體"/>
          <w:bCs/>
          <w:kern w:val="0"/>
          <w:szCs w:val="24"/>
        </w:rPr>
        <w:t>e</w:t>
      </w:r>
      <w:r w:rsidRPr="00193785">
        <w:rPr>
          <w:rFonts w:ascii="標楷體" w:eastAsia="標楷體" w:hAnsi="標楷體"/>
          <w:szCs w:val="24"/>
        </w:rPr>
        <w:t>。另事業依據溫室氣體排放量盤查登錄及查驗管理辦法第6條及第9條規定辦理排放量盤查及查驗</w:t>
      </w:r>
      <w:r w:rsidRPr="00193785">
        <w:rPr>
          <w:rFonts w:ascii="標楷體" w:eastAsia="標楷體" w:hAnsi="標楷體"/>
          <w:szCs w:val="24"/>
        </w:rPr>
        <w:lastRenderedPageBreak/>
        <w:t>作業，分別應於每年4月30日及10月31日前登錄於環境部氣候變遷署溫室氣體排放量資訊平台。據該平台113年4月30日公開資訊，111年度符合前揭排放源之事業共550廠（場），排放量合計2億8,018萬餘公噸</w:t>
      </w:r>
      <w:r w:rsidRPr="00193785">
        <w:rPr>
          <w:rFonts w:ascii="標楷體" w:eastAsia="標楷體" w:hAnsi="標楷體"/>
          <w:bCs/>
          <w:kern w:val="0"/>
          <w:szCs w:val="24"/>
        </w:rPr>
        <w:t>CO</w:t>
      </w:r>
      <w:r w:rsidRPr="00193785">
        <w:rPr>
          <w:rFonts w:ascii="標楷體" w:eastAsia="標楷體" w:hAnsi="標楷體"/>
          <w:bCs/>
          <w:kern w:val="0"/>
          <w:szCs w:val="24"/>
          <w:vertAlign w:val="subscript"/>
        </w:rPr>
        <w:t>2</w:t>
      </w:r>
      <w:r w:rsidRPr="00193785">
        <w:rPr>
          <w:rFonts w:ascii="標楷體" w:eastAsia="標楷體" w:hAnsi="標楷體"/>
          <w:bCs/>
          <w:kern w:val="0"/>
          <w:szCs w:val="24"/>
        </w:rPr>
        <w:t>e</w:t>
      </w:r>
      <w:r w:rsidRPr="00193785">
        <w:rPr>
          <w:rFonts w:ascii="標楷體" w:eastAsia="標楷體" w:hAnsi="標楷體"/>
          <w:szCs w:val="24"/>
        </w:rPr>
        <w:t>。經查15家國營事業，109至111年度具有符合規定應盤查登錄及查驗之排放源且為碳費徵收對象者，計有3家，以其111年度溫室氣體排放量由高至低依序為台灣電力公司14廠9,819萬餘公噸</w:t>
      </w:r>
      <w:r w:rsidRPr="00193785">
        <w:rPr>
          <w:rFonts w:ascii="標楷體" w:eastAsia="標楷體" w:hAnsi="標楷體"/>
          <w:bCs/>
          <w:kern w:val="0"/>
          <w:szCs w:val="24"/>
        </w:rPr>
        <w:t>CO</w:t>
      </w:r>
      <w:r w:rsidRPr="00193785">
        <w:rPr>
          <w:rFonts w:ascii="標楷體" w:eastAsia="標楷體" w:hAnsi="標楷體"/>
          <w:bCs/>
          <w:kern w:val="0"/>
          <w:szCs w:val="24"/>
          <w:vertAlign w:val="subscript"/>
        </w:rPr>
        <w:t>2</w:t>
      </w:r>
      <w:r w:rsidRPr="00193785">
        <w:rPr>
          <w:rFonts w:ascii="標楷體" w:eastAsia="標楷體" w:hAnsi="標楷體"/>
          <w:bCs/>
          <w:kern w:val="0"/>
          <w:szCs w:val="24"/>
        </w:rPr>
        <w:t>e</w:t>
      </w:r>
      <w:r w:rsidRPr="00193785">
        <w:rPr>
          <w:rFonts w:ascii="標楷體" w:eastAsia="標楷體" w:hAnsi="標楷體"/>
          <w:szCs w:val="24"/>
        </w:rPr>
        <w:t>、台灣中油公司5廠702萬餘公噸</w:t>
      </w:r>
      <w:r w:rsidRPr="00193785">
        <w:rPr>
          <w:rFonts w:ascii="標楷體" w:eastAsia="標楷體" w:hAnsi="標楷體"/>
          <w:bCs/>
          <w:kern w:val="0"/>
          <w:szCs w:val="24"/>
        </w:rPr>
        <w:t>CO</w:t>
      </w:r>
      <w:r w:rsidRPr="00193785">
        <w:rPr>
          <w:rFonts w:ascii="標楷體" w:eastAsia="標楷體" w:hAnsi="標楷體"/>
          <w:bCs/>
          <w:kern w:val="0"/>
          <w:szCs w:val="24"/>
          <w:vertAlign w:val="subscript"/>
        </w:rPr>
        <w:t>2</w:t>
      </w:r>
      <w:r w:rsidRPr="00193785">
        <w:rPr>
          <w:rFonts w:ascii="標楷體" w:eastAsia="標楷體" w:hAnsi="標楷體"/>
          <w:bCs/>
          <w:kern w:val="0"/>
          <w:szCs w:val="24"/>
        </w:rPr>
        <w:t>e</w:t>
      </w:r>
      <w:r w:rsidRPr="00193785">
        <w:rPr>
          <w:rFonts w:ascii="標楷體" w:eastAsia="標楷體" w:hAnsi="標楷體"/>
          <w:szCs w:val="24"/>
        </w:rPr>
        <w:t>、</w:t>
      </w:r>
      <w:r w:rsidRPr="00647B9E">
        <w:rPr>
          <w:rFonts w:ascii="標楷體" w:eastAsia="標楷體" w:hAnsi="標楷體"/>
          <w:szCs w:val="24"/>
        </w:rPr>
        <w:t>台灣糖業公司</w:t>
      </w:r>
      <w:r w:rsidR="000C719F" w:rsidRPr="00647B9E">
        <w:rPr>
          <w:rFonts w:ascii="標楷體" w:eastAsia="標楷體" w:hAnsi="標楷體" w:cstheme="minorBidi"/>
          <w:szCs w:val="24"/>
        </w:rPr>
        <w:t>（下稱台糖公司）</w:t>
      </w:r>
      <w:r w:rsidRPr="00193785">
        <w:rPr>
          <w:rFonts w:ascii="標楷體" w:eastAsia="標楷體" w:hAnsi="標楷體"/>
          <w:szCs w:val="24"/>
        </w:rPr>
        <w:t>1廠6萬餘公噸</w:t>
      </w:r>
      <w:r w:rsidRPr="00193785">
        <w:rPr>
          <w:rFonts w:ascii="標楷體" w:eastAsia="標楷體" w:hAnsi="標楷體"/>
          <w:bCs/>
          <w:kern w:val="0"/>
          <w:szCs w:val="24"/>
        </w:rPr>
        <w:t>CO</w:t>
      </w:r>
      <w:r w:rsidRPr="00193785">
        <w:rPr>
          <w:rFonts w:ascii="標楷體" w:eastAsia="標楷體" w:hAnsi="標楷體"/>
          <w:bCs/>
          <w:kern w:val="0"/>
          <w:szCs w:val="24"/>
          <w:vertAlign w:val="subscript"/>
        </w:rPr>
        <w:t>2</w:t>
      </w:r>
      <w:r w:rsidRPr="00193785">
        <w:rPr>
          <w:rFonts w:ascii="標楷體" w:eastAsia="標楷體" w:hAnsi="標楷體"/>
          <w:bCs/>
          <w:kern w:val="0"/>
          <w:szCs w:val="24"/>
        </w:rPr>
        <w:t>e</w:t>
      </w:r>
      <w:r w:rsidRPr="00193785">
        <w:rPr>
          <w:rFonts w:ascii="標楷體" w:eastAsia="標楷體" w:hAnsi="標楷體"/>
          <w:szCs w:val="24"/>
        </w:rPr>
        <w:t>，分別占前揭合計排放量之35.05％、2.51％、0.02％。次查截至113年4月底止，碳費費率審議會尚未完成碳費費率訂定及公布，惟參酌環境部</w:t>
      </w:r>
      <w:r w:rsidR="0091362F">
        <w:rPr>
          <w:rFonts w:ascii="標楷體" w:eastAsia="標楷體" w:hAnsi="標楷體" w:hint="eastAsia"/>
          <w:szCs w:val="24"/>
        </w:rPr>
        <w:t>109</w:t>
      </w:r>
      <w:r w:rsidRPr="00193785">
        <w:rPr>
          <w:rFonts w:ascii="標楷體" w:eastAsia="標楷體" w:hAnsi="標楷體"/>
          <w:szCs w:val="24"/>
        </w:rPr>
        <w:t>年委託倫敦政經學院辦理「臺灣碳定價之選項」研究報告，建議我國碳費以每公噸</w:t>
      </w:r>
      <w:r w:rsidRPr="00193785">
        <w:rPr>
          <w:rFonts w:ascii="標楷體" w:eastAsia="標楷體" w:hAnsi="標楷體"/>
          <w:bCs/>
          <w:kern w:val="0"/>
          <w:szCs w:val="24"/>
        </w:rPr>
        <w:t>CO</w:t>
      </w:r>
      <w:r w:rsidRPr="00193785">
        <w:rPr>
          <w:rFonts w:ascii="標楷體" w:eastAsia="標楷體" w:hAnsi="標楷體"/>
          <w:bCs/>
          <w:kern w:val="0"/>
          <w:szCs w:val="24"/>
          <w:vertAlign w:val="subscript"/>
        </w:rPr>
        <w:t>2</w:t>
      </w:r>
      <w:r w:rsidRPr="00193785">
        <w:rPr>
          <w:rFonts w:ascii="標楷體" w:eastAsia="標楷體" w:hAnsi="標楷體"/>
          <w:bCs/>
          <w:kern w:val="0"/>
          <w:szCs w:val="24"/>
        </w:rPr>
        <w:t>e</w:t>
      </w:r>
      <w:r w:rsidRPr="00193785">
        <w:rPr>
          <w:rFonts w:ascii="標楷體" w:eastAsia="標楷體" w:hAnsi="標楷體"/>
          <w:szCs w:val="24"/>
        </w:rPr>
        <w:t>新臺幣30</w:t>
      </w:r>
      <w:r w:rsidRPr="00193785">
        <w:rPr>
          <w:rFonts w:ascii="標楷體" w:eastAsia="標楷體" w:hAnsi="標楷體" w:hint="eastAsia"/>
          <w:szCs w:val="24"/>
        </w:rPr>
        <w:t>0</w:t>
      </w:r>
      <w:r w:rsidRPr="00193785">
        <w:rPr>
          <w:rFonts w:ascii="標楷體" w:eastAsia="標楷體" w:hAnsi="標楷體"/>
          <w:szCs w:val="24"/>
        </w:rPr>
        <w:t>元起徵，倘以該費率估算前揭3家事業扣除環境部規劃起徵門檻2.5萬公噸</w:t>
      </w:r>
      <w:r w:rsidRPr="00193785">
        <w:rPr>
          <w:rFonts w:ascii="標楷體" w:eastAsia="標楷體" w:hAnsi="標楷體"/>
          <w:bCs/>
          <w:kern w:val="0"/>
          <w:szCs w:val="24"/>
        </w:rPr>
        <w:t>CO</w:t>
      </w:r>
      <w:r w:rsidRPr="00193785">
        <w:rPr>
          <w:rFonts w:ascii="標楷體" w:eastAsia="標楷體" w:hAnsi="標楷體"/>
          <w:bCs/>
          <w:kern w:val="0"/>
          <w:szCs w:val="24"/>
          <w:vertAlign w:val="subscript"/>
        </w:rPr>
        <w:t>2</w:t>
      </w:r>
      <w:r w:rsidRPr="00193785">
        <w:rPr>
          <w:rFonts w:ascii="標楷體" w:eastAsia="標楷體" w:hAnsi="標楷體"/>
          <w:bCs/>
          <w:kern w:val="0"/>
          <w:szCs w:val="24"/>
        </w:rPr>
        <w:t>e</w:t>
      </w:r>
      <w:r w:rsidRPr="00193785">
        <w:rPr>
          <w:rFonts w:ascii="標楷體" w:eastAsia="標楷體" w:hAnsi="標楷體"/>
          <w:szCs w:val="24"/>
        </w:rPr>
        <w:t>碳費金額</w:t>
      </w:r>
      <w:r w:rsidRPr="00193785">
        <w:rPr>
          <w:rFonts w:ascii="標楷體" w:eastAsia="標楷體" w:hAnsi="標楷體" w:hint="eastAsia"/>
          <w:szCs w:val="24"/>
        </w:rPr>
        <w:t>後</w:t>
      </w:r>
      <w:r w:rsidRPr="00193785">
        <w:rPr>
          <w:rFonts w:ascii="標楷體" w:eastAsia="標楷體" w:hAnsi="標楷體"/>
          <w:szCs w:val="24"/>
        </w:rPr>
        <w:t>，</w:t>
      </w:r>
      <w:r w:rsidRPr="00193785">
        <w:rPr>
          <w:rFonts w:ascii="標楷體" w:eastAsia="標楷體" w:hAnsi="標楷體" w:hint="eastAsia"/>
          <w:szCs w:val="24"/>
        </w:rPr>
        <w:t>須繳納碳費金額</w:t>
      </w:r>
      <w:r w:rsidRPr="00193785">
        <w:rPr>
          <w:rFonts w:ascii="標楷體" w:eastAsia="標楷體" w:hAnsi="標楷體"/>
          <w:szCs w:val="24"/>
        </w:rPr>
        <w:t>依序為台灣中油公司21億餘元、台灣電力公司15億餘元（已依氣候</w:t>
      </w:r>
      <w:r w:rsidR="001A6763">
        <w:rPr>
          <w:rFonts w:ascii="標楷體" w:eastAsia="標楷體" w:hAnsi="標楷體" w:hint="eastAsia"/>
          <w:szCs w:val="24"/>
        </w:rPr>
        <w:t>變遷因應</w:t>
      </w:r>
      <w:r w:rsidRPr="00193785">
        <w:rPr>
          <w:rFonts w:ascii="標楷體" w:eastAsia="標楷體" w:hAnsi="標楷體"/>
          <w:szCs w:val="24"/>
        </w:rPr>
        <w:t>法第28</w:t>
      </w:r>
      <w:r w:rsidR="000C719F">
        <w:rPr>
          <w:rFonts w:ascii="標楷體" w:eastAsia="標楷體" w:hAnsi="標楷體"/>
          <w:szCs w:val="24"/>
        </w:rPr>
        <w:t>條扣除屬電力消費之排放量）、台糖</w:t>
      </w:r>
      <w:r w:rsidRPr="00193785">
        <w:rPr>
          <w:rFonts w:ascii="標楷體" w:eastAsia="標楷體" w:hAnsi="標楷體"/>
          <w:szCs w:val="24"/>
        </w:rPr>
        <w:t>公司1,216萬餘元，惟截至112年底止，台灣電力公司、台灣中油公司因近年度國際燃油價格飆升，及配合政府穩定物價政策，未足額調漲</w:t>
      </w:r>
      <w:r w:rsidR="00103366">
        <w:rPr>
          <w:rFonts w:ascii="標楷體" w:eastAsia="標楷體" w:hAnsi="標楷體" w:hint="eastAsia"/>
          <w:szCs w:val="24"/>
        </w:rPr>
        <w:t>產品價格</w:t>
      </w:r>
      <w:r w:rsidRPr="00193785">
        <w:rPr>
          <w:rFonts w:ascii="標楷體" w:eastAsia="標楷體" w:hAnsi="標楷體"/>
          <w:szCs w:val="24"/>
        </w:rPr>
        <w:t>，已分別發生累積虧損3,81</w:t>
      </w:r>
      <w:r w:rsidRPr="00193785">
        <w:rPr>
          <w:rFonts w:ascii="標楷體" w:eastAsia="標楷體" w:hAnsi="標楷體" w:hint="eastAsia"/>
          <w:szCs w:val="24"/>
        </w:rPr>
        <w:t>8</w:t>
      </w:r>
      <w:r w:rsidRPr="00193785">
        <w:rPr>
          <w:rFonts w:ascii="標楷體" w:eastAsia="標楷體" w:hAnsi="標楷體"/>
          <w:szCs w:val="24"/>
        </w:rPr>
        <w:t>億</w:t>
      </w:r>
      <w:r w:rsidRPr="00193785">
        <w:rPr>
          <w:rFonts w:ascii="標楷體" w:eastAsia="標楷體" w:hAnsi="標楷體" w:hint="eastAsia"/>
          <w:szCs w:val="24"/>
        </w:rPr>
        <w:t>2</w:t>
      </w:r>
      <w:r w:rsidRPr="00193785">
        <w:rPr>
          <w:rFonts w:ascii="標楷體" w:eastAsia="標楷體" w:hAnsi="標楷體"/>
          <w:szCs w:val="24"/>
        </w:rPr>
        <w:t>,</w:t>
      </w:r>
      <w:r w:rsidRPr="00193785">
        <w:rPr>
          <w:rFonts w:ascii="標楷體" w:eastAsia="標楷體" w:hAnsi="標楷體" w:hint="eastAsia"/>
          <w:szCs w:val="24"/>
        </w:rPr>
        <w:t>072</w:t>
      </w:r>
      <w:r w:rsidRPr="00193785">
        <w:rPr>
          <w:rFonts w:ascii="標楷體" w:eastAsia="標楷體" w:hAnsi="標楷體"/>
          <w:szCs w:val="24"/>
        </w:rPr>
        <w:t>萬餘元、</w:t>
      </w:r>
      <w:r w:rsidRPr="00193785">
        <w:rPr>
          <w:rFonts w:ascii="標楷體" w:eastAsia="標楷體" w:hAnsi="標楷體" w:hint="eastAsia"/>
          <w:szCs w:val="24"/>
        </w:rPr>
        <w:t>86</w:t>
      </w:r>
      <w:r w:rsidRPr="00193785">
        <w:rPr>
          <w:rFonts w:ascii="標楷體" w:eastAsia="標楷體" w:hAnsi="標楷體"/>
          <w:szCs w:val="24"/>
        </w:rPr>
        <w:t>5億</w:t>
      </w:r>
      <w:r w:rsidRPr="00193785">
        <w:rPr>
          <w:rFonts w:ascii="標楷體" w:eastAsia="標楷體" w:hAnsi="標楷體" w:hint="eastAsia"/>
          <w:szCs w:val="24"/>
        </w:rPr>
        <w:t>9</w:t>
      </w:r>
      <w:r w:rsidRPr="00193785">
        <w:rPr>
          <w:rFonts w:ascii="標楷體" w:eastAsia="標楷體" w:hAnsi="標楷體"/>
          <w:szCs w:val="24"/>
        </w:rPr>
        <w:t>,</w:t>
      </w:r>
      <w:r w:rsidRPr="00193785">
        <w:rPr>
          <w:rFonts w:ascii="標楷體" w:eastAsia="標楷體" w:hAnsi="標楷體" w:hint="eastAsia"/>
          <w:szCs w:val="24"/>
        </w:rPr>
        <w:t>874</w:t>
      </w:r>
      <w:r w:rsidRPr="00193785">
        <w:rPr>
          <w:rFonts w:ascii="標楷體" w:eastAsia="標楷體" w:hAnsi="標楷體"/>
          <w:szCs w:val="24"/>
        </w:rPr>
        <w:t>萬餘元，加計未來所須繳納之碳費金額，恐增加營運之負荷。</w:t>
      </w:r>
      <w:r w:rsidRPr="00193785">
        <w:rPr>
          <w:rFonts w:ascii="標楷體" w:eastAsia="標楷體" w:hAnsi="標楷體" w:hint="eastAsia"/>
          <w:szCs w:val="24"/>
        </w:rPr>
        <w:t>經函請行政院</w:t>
      </w:r>
      <w:r w:rsidRPr="00193785">
        <w:rPr>
          <w:rFonts w:ascii="標楷體" w:eastAsia="標楷體" w:hAnsi="標楷體"/>
          <w:szCs w:val="24"/>
        </w:rPr>
        <w:t>督促主管機關積極輔導各事業研擬具體可行之溫室氣體減量措施，提出自主減量計畫，俾爭取適用優惠費率減低碳費支出，並注意自114年度起覈實編列碳費預算，以落實我國碳定價機制，善盡國營事業社會責任及促進永續發展，達成淨零轉型目標。</w:t>
      </w:r>
      <w:r w:rsidRPr="004D7C92">
        <w:rPr>
          <w:rFonts w:ascii="標楷體" w:eastAsia="標楷體" w:hAnsi="標楷體" w:hint="eastAsia"/>
          <w:szCs w:val="24"/>
        </w:rPr>
        <w:t>據復：</w:t>
      </w:r>
      <w:r w:rsidR="004A427C" w:rsidRPr="004D7C92">
        <w:rPr>
          <w:rFonts w:ascii="標楷體" w:eastAsia="標楷體" w:hAnsi="標楷體" w:hint="eastAsia"/>
          <w:szCs w:val="24"/>
        </w:rPr>
        <w:t>各事業已研擬各項溫室氣體減量措施，並由環境部召開碳費相關子法說明會與徵收對象進行溝通及說明，後續將俟碳費徵收費率及相關辦法公告後，督促主管機關及所屬事業覈實編列碳費預算。</w:t>
      </w:r>
    </w:p>
    <w:p w14:paraId="484A34BC" w14:textId="5DCF8322" w:rsidR="00193785" w:rsidRPr="00193785" w:rsidRDefault="00193785" w:rsidP="00580454">
      <w:pPr>
        <w:overflowPunct w:val="0"/>
        <w:adjustRightInd w:val="0"/>
        <w:snapToGrid w:val="0"/>
        <w:spacing w:line="438" w:lineRule="exact"/>
        <w:ind w:firstLineChars="450" w:firstLine="1081"/>
        <w:jc w:val="both"/>
        <w:rPr>
          <w:rFonts w:ascii="標楷體" w:eastAsia="標楷體" w:hAnsi="標楷體" w:cstheme="minorBidi"/>
          <w:szCs w:val="24"/>
        </w:rPr>
      </w:pPr>
      <w:r w:rsidRPr="00193785">
        <w:rPr>
          <w:rFonts w:ascii="標楷體" w:eastAsia="標楷體" w:hAnsi="標楷體" w:cstheme="minorBidi" w:hint="eastAsia"/>
          <w:b/>
          <w:szCs w:val="24"/>
        </w:rPr>
        <w:t xml:space="preserve">2.　</w:t>
      </w:r>
      <w:r w:rsidRPr="000C719F">
        <w:rPr>
          <w:rFonts w:ascii="標楷體" w:eastAsia="標楷體" w:hAnsi="標楷體" w:cstheme="minorBidi"/>
          <w:b/>
          <w:spacing w:val="2"/>
          <w:szCs w:val="24"/>
        </w:rPr>
        <w:t>「自然碳匯」關鍵戰略行動計畫係我國推動2050淨零轉型「十二項關鍵戰略」計畫之一，國營事業土地資源龐大深具發展自然碳匯潛力，</w:t>
      </w:r>
      <w:r w:rsidRPr="000C719F">
        <w:rPr>
          <w:rFonts w:ascii="標楷體" w:eastAsia="標楷體" w:hAnsi="標楷體" w:cstheme="minorBidi" w:hint="eastAsia"/>
          <w:b/>
          <w:spacing w:val="2"/>
          <w:szCs w:val="24"/>
        </w:rPr>
        <w:t>有待</w:t>
      </w:r>
      <w:r w:rsidRPr="000C719F">
        <w:rPr>
          <w:rFonts w:ascii="標楷體" w:eastAsia="標楷體" w:hAnsi="標楷體" w:cstheme="minorBidi"/>
          <w:b/>
          <w:spacing w:val="2"/>
          <w:szCs w:val="24"/>
        </w:rPr>
        <w:t>督促積極評估相關造林、種碳之可行場域，共同努力實踐淨零排放路徑，並輔導強化碳匯估算技術，以利申請取得減量額度，增加碳匯效益</w:t>
      </w:r>
      <w:r w:rsidRPr="000C719F">
        <w:rPr>
          <w:rFonts w:ascii="標楷體" w:eastAsia="標楷體" w:hAnsi="標楷體" w:cstheme="minorBidi" w:hint="eastAsia"/>
          <w:b/>
          <w:spacing w:val="2"/>
          <w:szCs w:val="24"/>
        </w:rPr>
        <w:t>：</w:t>
      </w:r>
      <w:r w:rsidRPr="000C719F">
        <w:rPr>
          <w:rFonts w:ascii="標楷體" w:eastAsia="標楷體" w:hAnsi="標楷體" w:cstheme="minorBidi"/>
          <w:spacing w:val="4"/>
          <w:szCs w:val="24"/>
        </w:rPr>
        <w:t>我國推動2050淨零轉型「十二項關鍵戰略」行動計畫第9項「自然碳匯」係透過「森林」、「土壤」及「海洋」3大自然碳匯路徑，建構保育森林及復育碳匯生態系統、負碳農法及海洋棲地，提升碳吸收功能，以達2040年增加1,000萬公噸碳儲量為總目標。經查</w:t>
      </w:r>
      <w:r w:rsidR="000C719F" w:rsidRPr="000C719F">
        <w:rPr>
          <w:rFonts w:ascii="標楷體" w:eastAsia="標楷體" w:hAnsi="標楷體" w:cstheme="minorBidi"/>
          <w:spacing w:val="4"/>
          <w:szCs w:val="24"/>
        </w:rPr>
        <w:t>台糖公司</w:t>
      </w:r>
      <w:r w:rsidRPr="000C719F">
        <w:rPr>
          <w:rFonts w:ascii="標楷體" w:eastAsia="標楷體" w:hAnsi="標楷體" w:cstheme="minorBidi"/>
          <w:spacing w:val="4"/>
          <w:szCs w:val="24"/>
        </w:rPr>
        <w:t>為響應</w:t>
      </w:r>
      <w:r w:rsidRPr="000C719F">
        <w:rPr>
          <w:rFonts w:ascii="標楷體" w:eastAsia="標楷體" w:hAnsi="標楷體" w:cstheme="minorBidi" w:hint="eastAsia"/>
          <w:spacing w:val="4"/>
          <w:szCs w:val="24"/>
        </w:rPr>
        <w:t>政府</w:t>
      </w:r>
      <w:r w:rsidRPr="000C719F">
        <w:rPr>
          <w:rFonts w:ascii="標楷體" w:eastAsia="標楷體" w:hAnsi="標楷體" w:cstheme="minorBidi"/>
          <w:spacing w:val="4"/>
          <w:szCs w:val="24"/>
        </w:rPr>
        <w:t>2050淨零排放政策，已陸續推動多項「自然碳匯」行動計畫</w:t>
      </w:r>
      <w:r w:rsidRPr="000C719F">
        <w:rPr>
          <w:rFonts w:ascii="標楷體" w:eastAsia="標楷體" w:hAnsi="標楷體" w:cstheme="minorBidi"/>
          <w:spacing w:val="2"/>
          <w:szCs w:val="24"/>
        </w:rPr>
        <w:t>，包括森林碳匯及土壤碳匯等2種類別，其中：</w:t>
      </w:r>
      <w:r w:rsidRPr="000C719F">
        <w:rPr>
          <w:rFonts w:ascii="標楷體" w:eastAsia="標楷體" w:hAnsi="標楷體" w:cstheme="minorBidi" w:hint="eastAsia"/>
          <w:spacing w:val="2"/>
          <w:szCs w:val="24"/>
        </w:rPr>
        <w:t>（</w:t>
      </w:r>
      <w:r w:rsidRPr="000C719F">
        <w:rPr>
          <w:rFonts w:ascii="標楷體" w:eastAsia="標楷體" w:hAnsi="標楷體" w:cstheme="minorBidi"/>
          <w:spacing w:val="2"/>
          <w:szCs w:val="24"/>
        </w:rPr>
        <w:t>1</w:t>
      </w:r>
      <w:r w:rsidRPr="000C719F">
        <w:rPr>
          <w:rFonts w:ascii="標楷體" w:eastAsia="標楷體" w:hAnsi="標楷體" w:cstheme="minorBidi" w:hint="eastAsia"/>
          <w:spacing w:val="2"/>
          <w:szCs w:val="24"/>
        </w:rPr>
        <w:t>）</w:t>
      </w:r>
      <w:r w:rsidRPr="000C719F">
        <w:rPr>
          <w:rFonts w:ascii="標楷體" w:eastAsia="標楷體" w:hAnsi="標楷體" w:cstheme="minorBidi"/>
          <w:spacing w:val="2"/>
          <w:szCs w:val="24"/>
        </w:rPr>
        <w:t>森林碳匯部分，112年底平地造林面積10,363.93公頃、自費造林面積417.98公頃、</w:t>
      </w:r>
      <w:r w:rsidRPr="000C719F">
        <w:rPr>
          <w:rFonts w:ascii="標楷體" w:eastAsia="標楷體" w:hAnsi="標楷體" w:cstheme="minorBidi"/>
          <w:spacing w:val="4"/>
          <w:szCs w:val="24"/>
        </w:rPr>
        <w:t>全民造林面積396.37公頃、環保造林面積362.67公頃，造林面積總計11,540.96公頃，據台糖公司參照農業部申請經環境部審議通過之「造林與植林碳匯專案活動」溫室氣體抵換專案減量方法認可案，農業部林業試驗所108年以該公司花蓮大農大富平地森林園區為造林地試驗結果，推估碳匯貢獻為每年每公頃11.14公噸</w:t>
      </w:r>
      <w:r w:rsidRPr="000C719F">
        <w:rPr>
          <w:rFonts w:ascii="標楷體" w:eastAsia="標楷體" w:hAnsi="標楷體" w:cstheme="minorBidi"/>
          <w:bCs/>
          <w:spacing w:val="4"/>
          <w:szCs w:val="24"/>
        </w:rPr>
        <w:t>CO</w:t>
      </w:r>
      <w:r w:rsidRPr="000C719F">
        <w:rPr>
          <w:rFonts w:ascii="標楷體" w:eastAsia="標楷體" w:hAnsi="標楷體" w:cstheme="minorBidi"/>
          <w:bCs/>
          <w:spacing w:val="4"/>
          <w:szCs w:val="24"/>
          <w:vertAlign w:val="subscript"/>
        </w:rPr>
        <w:t>2</w:t>
      </w:r>
      <w:r w:rsidRPr="000C719F">
        <w:rPr>
          <w:rFonts w:ascii="標楷體" w:eastAsia="標楷體" w:hAnsi="標楷體" w:cstheme="minorBidi"/>
          <w:bCs/>
          <w:spacing w:val="4"/>
          <w:szCs w:val="24"/>
        </w:rPr>
        <w:t>e</w:t>
      </w:r>
      <w:r w:rsidRPr="000C719F">
        <w:rPr>
          <w:rFonts w:ascii="標楷體" w:eastAsia="標楷體" w:hAnsi="標楷體" w:cstheme="minorBidi"/>
          <w:spacing w:val="4"/>
          <w:szCs w:val="24"/>
        </w:rPr>
        <w:t>，</w:t>
      </w:r>
      <w:r w:rsidRPr="00193785">
        <w:rPr>
          <w:rFonts w:ascii="標楷體" w:eastAsia="標楷體" w:hAnsi="標楷體" w:cstheme="minorBidi"/>
          <w:szCs w:val="24"/>
        </w:rPr>
        <w:lastRenderedPageBreak/>
        <w:t>估算台糖公司112年度平地造林碳匯量可達115,454公噸</w:t>
      </w:r>
      <w:r w:rsidRPr="00193785">
        <w:rPr>
          <w:rFonts w:ascii="標楷體" w:eastAsia="標楷體" w:hAnsi="標楷體" w:cstheme="minorBidi"/>
          <w:bCs/>
          <w:szCs w:val="24"/>
        </w:rPr>
        <w:t>CO</w:t>
      </w:r>
      <w:r w:rsidRPr="00193785">
        <w:rPr>
          <w:rFonts w:ascii="標楷體" w:eastAsia="標楷體" w:hAnsi="標楷體" w:cstheme="minorBidi"/>
          <w:bCs/>
          <w:szCs w:val="24"/>
          <w:vertAlign w:val="subscript"/>
        </w:rPr>
        <w:t>2</w:t>
      </w:r>
      <w:r w:rsidRPr="00193785">
        <w:rPr>
          <w:rFonts w:ascii="標楷體" w:eastAsia="標楷體" w:hAnsi="標楷體" w:cstheme="minorBidi"/>
          <w:bCs/>
          <w:szCs w:val="24"/>
        </w:rPr>
        <w:t>e</w:t>
      </w:r>
      <w:r w:rsidRPr="00193785">
        <w:rPr>
          <w:rFonts w:ascii="標楷體" w:eastAsia="標楷體" w:hAnsi="標楷體" w:cstheme="minorBidi"/>
          <w:szCs w:val="24"/>
        </w:rPr>
        <w:t>；另查台糖公司依據環境部溫室</w:t>
      </w:r>
      <w:r w:rsidR="004A427C" w:rsidRPr="00193785">
        <w:rPr>
          <w:rFonts w:ascii="標楷體" w:eastAsia="標楷體" w:hAnsi="標楷體" w:cstheme="minorBidi"/>
          <w:noProof/>
          <w:sz w:val="28"/>
          <w:szCs w:val="28"/>
        </w:rPr>
        <mc:AlternateContent>
          <mc:Choice Requires="wps">
            <w:drawing>
              <wp:anchor distT="45720" distB="45720" distL="114300" distR="114300" simplePos="0" relativeHeight="251653120" behindDoc="0" locked="0" layoutInCell="1" allowOverlap="1" wp14:anchorId="427A37D5" wp14:editId="58031E97">
                <wp:simplePos x="0" y="0"/>
                <wp:positionH relativeFrom="margin">
                  <wp:posOffset>-2540</wp:posOffset>
                </wp:positionH>
                <wp:positionV relativeFrom="paragraph">
                  <wp:posOffset>680085</wp:posOffset>
                </wp:positionV>
                <wp:extent cx="3303270" cy="2710180"/>
                <wp:effectExtent l="0" t="0" r="0" b="0"/>
                <wp:wrapSquare wrapText="bothSides"/>
                <wp:docPr id="4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2710180"/>
                        </a:xfrm>
                        <a:prstGeom prst="rect">
                          <a:avLst/>
                        </a:prstGeom>
                        <a:solidFill>
                          <a:srgbClr val="FFFFFF"/>
                        </a:solidFill>
                        <a:ln w="9525">
                          <a:noFill/>
                          <a:miter lim="800000"/>
                          <a:headEnd/>
                          <a:tailEnd/>
                        </a:ln>
                      </wps:spPr>
                      <wps:txbx>
                        <w:txbxContent>
                          <w:p w14:paraId="3A3081C3" w14:textId="77777777" w:rsidR="00A0212B" w:rsidRPr="004059A0" w:rsidRDefault="00A0212B" w:rsidP="004A427C">
                            <w:pPr>
                              <w:snapToGrid w:val="0"/>
                              <w:jc w:val="center"/>
                              <w:rPr>
                                <w:rFonts w:ascii="標楷體" w:eastAsia="標楷體" w:hAnsi="標楷體"/>
                                <w:b/>
                                <w:szCs w:val="32"/>
                              </w:rPr>
                            </w:pPr>
                            <w:r w:rsidRPr="004059A0">
                              <w:rPr>
                                <w:rFonts w:ascii="標楷體" w:eastAsia="標楷體" w:hAnsi="標楷體" w:hint="eastAsia"/>
                                <w:b/>
                                <w:color w:val="000000" w:themeColor="text1"/>
                                <w:szCs w:val="32"/>
                              </w:rPr>
                              <w:t>圖1</w:t>
                            </w:r>
                            <w:r w:rsidRPr="004059A0">
                              <w:rPr>
                                <w:rFonts w:ascii="標楷體" w:eastAsia="標楷體" w:hAnsi="標楷體"/>
                                <w:b/>
                                <w:color w:val="000000" w:themeColor="text1"/>
                                <w:szCs w:val="32"/>
                              </w:rPr>
                              <w:t>3</w:t>
                            </w:r>
                            <w:r w:rsidRPr="004059A0">
                              <w:rPr>
                                <w:rFonts w:ascii="標楷體" w:eastAsia="標楷體" w:hAnsi="標楷體" w:hint="eastAsia"/>
                                <w:b/>
                                <w:szCs w:val="32"/>
                              </w:rPr>
                              <w:t xml:space="preserve">　台糖公司林後四林平地森林園區</w:t>
                            </w:r>
                          </w:p>
                          <w:p w14:paraId="71EEEF14" w14:textId="77777777" w:rsidR="00A0212B" w:rsidRDefault="00A0212B" w:rsidP="004A427C">
                            <w:pPr>
                              <w:snapToGrid w:val="0"/>
                              <w:ind w:left="600" w:hangingChars="250" w:hanging="600"/>
                              <w:jc w:val="center"/>
                            </w:pPr>
                            <w:r>
                              <w:rPr>
                                <w:noProof/>
                              </w:rPr>
                              <w:drawing>
                                <wp:inline distT="0" distB="0" distL="0" distR="0" wp14:anchorId="55251831" wp14:editId="0B1DF688">
                                  <wp:extent cx="2993572" cy="2245315"/>
                                  <wp:effectExtent l="0" t="0" r="0" b="3175"/>
                                  <wp:docPr id="472" name="圖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638266906529051208.png"/>
                                          <pic:cNvPicPr/>
                                        </pic:nvPicPr>
                                        <pic:blipFill>
                                          <a:blip r:embed="rId22">
                                            <a:duotone>
                                              <a:prstClr val="black"/>
                                              <a:schemeClr val="bg1">
                                                <a:lumMod val="85000"/>
                                                <a:tint val="45000"/>
                                                <a:satMod val="400000"/>
                                              </a:schemeClr>
                                            </a:duotone>
                                            <a:extLst>
                                              <a:ext uri="{28A0092B-C50C-407E-A947-70E740481C1C}">
                                                <a14:useLocalDpi xmlns:a14="http://schemas.microsoft.com/office/drawing/2010/main" val="0"/>
                                              </a:ext>
                                            </a:extLst>
                                          </a:blip>
                                          <a:stretch>
                                            <a:fillRect/>
                                          </a:stretch>
                                        </pic:blipFill>
                                        <pic:spPr>
                                          <a:xfrm>
                                            <a:off x="0" y="0"/>
                                            <a:ext cx="3032744" cy="2274696"/>
                                          </a:xfrm>
                                          <a:prstGeom prst="rect">
                                            <a:avLst/>
                                          </a:prstGeom>
                                        </pic:spPr>
                                      </pic:pic>
                                    </a:graphicData>
                                  </a:graphic>
                                </wp:inline>
                              </w:drawing>
                            </w:r>
                          </w:p>
                          <w:p w14:paraId="7656B8EA" w14:textId="77777777" w:rsidR="00A0212B" w:rsidRPr="00134416" w:rsidRDefault="00A0212B" w:rsidP="004A427C">
                            <w:pPr>
                              <w:snapToGrid w:val="0"/>
                              <w:ind w:leftChars="20" w:left="48"/>
                              <w:rPr>
                                <w:rFonts w:ascii="標楷體" w:eastAsia="標楷體" w:hAnsi="標楷體"/>
                                <w:sz w:val="20"/>
                              </w:rPr>
                            </w:pPr>
                            <w:r w:rsidRPr="00134416">
                              <w:rPr>
                                <w:rFonts w:ascii="標楷體" w:eastAsia="標楷體" w:hAnsi="標楷體" w:hint="eastAsia"/>
                                <w:sz w:val="20"/>
                              </w:rPr>
                              <w:t>資料來源：</w:t>
                            </w:r>
                            <w:r w:rsidRPr="00803778">
                              <w:rPr>
                                <w:rFonts w:ascii="標楷體" w:eastAsia="標楷體" w:hAnsi="標楷體" w:hint="eastAsia"/>
                                <w:sz w:val="20"/>
                              </w:rPr>
                              <w:t>台灣糖業公司</w:t>
                            </w:r>
                            <w:r w:rsidRPr="005978CF">
                              <w:rPr>
                                <w:rFonts w:ascii="標楷體" w:eastAsia="標楷體" w:hAnsi="標楷體" w:hint="eastAsia"/>
                                <w:sz w:val="20"/>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7A37D5" id="_x0000_s1059" type="#_x0000_t202" style="position:absolute;left:0;text-align:left;margin-left:-.2pt;margin-top:53.55pt;width:260.1pt;height:213.4pt;z-index:251653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" stroked="f">
                <v:textbox>
                  <w:txbxContent>
                    <w:p w14:paraId="3A3081C3" w14:textId="77777777" w:rsidR="00A0212B" w:rsidRPr="004059A0" w:rsidRDefault="00A0212B" w:rsidP="004A427C">
                      <w:pPr>
                        <w:snapToGrid w:val="0"/>
                        <w:jc w:val="center"/>
                        <w:rPr>
                          <w:rFonts w:ascii="標楷體" w:eastAsia="標楷體" w:hAnsi="標楷體"/>
                          <w:b/>
                          <w:szCs w:val="32"/>
                        </w:rPr>
                      </w:pPr>
                      <w:r w:rsidRPr="004059A0">
                        <w:rPr>
                          <w:rFonts w:ascii="標楷體" w:eastAsia="標楷體" w:hAnsi="標楷體" w:hint="eastAsia"/>
                          <w:b/>
                          <w:color w:val="000000" w:themeColor="text1"/>
                          <w:szCs w:val="32"/>
                        </w:rPr>
                        <w:t>圖1</w:t>
                      </w:r>
                      <w:r w:rsidRPr="004059A0">
                        <w:rPr>
                          <w:rFonts w:ascii="標楷體" w:eastAsia="標楷體" w:hAnsi="標楷體"/>
                          <w:b/>
                          <w:color w:val="000000" w:themeColor="text1"/>
                          <w:szCs w:val="32"/>
                        </w:rPr>
                        <w:t>3</w:t>
                      </w:r>
                      <w:r w:rsidRPr="004059A0">
                        <w:rPr>
                          <w:rFonts w:ascii="標楷體" w:eastAsia="標楷體" w:hAnsi="標楷體" w:hint="eastAsia"/>
                          <w:b/>
                          <w:szCs w:val="32"/>
                        </w:rPr>
                        <w:t xml:space="preserve">　台糖公司林後四林平地森林園區</w:t>
                      </w:r>
                    </w:p>
                    <w:p w14:paraId="71EEEF14" w14:textId="77777777" w:rsidR="00A0212B" w:rsidRDefault="00A0212B" w:rsidP="004A427C">
                      <w:pPr>
                        <w:snapToGrid w:val="0"/>
                        <w:ind w:left="600" w:hangingChars="250" w:hanging="600"/>
                        <w:jc w:val="center"/>
                      </w:pPr>
                      <w:r>
                        <w:rPr>
                          <w:noProof/>
                        </w:rPr>
                        <w:drawing>
                          <wp:inline distT="0" distB="0" distL="0" distR="0" wp14:anchorId="55251831" wp14:editId="0B1DF688">
                            <wp:extent cx="2993572" cy="2245315"/>
                            <wp:effectExtent l="0" t="0" r="0" b="3175"/>
                            <wp:docPr id="472" name="圖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638266906529051208.png"/>
                                    <pic:cNvPicPr/>
                                  </pic:nvPicPr>
                                  <pic:blipFill>
                                    <a:blip r:embed="rId22">
                                      <a:duotone>
                                        <a:prstClr val="black"/>
                                        <a:schemeClr val="bg1">
                                          <a:lumMod val="85000"/>
                                          <a:tint val="45000"/>
                                          <a:satMod val="400000"/>
                                        </a:schemeClr>
                                      </a:duotone>
                                      <a:extLst>
                                        <a:ext uri="{28A0092B-C50C-407E-A947-70E740481C1C}">
                                          <a14:useLocalDpi xmlns:a14="http://schemas.microsoft.com/office/drawing/2010/main" val="0"/>
                                        </a:ext>
                                      </a:extLst>
                                    </a:blip>
                                    <a:stretch>
                                      <a:fillRect/>
                                    </a:stretch>
                                  </pic:blipFill>
                                  <pic:spPr>
                                    <a:xfrm>
                                      <a:off x="0" y="0"/>
                                      <a:ext cx="3032744" cy="2274696"/>
                                    </a:xfrm>
                                    <a:prstGeom prst="rect">
                                      <a:avLst/>
                                    </a:prstGeom>
                                  </pic:spPr>
                                </pic:pic>
                              </a:graphicData>
                            </a:graphic>
                          </wp:inline>
                        </w:drawing>
                      </w:r>
                    </w:p>
                    <w:p w14:paraId="7656B8EA" w14:textId="77777777" w:rsidR="00A0212B" w:rsidRPr="00134416" w:rsidRDefault="00A0212B" w:rsidP="004A427C">
                      <w:pPr>
                        <w:snapToGrid w:val="0"/>
                        <w:ind w:leftChars="20" w:left="48"/>
                        <w:rPr>
                          <w:rFonts w:ascii="標楷體" w:eastAsia="標楷體" w:hAnsi="標楷體"/>
                          <w:sz w:val="20"/>
                        </w:rPr>
                      </w:pPr>
                      <w:r w:rsidRPr="00134416">
                        <w:rPr>
                          <w:rFonts w:ascii="標楷體" w:eastAsia="標楷體" w:hAnsi="標楷體" w:hint="eastAsia"/>
                          <w:sz w:val="20"/>
                        </w:rPr>
                        <w:t>資料來源：</w:t>
                      </w:r>
                      <w:r w:rsidRPr="00803778">
                        <w:rPr>
                          <w:rFonts w:ascii="標楷體" w:eastAsia="標楷體" w:hAnsi="標楷體" w:hint="eastAsia"/>
                          <w:sz w:val="20"/>
                        </w:rPr>
                        <w:t>台灣糖業公司</w:t>
                      </w:r>
                      <w:r w:rsidRPr="005978CF">
                        <w:rPr>
                          <w:rFonts w:ascii="標楷體" w:eastAsia="標楷體" w:hAnsi="標楷體" w:hint="eastAsia"/>
                          <w:sz w:val="20"/>
                        </w:rPr>
                        <w:t>提供資料。</w:t>
                      </w:r>
                    </w:p>
                  </w:txbxContent>
                </v:textbox>
                <w10:wrap type="square" anchorx="margin"/>
              </v:shape>
            </w:pict>
          </mc:Fallback>
        </mc:AlternateContent>
      </w:r>
      <w:r w:rsidRPr="00193785">
        <w:rPr>
          <w:rFonts w:ascii="標楷體" w:eastAsia="標楷體" w:hAnsi="標楷體" w:cstheme="minorBidi"/>
          <w:szCs w:val="24"/>
        </w:rPr>
        <w:t>氣體抵換專案管理辦法規定，於112年1月13日與農業部林業及自然保育署屏東分署簽署合作協議書辦理「林後四林平地森林園區核心經營區內碳匯專案」（</w:t>
      </w:r>
      <w:r w:rsidRPr="00855CF4">
        <w:rPr>
          <w:rFonts w:ascii="標楷體" w:eastAsia="標楷體" w:hAnsi="標楷體" w:cstheme="minorBidi"/>
          <w:color w:val="000000" w:themeColor="text1"/>
          <w:szCs w:val="24"/>
        </w:rPr>
        <w:t>圖</w:t>
      </w:r>
      <w:r w:rsidRPr="00855CF4">
        <w:rPr>
          <w:rFonts w:ascii="標楷體" w:eastAsia="標楷體" w:hAnsi="標楷體" w:cstheme="minorBidi" w:hint="eastAsia"/>
          <w:color w:val="000000" w:themeColor="text1"/>
          <w:szCs w:val="24"/>
        </w:rPr>
        <w:t>1</w:t>
      </w:r>
      <w:r w:rsidR="00BF1DCA" w:rsidRPr="00855CF4">
        <w:rPr>
          <w:rFonts w:ascii="標楷體" w:eastAsia="標楷體" w:hAnsi="標楷體" w:cstheme="minorBidi" w:hint="eastAsia"/>
          <w:color w:val="000000" w:themeColor="text1"/>
          <w:szCs w:val="24"/>
        </w:rPr>
        <w:t>3</w:t>
      </w:r>
      <w:r w:rsidRPr="00193785">
        <w:rPr>
          <w:rFonts w:ascii="標楷體" w:eastAsia="標楷體" w:hAnsi="標楷體" w:cstheme="minorBidi"/>
          <w:szCs w:val="24"/>
        </w:rPr>
        <w:t>），專案面積25.2公頃、合作期間20年，排除未能確認林齡區塊，估算碳匯貢獻為每年172.75公噸</w:t>
      </w:r>
      <w:r w:rsidRPr="00193785">
        <w:rPr>
          <w:rFonts w:ascii="標楷體" w:eastAsia="標楷體" w:hAnsi="標楷體" w:cstheme="minorBidi"/>
          <w:bCs/>
          <w:szCs w:val="24"/>
        </w:rPr>
        <w:t>CO</w:t>
      </w:r>
      <w:r w:rsidRPr="00193785">
        <w:rPr>
          <w:rFonts w:ascii="標楷體" w:eastAsia="標楷體" w:hAnsi="標楷體" w:cstheme="minorBidi"/>
          <w:bCs/>
          <w:szCs w:val="24"/>
          <w:vertAlign w:val="subscript"/>
        </w:rPr>
        <w:t>2</w:t>
      </w:r>
      <w:r w:rsidRPr="00193785">
        <w:rPr>
          <w:rFonts w:ascii="標楷體" w:eastAsia="標楷體" w:hAnsi="標楷體" w:cstheme="minorBidi"/>
          <w:bCs/>
          <w:szCs w:val="24"/>
        </w:rPr>
        <w:t>e</w:t>
      </w:r>
      <w:r w:rsidRPr="00193785">
        <w:rPr>
          <w:rFonts w:ascii="標楷體" w:eastAsia="標楷體" w:hAnsi="標楷體" w:cstheme="minorBidi"/>
          <w:szCs w:val="24"/>
        </w:rPr>
        <w:t>、20年累計為3,455公噸</w:t>
      </w:r>
      <w:r w:rsidRPr="00193785">
        <w:rPr>
          <w:rFonts w:ascii="標楷體" w:eastAsia="標楷體" w:hAnsi="標楷體" w:cstheme="minorBidi"/>
          <w:bCs/>
          <w:szCs w:val="24"/>
        </w:rPr>
        <w:t>CO</w:t>
      </w:r>
      <w:r w:rsidRPr="00193785">
        <w:rPr>
          <w:rFonts w:ascii="標楷體" w:eastAsia="標楷體" w:hAnsi="標楷體" w:cstheme="minorBidi"/>
          <w:bCs/>
          <w:szCs w:val="24"/>
          <w:vertAlign w:val="subscript"/>
        </w:rPr>
        <w:t>2</w:t>
      </w:r>
      <w:r w:rsidRPr="00193785">
        <w:rPr>
          <w:rFonts w:ascii="標楷體" w:eastAsia="標楷體" w:hAnsi="標楷體" w:cstheme="minorBidi"/>
          <w:bCs/>
          <w:szCs w:val="24"/>
        </w:rPr>
        <w:t>e</w:t>
      </w:r>
      <w:r w:rsidRPr="00193785">
        <w:rPr>
          <w:rFonts w:ascii="標楷體" w:eastAsia="標楷體" w:hAnsi="標楷體" w:cstheme="minorBidi"/>
          <w:szCs w:val="24"/>
        </w:rPr>
        <w:t>；</w:t>
      </w:r>
      <w:r w:rsidRPr="00193785">
        <w:rPr>
          <w:rFonts w:ascii="標楷體" w:eastAsia="標楷體" w:hAnsi="標楷體" w:cstheme="minorBidi" w:hint="eastAsia"/>
          <w:szCs w:val="24"/>
        </w:rPr>
        <w:t>（</w:t>
      </w:r>
      <w:r w:rsidRPr="00193785">
        <w:rPr>
          <w:rFonts w:ascii="標楷體" w:eastAsia="標楷體" w:hAnsi="標楷體" w:cstheme="minorBidi"/>
          <w:szCs w:val="24"/>
        </w:rPr>
        <w:t>2</w:t>
      </w:r>
      <w:r w:rsidRPr="00193785">
        <w:rPr>
          <w:rFonts w:ascii="標楷體" w:eastAsia="標楷體" w:hAnsi="標楷體" w:cstheme="minorBidi" w:hint="eastAsia"/>
          <w:szCs w:val="24"/>
        </w:rPr>
        <w:t>）</w:t>
      </w:r>
      <w:r w:rsidRPr="00193785">
        <w:rPr>
          <w:rFonts w:ascii="標楷體" w:eastAsia="標楷體" w:hAnsi="標楷體" w:cstheme="minorBidi"/>
          <w:szCs w:val="24"/>
        </w:rPr>
        <w:t>土壤碳匯部分，該公司基於甘蔗具備快速生長及高固碳效率之特性，於112年12月5日與</w:t>
      </w:r>
      <w:r w:rsidRPr="00193785">
        <w:rPr>
          <w:rFonts w:ascii="標楷體" w:eastAsia="標楷體" w:hAnsi="標楷體" w:cstheme="minorBidi" w:hint="eastAsia"/>
          <w:szCs w:val="24"/>
        </w:rPr>
        <w:t>民間業者</w:t>
      </w:r>
      <w:r w:rsidRPr="00193785">
        <w:rPr>
          <w:rFonts w:ascii="標楷體" w:eastAsia="標楷體" w:hAnsi="標楷體" w:cstheme="minorBidi"/>
          <w:szCs w:val="24"/>
        </w:rPr>
        <w:t>簽署合約加入「小農種碳」5年期專案計畫，並擇定以台糖公司柳營農場2公頃蔗作地進行試驗，預期每年每公頃可產生碳匯量為1公噸</w:t>
      </w:r>
      <w:r w:rsidRPr="00193785">
        <w:rPr>
          <w:rFonts w:ascii="標楷體" w:eastAsia="標楷體" w:hAnsi="標楷體" w:cstheme="minorBidi"/>
          <w:bCs/>
          <w:szCs w:val="24"/>
        </w:rPr>
        <w:t>CO</w:t>
      </w:r>
      <w:r w:rsidRPr="00193785">
        <w:rPr>
          <w:rFonts w:ascii="標楷體" w:eastAsia="標楷體" w:hAnsi="標楷體" w:cstheme="minorBidi"/>
          <w:bCs/>
          <w:szCs w:val="24"/>
          <w:vertAlign w:val="subscript"/>
        </w:rPr>
        <w:t>2</w:t>
      </w:r>
      <w:r w:rsidRPr="00193785">
        <w:rPr>
          <w:rFonts w:ascii="標楷體" w:eastAsia="標楷體" w:hAnsi="標楷體" w:cstheme="minorBidi"/>
          <w:bCs/>
          <w:szCs w:val="24"/>
        </w:rPr>
        <w:t>e</w:t>
      </w:r>
      <w:r w:rsidRPr="00193785">
        <w:rPr>
          <w:rFonts w:ascii="標楷體" w:eastAsia="標楷體" w:hAnsi="標楷體" w:cstheme="minorBidi"/>
          <w:szCs w:val="24"/>
        </w:rPr>
        <w:t>。該專案主要係透過提高使用糖廠製糖末端產出之「濾泥」及「蔗渣」等副產品之比例作為有機肥料回歸蔗園，替代化肥施用進而增加土壤碳匯。該公司已於112年12月完成112／113年期甘蔗採收並進行土壤基準線採樣，後續將委請農業部農業試驗所比對受試場域於甘蔗生長期間至採收後</w:t>
      </w:r>
      <w:r w:rsidRPr="00193785">
        <w:rPr>
          <w:rFonts w:ascii="標楷體" w:eastAsia="標楷體" w:hAnsi="標楷體" w:cstheme="minorBidi" w:hint="eastAsia"/>
          <w:szCs w:val="24"/>
        </w:rPr>
        <w:t>之</w:t>
      </w:r>
      <w:r w:rsidRPr="00193785">
        <w:rPr>
          <w:rFonts w:ascii="標楷體" w:eastAsia="標楷體" w:hAnsi="標楷體" w:cstheme="minorBidi"/>
          <w:szCs w:val="24"/>
        </w:rPr>
        <w:t>土壤有機質變化，以評估台糖公司透過蔗園推展土壤碳匯之潛力。鑑於國營事業土地資源龐大，部分事業深具發展自然碳匯潛力，</w:t>
      </w:r>
      <w:r w:rsidRPr="00193785">
        <w:rPr>
          <w:rFonts w:ascii="標楷體" w:eastAsia="標楷體" w:hAnsi="標楷體" w:cstheme="minorBidi" w:hint="eastAsia"/>
          <w:szCs w:val="24"/>
        </w:rPr>
        <w:t>經函請行政院</w:t>
      </w:r>
      <w:r w:rsidRPr="00193785">
        <w:rPr>
          <w:rFonts w:ascii="標楷體" w:eastAsia="標楷體" w:hAnsi="標楷體" w:cstheme="minorBidi"/>
          <w:szCs w:val="24"/>
        </w:rPr>
        <w:t>督促各主管機關促請各事業積極評估其他造林、種碳之可行場域，透過森林、土壤等碳匯，共同努力實踐淨零排放自然碳匯路徑，並輔導強化碳匯估算與分析技術，以利申請抵換專案，取得減量額度，增加碳匯效益</w:t>
      </w:r>
      <w:r w:rsidRPr="00193785">
        <w:rPr>
          <w:rFonts w:ascii="標楷體" w:eastAsia="標楷體" w:hAnsi="標楷體" w:cstheme="minorBidi" w:hint="eastAsia"/>
          <w:szCs w:val="24"/>
        </w:rPr>
        <w:t>。</w:t>
      </w:r>
      <w:r w:rsidRPr="004D7C92">
        <w:rPr>
          <w:rFonts w:ascii="標楷體" w:eastAsia="標楷體" w:hAnsi="標楷體" w:cstheme="minorBidi" w:hint="eastAsia"/>
          <w:szCs w:val="24"/>
        </w:rPr>
        <w:t>據復：</w:t>
      </w:r>
      <w:r w:rsidR="004A427C" w:rsidRPr="004D7C92">
        <w:rPr>
          <w:rFonts w:ascii="標楷體" w:eastAsia="標楷體" w:hAnsi="標楷體" w:cstheme="minorBidi" w:hint="eastAsia"/>
          <w:szCs w:val="24"/>
        </w:rPr>
        <w:t>各主管機關將持續督促所屬國營事業積極評估造林、種碳之可行場域，以利申請抵換專案，取得減量額度，增加碳匯效益。</w:t>
      </w:r>
    </w:p>
    <w:p w14:paraId="1894955C" w14:textId="42EFD1DC" w:rsidR="00693D1C" w:rsidRPr="00193785" w:rsidRDefault="004A427C" w:rsidP="004D7C92">
      <w:pPr>
        <w:pStyle w:val="affb"/>
        <w:kinsoku/>
        <w:overflowPunct w:val="0"/>
        <w:adjustRightInd/>
        <w:spacing w:line="420" w:lineRule="exact"/>
        <w:ind w:left="0" w:firstLineChars="450" w:firstLine="1081"/>
        <w:jc w:val="both"/>
        <w:rPr>
          <w:rFonts w:hAnsi="標楷體"/>
          <w:color w:val="000000" w:themeColor="text1"/>
          <w:sz w:val="24"/>
          <w:szCs w:val="24"/>
        </w:rPr>
      </w:pPr>
      <w:r w:rsidRPr="004A427C">
        <w:rPr>
          <w:rFonts w:hAnsi="標楷體"/>
          <w:b/>
          <w:kern w:val="2"/>
          <w:sz w:val="24"/>
          <w:szCs w:val="24"/>
        </w:rPr>
        <w:t>3.</w:t>
      </w:r>
      <w:r w:rsidRPr="004A427C">
        <w:rPr>
          <w:rFonts w:hAnsi="標楷體" w:hint="eastAsia"/>
          <w:b/>
          <w:bCs/>
          <w:kern w:val="2"/>
          <w:sz w:val="24"/>
          <w:szCs w:val="24"/>
        </w:rPr>
        <w:t xml:space="preserve">　</w:t>
      </w:r>
      <w:r w:rsidRPr="004D7C92">
        <w:rPr>
          <w:rFonts w:hAnsi="標楷體" w:hint="eastAsia"/>
          <w:b/>
          <w:kern w:val="2"/>
          <w:sz w:val="24"/>
          <w:szCs w:val="24"/>
        </w:rPr>
        <w:t>配合推動多元再生能源有助逐步達成能源轉型目標，惟部分經管場站設置太陽光電發電設備比率偏低，小水力發電推展進程未如預期，允宜研謀改善：</w:t>
      </w:r>
      <w:r w:rsidRPr="004D7C92">
        <w:rPr>
          <w:rFonts w:hAnsi="標楷體" w:hint="eastAsia"/>
          <w:kern w:val="2"/>
          <w:sz w:val="24"/>
          <w:szCs w:val="24"/>
        </w:rPr>
        <w:t>據行政院於</w:t>
      </w:r>
      <w:r w:rsidRPr="004D7C92">
        <w:rPr>
          <w:rFonts w:hAnsi="標楷體"/>
          <w:kern w:val="2"/>
          <w:sz w:val="24"/>
          <w:szCs w:val="24"/>
        </w:rPr>
        <w:t>112年11月8日發布「加速推動再生能源－極大化綠電發展，逐步達成能源轉型」新聞稿列載，為落實能源轉型，將持續透過已完整規劃之再生能源達標路徑，極大化發展光電場域，並鼓勵小水力發電發展，俾逐步達成能源轉型目標。台灣自來水公司為配合我國綠能政策，推動發展太陽光電及小水力發電等多元再生能源，以利能源轉型目標之達成。經查執行情形，核有：</w:t>
      </w:r>
      <w:r w:rsidR="00C2362F" w:rsidRPr="00C2362F">
        <w:rPr>
          <w:rFonts w:hAnsi="標楷體" w:hint="eastAsia"/>
          <w:kern w:val="2"/>
          <w:sz w:val="24"/>
          <w:szCs w:val="24"/>
        </w:rPr>
        <w:t>（</w:t>
      </w:r>
      <w:r w:rsidRPr="004D7C92">
        <w:rPr>
          <w:rFonts w:hAnsi="標楷體"/>
          <w:kern w:val="2"/>
          <w:sz w:val="24"/>
          <w:szCs w:val="24"/>
        </w:rPr>
        <w:t>1</w:t>
      </w:r>
      <w:r w:rsidR="00A0212B" w:rsidRPr="00A0212B">
        <w:rPr>
          <w:rFonts w:hAnsi="標楷體" w:hint="eastAsia"/>
          <w:kern w:val="2"/>
          <w:sz w:val="24"/>
          <w:szCs w:val="24"/>
        </w:rPr>
        <w:t>）</w:t>
      </w:r>
      <w:r w:rsidRPr="004D7C92">
        <w:rPr>
          <w:rFonts w:hAnsi="標楷體"/>
          <w:kern w:val="2"/>
          <w:sz w:val="24"/>
          <w:szCs w:val="24"/>
        </w:rPr>
        <w:t>台灣自來水公司自107年起利用轄管淨水場、配水池、加壓站等空間</w:t>
      </w:r>
      <w:r w:rsidR="00C2362F" w:rsidRPr="00C2362F">
        <w:rPr>
          <w:rFonts w:hAnsi="標楷體" w:hint="eastAsia"/>
          <w:kern w:val="2"/>
          <w:sz w:val="24"/>
          <w:szCs w:val="24"/>
        </w:rPr>
        <w:t>（</w:t>
      </w:r>
      <w:r w:rsidRPr="004D7C92">
        <w:rPr>
          <w:rFonts w:hAnsi="標楷體"/>
          <w:kern w:val="2"/>
          <w:sz w:val="24"/>
          <w:szCs w:val="24"/>
        </w:rPr>
        <w:t>下稱場站</w:t>
      </w:r>
      <w:r w:rsidR="00A0212B" w:rsidRPr="00A0212B">
        <w:rPr>
          <w:rFonts w:hAnsi="標楷體" w:hint="eastAsia"/>
          <w:kern w:val="2"/>
          <w:sz w:val="24"/>
          <w:szCs w:val="24"/>
        </w:rPr>
        <w:t>）</w:t>
      </w:r>
      <w:r w:rsidRPr="004D7C92">
        <w:rPr>
          <w:rFonts w:hAnsi="標楷體"/>
          <w:kern w:val="2"/>
          <w:sz w:val="24"/>
          <w:szCs w:val="24"/>
        </w:rPr>
        <w:t>，以租賃方式提供業者設置太陽光電發電設備，惟截至113年4月底止，設置太陽光電之場站僅96站</w:t>
      </w:r>
      <w:r w:rsidR="00C2362F" w:rsidRPr="00C2362F">
        <w:rPr>
          <w:rFonts w:hAnsi="標楷體" w:hint="eastAsia"/>
          <w:kern w:val="2"/>
          <w:sz w:val="24"/>
          <w:szCs w:val="24"/>
        </w:rPr>
        <w:t>（</w:t>
      </w:r>
      <w:r w:rsidRPr="004D7C92">
        <w:rPr>
          <w:rFonts w:hAnsi="標楷體"/>
          <w:kern w:val="2"/>
          <w:sz w:val="24"/>
          <w:szCs w:val="24"/>
        </w:rPr>
        <w:t>總裝置容量為68,848瓩，112年度總發電量計7,415萬3,391度</w:t>
      </w:r>
      <w:r w:rsidR="00A0212B" w:rsidRPr="00A0212B">
        <w:rPr>
          <w:rFonts w:hAnsi="標楷體" w:hint="eastAsia"/>
          <w:kern w:val="2"/>
          <w:sz w:val="24"/>
          <w:szCs w:val="24"/>
        </w:rPr>
        <w:t>）</w:t>
      </w:r>
      <w:r w:rsidRPr="004D7C92">
        <w:rPr>
          <w:rFonts w:hAnsi="標楷體"/>
          <w:kern w:val="2"/>
          <w:sz w:val="24"/>
          <w:szCs w:val="24"/>
        </w:rPr>
        <w:t>，約占全部經管場站2,031站之4.73％，甚</w:t>
      </w:r>
      <w:r w:rsidRPr="000C719F">
        <w:rPr>
          <w:rFonts w:hAnsi="標楷體"/>
          <w:kern w:val="2"/>
          <w:sz w:val="24"/>
          <w:szCs w:val="24"/>
        </w:rPr>
        <w:t>日照量佳之屏東地區設置比率僅1.06％；又屏東區管理處經管之內麟、潮新、屏北、萬丹、九</w:t>
      </w:r>
      <w:r w:rsidRPr="004D7C92">
        <w:rPr>
          <w:rFonts w:hAnsi="標楷體"/>
          <w:noProof/>
          <w:sz w:val="22"/>
          <w:szCs w:val="28"/>
        </w:rPr>
        <w:lastRenderedPageBreak/>
        <mc:AlternateContent>
          <mc:Choice Requires="wps">
            <w:drawing>
              <wp:anchor distT="45720" distB="45720" distL="114300" distR="114300" simplePos="0" relativeHeight="251663360" behindDoc="0" locked="0" layoutInCell="1" allowOverlap="1" wp14:anchorId="351FB8B4" wp14:editId="0AB97561">
                <wp:simplePos x="0" y="0"/>
                <wp:positionH relativeFrom="margin">
                  <wp:posOffset>3751580</wp:posOffset>
                </wp:positionH>
                <wp:positionV relativeFrom="paragraph">
                  <wp:posOffset>667385</wp:posOffset>
                </wp:positionV>
                <wp:extent cx="2543175" cy="2395855"/>
                <wp:effectExtent l="0" t="0" r="0" b="4445"/>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2395855"/>
                        </a:xfrm>
                        <a:prstGeom prst="rect">
                          <a:avLst/>
                        </a:prstGeom>
                        <a:noFill/>
                        <a:ln w="9525">
                          <a:noFill/>
                          <a:miter lim="800000"/>
                          <a:headEnd/>
                          <a:tailEnd/>
                        </a:ln>
                      </wps:spPr>
                      <wps:txbx>
                        <w:txbxContent>
                          <w:tbl>
                            <w:tblPr>
                              <w:tblStyle w:val="1110"/>
                              <w:tblW w:w="0" w:type="auto"/>
                              <w:jc w:val="center"/>
                              <w:tblLook w:val="04A0" w:firstRow="1" w:lastRow="0" w:firstColumn="1" w:lastColumn="0" w:noHBand="0" w:noVBand="1"/>
                            </w:tblPr>
                            <w:tblGrid>
                              <w:gridCol w:w="1960"/>
                              <w:gridCol w:w="1868"/>
                            </w:tblGrid>
                            <w:tr w:rsidR="00A0212B" w:rsidRPr="004A427C" w14:paraId="03A9DB08" w14:textId="77777777" w:rsidTr="00696F16">
                              <w:trPr>
                                <w:jc w:val="center"/>
                              </w:trPr>
                              <w:tc>
                                <w:tcPr>
                                  <w:tcW w:w="3828" w:type="dxa"/>
                                  <w:gridSpan w:val="2"/>
                                  <w:tcBorders>
                                    <w:top w:val="nil"/>
                                    <w:left w:val="nil"/>
                                    <w:bottom w:val="nil"/>
                                    <w:right w:val="nil"/>
                                  </w:tcBorders>
                                </w:tcPr>
                                <w:p w14:paraId="47A0ECD1" w14:textId="77777777" w:rsidR="00A0212B" w:rsidRPr="004D7C92" w:rsidRDefault="00A0212B" w:rsidP="00696F16">
                                  <w:pPr>
                                    <w:spacing w:line="280" w:lineRule="exact"/>
                                    <w:ind w:left="769" w:hangingChars="320" w:hanging="769"/>
                                    <w:jc w:val="both"/>
                                    <w:rPr>
                                      <w:rFonts w:ascii="標楷體" w:eastAsia="標楷體" w:hAnsi="標楷體"/>
                                      <w:b/>
                                      <w:color w:val="000000" w:themeColor="text1"/>
                                      <w:kern w:val="0"/>
                                      <w:szCs w:val="28"/>
                                    </w:rPr>
                                  </w:pPr>
                                  <w:r w:rsidRPr="004D7C92">
                                    <w:rPr>
                                      <w:rFonts w:ascii="標楷體" w:eastAsia="標楷體" w:hAnsi="標楷體" w:hint="eastAsia"/>
                                      <w:b/>
                                      <w:color w:val="000000" w:themeColor="text1"/>
                                      <w:kern w:val="0"/>
                                      <w:szCs w:val="28"/>
                                    </w:rPr>
                                    <w:t>表</w:t>
                                  </w:r>
                                  <w:r w:rsidRPr="004D7C92">
                                    <w:rPr>
                                      <w:rFonts w:ascii="標楷體" w:eastAsia="標楷體" w:hAnsi="標楷體"/>
                                      <w:b/>
                                      <w:color w:val="000000" w:themeColor="text1"/>
                                      <w:kern w:val="0"/>
                                      <w:szCs w:val="28"/>
                                    </w:rPr>
                                    <w:t>20</w:t>
                                  </w:r>
                                  <w:r w:rsidRPr="004D7C92">
                                    <w:rPr>
                                      <w:rFonts w:ascii="標楷體" w:eastAsia="標楷體" w:hAnsi="標楷體" w:hint="eastAsia"/>
                                      <w:color w:val="000000" w:themeColor="text1"/>
                                      <w:kern w:val="0"/>
                                      <w:szCs w:val="28"/>
                                    </w:rPr>
                                    <w:t xml:space="preserve">　</w:t>
                                  </w:r>
                                  <w:r w:rsidRPr="004D7C92">
                                    <w:rPr>
                                      <w:rFonts w:ascii="標楷體" w:eastAsia="標楷體" w:hAnsi="標楷體" w:hint="eastAsia"/>
                                      <w:b/>
                                      <w:color w:val="000000" w:themeColor="text1"/>
                                      <w:kern w:val="0"/>
                                      <w:szCs w:val="28"/>
                                    </w:rPr>
                                    <w:t>截至</w:t>
                                  </w:r>
                                  <w:r w:rsidRPr="004D7C92">
                                    <w:rPr>
                                      <w:rFonts w:ascii="標楷體" w:eastAsia="標楷體" w:hAnsi="標楷體"/>
                                      <w:b/>
                                      <w:color w:val="000000" w:themeColor="text1"/>
                                      <w:kern w:val="0"/>
                                      <w:szCs w:val="28"/>
                                    </w:rPr>
                                    <w:t>113年4月底</w:t>
                                  </w:r>
                                  <w:r w:rsidRPr="004D7C92">
                                    <w:rPr>
                                      <w:rFonts w:ascii="標楷體" w:eastAsia="標楷體" w:hAnsi="標楷體" w:hint="eastAsia"/>
                                      <w:b/>
                                      <w:color w:val="000000" w:themeColor="text1"/>
                                      <w:kern w:val="0"/>
                                      <w:szCs w:val="28"/>
                                    </w:rPr>
                                    <w:t>屏東區</w:t>
                                  </w:r>
                                  <w:r w:rsidRPr="004D7C92">
                                    <w:rPr>
                                      <w:rFonts w:ascii="標楷體" w:eastAsia="標楷體" w:hAnsi="標楷體"/>
                                      <w:b/>
                                      <w:color w:val="000000" w:themeColor="text1"/>
                                      <w:kern w:val="0"/>
                                      <w:szCs w:val="28"/>
                                    </w:rPr>
                                    <w:t>管理處</w:t>
                                  </w:r>
                                  <w:r w:rsidRPr="004D7C92">
                                    <w:rPr>
                                      <w:rFonts w:ascii="標楷體" w:eastAsia="標楷體" w:hAnsi="標楷體" w:hint="eastAsia"/>
                                      <w:b/>
                                      <w:color w:val="000000" w:themeColor="text1"/>
                                      <w:kern w:val="0"/>
                                      <w:szCs w:val="28"/>
                                    </w:rPr>
                                    <w:t>淨水場大面積清</w:t>
                                  </w:r>
                                  <w:r w:rsidRPr="004D7C92">
                                    <w:rPr>
                                      <w:rFonts w:ascii="標楷體" w:eastAsia="標楷體" w:hAnsi="標楷體"/>
                                      <w:b/>
                                      <w:color w:val="000000" w:themeColor="text1"/>
                                      <w:kern w:val="0"/>
                                      <w:szCs w:val="28"/>
                                    </w:rPr>
                                    <w:t>(配)水池未設置太陽</w:t>
                                  </w:r>
                                  <w:r w:rsidRPr="004D7C92">
                                    <w:rPr>
                                      <w:rFonts w:ascii="標楷體" w:eastAsia="標楷體" w:hAnsi="標楷體" w:hint="eastAsia"/>
                                      <w:b/>
                                      <w:color w:val="000000" w:themeColor="text1"/>
                                      <w:kern w:val="0"/>
                                      <w:szCs w:val="28"/>
                                    </w:rPr>
                                    <w:t>光電</w:t>
                                  </w:r>
                                  <w:r w:rsidRPr="004D7C92">
                                    <w:rPr>
                                      <w:rFonts w:ascii="標楷體" w:eastAsia="標楷體" w:hAnsi="標楷體"/>
                                      <w:b/>
                                      <w:color w:val="000000" w:themeColor="text1"/>
                                      <w:kern w:val="0"/>
                                      <w:szCs w:val="28"/>
                                    </w:rPr>
                                    <w:t>情形</w:t>
                                  </w:r>
                                </w:p>
                              </w:tc>
                            </w:tr>
                            <w:tr w:rsidR="00A0212B" w:rsidRPr="004A427C" w14:paraId="2AD0E85A" w14:textId="77777777" w:rsidTr="00696F16">
                              <w:trPr>
                                <w:jc w:val="center"/>
                              </w:trPr>
                              <w:tc>
                                <w:tcPr>
                                  <w:tcW w:w="3828" w:type="dxa"/>
                                  <w:gridSpan w:val="2"/>
                                  <w:tcBorders>
                                    <w:top w:val="nil"/>
                                    <w:left w:val="nil"/>
                                    <w:bottom w:val="single" w:sz="4" w:space="0" w:color="auto"/>
                                    <w:right w:val="nil"/>
                                  </w:tcBorders>
                                  <w:vAlign w:val="center"/>
                                </w:tcPr>
                                <w:p w14:paraId="264471DD" w14:textId="77777777" w:rsidR="00A0212B" w:rsidRPr="004D7C92" w:rsidRDefault="00A0212B" w:rsidP="00696F16">
                                  <w:pPr>
                                    <w:spacing w:line="240" w:lineRule="exact"/>
                                    <w:ind w:rightChars="-30" w:right="-72"/>
                                    <w:jc w:val="right"/>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單位：平方公尺</w:t>
                                  </w:r>
                                </w:p>
                              </w:tc>
                            </w:tr>
                            <w:tr w:rsidR="00A0212B" w:rsidRPr="004A427C" w14:paraId="3F2B075D" w14:textId="77777777" w:rsidTr="00696F16">
                              <w:trPr>
                                <w:trHeight w:val="312"/>
                                <w:jc w:val="center"/>
                              </w:trPr>
                              <w:tc>
                                <w:tcPr>
                                  <w:tcW w:w="1960" w:type="dxa"/>
                                  <w:tcBorders>
                                    <w:top w:val="single" w:sz="4" w:space="0" w:color="auto"/>
                                  </w:tcBorders>
                                  <w:vAlign w:val="center"/>
                                </w:tcPr>
                                <w:p w14:paraId="2B6E9FF6"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淨水場名稱</w:t>
                                  </w:r>
                                </w:p>
                              </w:tc>
                              <w:tc>
                                <w:tcPr>
                                  <w:tcW w:w="1868" w:type="dxa"/>
                                  <w:tcBorders>
                                    <w:top w:val="single" w:sz="4" w:space="0" w:color="auto"/>
                                  </w:tcBorders>
                                  <w:vAlign w:val="center"/>
                                </w:tcPr>
                                <w:p w14:paraId="4DFB5CFC"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清</w:t>
                                  </w:r>
                                  <w:r w:rsidRPr="004D7C92">
                                    <w:rPr>
                                      <w:rFonts w:ascii="標楷體" w:eastAsia="標楷體" w:hAnsi="標楷體"/>
                                      <w:color w:val="000000" w:themeColor="text1"/>
                                      <w:kern w:val="0"/>
                                      <w:sz w:val="20"/>
                                    </w:rPr>
                                    <w:t>(配)水池面積</w:t>
                                  </w:r>
                                </w:p>
                              </w:tc>
                            </w:tr>
                            <w:tr w:rsidR="00A0212B" w:rsidRPr="004A427C" w14:paraId="38E64D36" w14:textId="77777777" w:rsidTr="00696F16">
                              <w:trPr>
                                <w:trHeight w:val="312"/>
                                <w:jc w:val="center"/>
                              </w:trPr>
                              <w:tc>
                                <w:tcPr>
                                  <w:tcW w:w="1960" w:type="dxa"/>
                                  <w:vAlign w:val="center"/>
                                </w:tcPr>
                                <w:p w14:paraId="70C65020"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內麟</w:t>
                                  </w:r>
                                </w:p>
                              </w:tc>
                              <w:tc>
                                <w:tcPr>
                                  <w:tcW w:w="1868" w:type="dxa"/>
                                  <w:vAlign w:val="center"/>
                                </w:tcPr>
                                <w:p w14:paraId="02FCD78F"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1,800</w:t>
                                  </w:r>
                                </w:p>
                              </w:tc>
                            </w:tr>
                            <w:tr w:rsidR="00A0212B" w:rsidRPr="004A427C" w14:paraId="21F13773" w14:textId="77777777" w:rsidTr="00696F16">
                              <w:trPr>
                                <w:trHeight w:val="312"/>
                                <w:jc w:val="center"/>
                              </w:trPr>
                              <w:tc>
                                <w:tcPr>
                                  <w:tcW w:w="1960" w:type="dxa"/>
                                  <w:vAlign w:val="center"/>
                                </w:tcPr>
                                <w:p w14:paraId="762CD64D"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潮新</w:t>
                                  </w:r>
                                </w:p>
                              </w:tc>
                              <w:tc>
                                <w:tcPr>
                                  <w:tcW w:w="1868" w:type="dxa"/>
                                  <w:vAlign w:val="center"/>
                                </w:tcPr>
                                <w:p w14:paraId="312635F8"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1,400</w:t>
                                  </w:r>
                                </w:p>
                              </w:tc>
                            </w:tr>
                            <w:tr w:rsidR="00A0212B" w:rsidRPr="004A427C" w14:paraId="3112E7C5" w14:textId="77777777" w:rsidTr="00696F16">
                              <w:trPr>
                                <w:trHeight w:val="312"/>
                                <w:jc w:val="center"/>
                              </w:trPr>
                              <w:tc>
                                <w:tcPr>
                                  <w:tcW w:w="1960" w:type="dxa"/>
                                  <w:vAlign w:val="center"/>
                                </w:tcPr>
                                <w:p w14:paraId="3DE8EDC6"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屏北</w:t>
                                  </w:r>
                                </w:p>
                              </w:tc>
                              <w:tc>
                                <w:tcPr>
                                  <w:tcW w:w="1868" w:type="dxa"/>
                                  <w:vAlign w:val="center"/>
                                </w:tcPr>
                                <w:p w14:paraId="2BF6AB35"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1,000</w:t>
                                  </w:r>
                                </w:p>
                              </w:tc>
                            </w:tr>
                            <w:tr w:rsidR="00A0212B" w:rsidRPr="004A427C" w14:paraId="3DF8D7C9" w14:textId="77777777" w:rsidTr="00696F16">
                              <w:trPr>
                                <w:trHeight w:val="312"/>
                                <w:jc w:val="center"/>
                              </w:trPr>
                              <w:tc>
                                <w:tcPr>
                                  <w:tcW w:w="1960" w:type="dxa"/>
                                  <w:vAlign w:val="center"/>
                                </w:tcPr>
                                <w:p w14:paraId="3D525066"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萬丹</w:t>
                                  </w:r>
                                </w:p>
                              </w:tc>
                              <w:tc>
                                <w:tcPr>
                                  <w:tcW w:w="1868" w:type="dxa"/>
                                  <w:vAlign w:val="center"/>
                                </w:tcPr>
                                <w:p w14:paraId="19E33F1C"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678</w:t>
                                  </w:r>
                                </w:p>
                              </w:tc>
                            </w:tr>
                            <w:tr w:rsidR="00A0212B" w:rsidRPr="004A427C" w14:paraId="2BD41FCD" w14:textId="77777777" w:rsidTr="00696F16">
                              <w:trPr>
                                <w:trHeight w:val="312"/>
                                <w:jc w:val="center"/>
                              </w:trPr>
                              <w:tc>
                                <w:tcPr>
                                  <w:tcW w:w="1960" w:type="dxa"/>
                                  <w:vAlign w:val="center"/>
                                </w:tcPr>
                                <w:p w14:paraId="0E7AFFDB"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九如</w:t>
                                  </w:r>
                                </w:p>
                              </w:tc>
                              <w:tc>
                                <w:tcPr>
                                  <w:tcW w:w="1868" w:type="dxa"/>
                                  <w:vAlign w:val="center"/>
                                </w:tcPr>
                                <w:p w14:paraId="1FB63320"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678</w:t>
                                  </w:r>
                                </w:p>
                              </w:tc>
                            </w:tr>
                            <w:tr w:rsidR="00A0212B" w:rsidRPr="004A427C" w14:paraId="00C31FA9" w14:textId="77777777" w:rsidTr="00696F16">
                              <w:trPr>
                                <w:trHeight w:val="312"/>
                                <w:jc w:val="center"/>
                              </w:trPr>
                              <w:tc>
                                <w:tcPr>
                                  <w:tcW w:w="1960" w:type="dxa"/>
                                  <w:tcBorders>
                                    <w:bottom w:val="single" w:sz="4" w:space="0" w:color="auto"/>
                                  </w:tcBorders>
                                  <w:vAlign w:val="center"/>
                                </w:tcPr>
                                <w:p w14:paraId="03D4D8C3"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竹田</w:t>
                                  </w:r>
                                </w:p>
                              </w:tc>
                              <w:tc>
                                <w:tcPr>
                                  <w:tcW w:w="1868" w:type="dxa"/>
                                  <w:tcBorders>
                                    <w:bottom w:val="single" w:sz="4" w:space="0" w:color="auto"/>
                                  </w:tcBorders>
                                  <w:vAlign w:val="center"/>
                                </w:tcPr>
                                <w:p w14:paraId="178C69CA"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661</w:t>
                                  </w:r>
                                </w:p>
                              </w:tc>
                            </w:tr>
                            <w:tr w:rsidR="00A0212B" w:rsidRPr="004A427C" w14:paraId="65D057FC" w14:textId="77777777" w:rsidTr="00696F16">
                              <w:trPr>
                                <w:trHeight w:val="283"/>
                                <w:jc w:val="center"/>
                              </w:trPr>
                              <w:tc>
                                <w:tcPr>
                                  <w:tcW w:w="3828" w:type="dxa"/>
                                  <w:gridSpan w:val="2"/>
                                  <w:tcBorders>
                                    <w:top w:val="single" w:sz="4" w:space="0" w:color="auto"/>
                                    <w:left w:val="nil"/>
                                    <w:bottom w:val="nil"/>
                                    <w:right w:val="nil"/>
                                  </w:tcBorders>
                                </w:tcPr>
                                <w:p w14:paraId="58A24F7D" w14:textId="77777777" w:rsidR="00A0212B" w:rsidRPr="004D7C92" w:rsidRDefault="00A0212B" w:rsidP="00696F16">
                                  <w:pPr>
                                    <w:spacing w:line="240" w:lineRule="exact"/>
                                    <w:ind w:leftChars="-30" w:left="-72"/>
                                    <w:jc w:val="both"/>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18"/>
                                    </w:rPr>
                                    <w:t>資料來源：整理自台灣自來水公司提供資料。</w:t>
                                  </w:r>
                                </w:p>
                              </w:tc>
                            </w:tr>
                          </w:tbl>
                          <w:p w14:paraId="04CC413B" w14:textId="77777777" w:rsidR="00A0212B" w:rsidRPr="004D7C92" w:rsidRDefault="00A0212B" w:rsidP="004A427C">
                            <w:pPr>
                              <w:rPr>
                                <w:color w:val="000000" w:themeColor="text1"/>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1FB8B4" id="_x0000_s1060" type="#_x0000_t202" style="position:absolute;left:0;text-align:left;margin-left:295.4pt;margin-top:52.55pt;width:200.25pt;height:188.6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" filled="f" stroked="f">
                <v:textbox>
                  <w:txbxContent>
                    <w:tbl>
                      <w:tblPr>
                        <w:tblStyle w:val="1110"/>
                        <w:tblW w:w="0" w:type="auto"/>
                        <w:jc w:val="center"/>
                        <w:tblLook w:val="04A0" w:firstRow="1" w:lastRow="0" w:firstColumn="1" w:lastColumn="0" w:noHBand="0" w:noVBand="1"/>
                      </w:tblPr>
                      <w:tblGrid>
                        <w:gridCol w:w="1960"/>
                        <w:gridCol w:w="1868"/>
                      </w:tblGrid>
                      <w:tr w:rsidR="00A0212B" w:rsidRPr="004A427C" w14:paraId="03A9DB08" w14:textId="77777777" w:rsidTr="00696F16">
                        <w:trPr>
                          <w:jc w:val="center"/>
                        </w:trPr>
                        <w:tc>
                          <w:tcPr>
                            <w:tcW w:w="3828" w:type="dxa"/>
                            <w:gridSpan w:val="2"/>
                            <w:tcBorders>
                              <w:top w:val="nil"/>
                              <w:left w:val="nil"/>
                              <w:bottom w:val="nil"/>
                              <w:right w:val="nil"/>
                            </w:tcBorders>
                          </w:tcPr>
                          <w:p w14:paraId="47A0ECD1" w14:textId="77777777" w:rsidR="00A0212B" w:rsidRPr="004D7C92" w:rsidRDefault="00A0212B" w:rsidP="00696F16">
                            <w:pPr>
                              <w:spacing w:line="280" w:lineRule="exact"/>
                              <w:ind w:left="769" w:hangingChars="320" w:hanging="769"/>
                              <w:jc w:val="both"/>
                              <w:rPr>
                                <w:rFonts w:ascii="標楷體" w:eastAsia="標楷體" w:hAnsi="標楷體"/>
                                <w:b/>
                                <w:color w:val="000000" w:themeColor="text1"/>
                                <w:kern w:val="0"/>
                                <w:szCs w:val="28"/>
                              </w:rPr>
                            </w:pPr>
                            <w:r w:rsidRPr="004D7C92">
                              <w:rPr>
                                <w:rFonts w:ascii="標楷體" w:eastAsia="標楷體" w:hAnsi="標楷體" w:hint="eastAsia"/>
                                <w:b/>
                                <w:color w:val="000000" w:themeColor="text1"/>
                                <w:kern w:val="0"/>
                                <w:szCs w:val="28"/>
                              </w:rPr>
                              <w:t>表</w:t>
                            </w:r>
                            <w:r w:rsidRPr="004D7C92">
                              <w:rPr>
                                <w:rFonts w:ascii="標楷體" w:eastAsia="標楷體" w:hAnsi="標楷體"/>
                                <w:b/>
                                <w:color w:val="000000" w:themeColor="text1"/>
                                <w:kern w:val="0"/>
                                <w:szCs w:val="28"/>
                              </w:rPr>
                              <w:t>20</w:t>
                            </w:r>
                            <w:r w:rsidRPr="004D7C92">
                              <w:rPr>
                                <w:rFonts w:ascii="標楷體" w:eastAsia="標楷體" w:hAnsi="標楷體" w:hint="eastAsia"/>
                                <w:color w:val="000000" w:themeColor="text1"/>
                                <w:kern w:val="0"/>
                                <w:szCs w:val="28"/>
                              </w:rPr>
                              <w:t xml:space="preserve">　</w:t>
                            </w:r>
                            <w:r w:rsidRPr="004D7C92">
                              <w:rPr>
                                <w:rFonts w:ascii="標楷體" w:eastAsia="標楷體" w:hAnsi="標楷體" w:hint="eastAsia"/>
                                <w:b/>
                                <w:color w:val="000000" w:themeColor="text1"/>
                                <w:kern w:val="0"/>
                                <w:szCs w:val="28"/>
                              </w:rPr>
                              <w:t>截至</w:t>
                            </w:r>
                            <w:r w:rsidRPr="004D7C92">
                              <w:rPr>
                                <w:rFonts w:ascii="標楷體" w:eastAsia="標楷體" w:hAnsi="標楷體"/>
                                <w:b/>
                                <w:color w:val="000000" w:themeColor="text1"/>
                                <w:kern w:val="0"/>
                                <w:szCs w:val="28"/>
                              </w:rPr>
                              <w:t>113年4月底</w:t>
                            </w:r>
                            <w:r w:rsidRPr="004D7C92">
                              <w:rPr>
                                <w:rFonts w:ascii="標楷體" w:eastAsia="標楷體" w:hAnsi="標楷體" w:hint="eastAsia"/>
                                <w:b/>
                                <w:color w:val="000000" w:themeColor="text1"/>
                                <w:kern w:val="0"/>
                                <w:szCs w:val="28"/>
                              </w:rPr>
                              <w:t>屏東區</w:t>
                            </w:r>
                            <w:r w:rsidRPr="004D7C92">
                              <w:rPr>
                                <w:rFonts w:ascii="標楷體" w:eastAsia="標楷體" w:hAnsi="標楷體"/>
                                <w:b/>
                                <w:color w:val="000000" w:themeColor="text1"/>
                                <w:kern w:val="0"/>
                                <w:szCs w:val="28"/>
                              </w:rPr>
                              <w:t>管理處</w:t>
                            </w:r>
                            <w:r w:rsidRPr="004D7C92">
                              <w:rPr>
                                <w:rFonts w:ascii="標楷體" w:eastAsia="標楷體" w:hAnsi="標楷體" w:hint="eastAsia"/>
                                <w:b/>
                                <w:color w:val="000000" w:themeColor="text1"/>
                                <w:kern w:val="0"/>
                                <w:szCs w:val="28"/>
                              </w:rPr>
                              <w:t>淨水場大面積清</w:t>
                            </w:r>
                            <w:r w:rsidRPr="004D7C92">
                              <w:rPr>
                                <w:rFonts w:ascii="標楷體" w:eastAsia="標楷體" w:hAnsi="標楷體"/>
                                <w:b/>
                                <w:color w:val="000000" w:themeColor="text1"/>
                                <w:kern w:val="0"/>
                                <w:szCs w:val="28"/>
                              </w:rPr>
                              <w:t>(配)水池未設置太陽</w:t>
                            </w:r>
                            <w:r w:rsidRPr="004D7C92">
                              <w:rPr>
                                <w:rFonts w:ascii="標楷體" w:eastAsia="標楷體" w:hAnsi="標楷體" w:hint="eastAsia"/>
                                <w:b/>
                                <w:color w:val="000000" w:themeColor="text1"/>
                                <w:kern w:val="0"/>
                                <w:szCs w:val="28"/>
                              </w:rPr>
                              <w:t>光電</w:t>
                            </w:r>
                            <w:r w:rsidRPr="004D7C92">
                              <w:rPr>
                                <w:rFonts w:ascii="標楷體" w:eastAsia="標楷體" w:hAnsi="標楷體"/>
                                <w:b/>
                                <w:color w:val="000000" w:themeColor="text1"/>
                                <w:kern w:val="0"/>
                                <w:szCs w:val="28"/>
                              </w:rPr>
                              <w:t>情形</w:t>
                            </w:r>
                          </w:p>
                        </w:tc>
                      </w:tr>
                      <w:tr w:rsidR="00A0212B" w:rsidRPr="004A427C" w14:paraId="2AD0E85A" w14:textId="77777777" w:rsidTr="00696F16">
                        <w:trPr>
                          <w:jc w:val="center"/>
                        </w:trPr>
                        <w:tc>
                          <w:tcPr>
                            <w:tcW w:w="3828" w:type="dxa"/>
                            <w:gridSpan w:val="2"/>
                            <w:tcBorders>
                              <w:top w:val="nil"/>
                              <w:left w:val="nil"/>
                              <w:bottom w:val="single" w:sz="4" w:space="0" w:color="auto"/>
                              <w:right w:val="nil"/>
                            </w:tcBorders>
                            <w:vAlign w:val="center"/>
                          </w:tcPr>
                          <w:p w14:paraId="264471DD" w14:textId="77777777" w:rsidR="00A0212B" w:rsidRPr="004D7C92" w:rsidRDefault="00A0212B" w:rsidP="00696F16">
                            <w:pPr>
                              <w:spacing w:line="240" w:lineRule="exact"/>
                              <w:ind w:rightChars="-30" w:right="-72"/>
                              <w:jc w:val="right"/>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單位：平方公尺</w:t>
                            </w:r>
                          </w:p>
                        </w:tc>
                      </w:tr>
                      <w:tr w:rsidR="00A0212B" w:rsidRPr="004A427C" w14:paraId="3F2B075D" w14:textId="77777777" w:rsidTr="00696F16">
                        <w:trPr>
                          <w:trHeight w:val="312"/>
                          <w:jc w:val="center"/>
                        </w:trPr>
                        <w:tc>
                          <w:tcPr>
                            <w:tcW w:w="1960" w:type="dxa"/>
                            <w:tcBorders>
                              <w:top w:val="single" w:sz="4" w:space="0" w:color="auto"/>
                            </w:tcBorders>
                            <w:vAlign w:val="center"/>
                          </w:tcPr>
                          <w:p w14:paraId="2B6E9FF6"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淨水場名稱</w:t>
                            </w:r>
                          </w:p>
                        </w:tc>
                        <w:tc>
                          <w:tcPr>
                            <w:tcW w:w="1868" w:type="dxa"/>
                            <w:tcBorders>
                              <w:top w:val="single" w:sz="4" w:space="0" w:color="auto"/>
                            </w:tcBorders>
                            <w:vAlign w:val="center"/>
                          </w:tcPr>
                          <w:p w14:paraId="4DFB5CFC"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清</w:t>
                            </w:r>
                            <w:r w:rsidRPr="004D7C92">
                              <w:rPr>
                                <w:rFonts w:ascii="標楷體" w:eastAsia="標楷體" w:hAnsi="標楷體"/>
                                <w:color w:val="000000" w:themeColor="text1"/>
                                <w:kern w:val="0"/>
                                <w:sz w:val="20"/>
                              </w:rPr>
                              <w:t>(配)水池面積</w:t>
                            </w:r>
                          </w:p>
                        </w:tc>
                      </w:tr>
                      <w:tr w:rsidR="00A0212B" w:rsidRPr="004A427C" w14:paraId="38E64D36" w14:textId="77777777" w:rsidTr="00696F16">
                        <w:trPr>
                          <w:trHeight w:val="312"/>
                          <w:jc w:val="center"/>
                        </w:trPr>
                        <w:tc>
                          <w:tcPr>
                            <w:tcW w:w="1960" w:type="dxa"/>
                            <w:vAlign w:val="center"/>
                          </w:tcPr>
                          <w:p w14:paraId="70C65020"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內麟</w:t>
                            </w:r>
                          </w:p>
                        </w:tc>
                        <w:tc>
                          <w:tcPr>
                            <w:tcW w:w="1868" w:type="dxa"/>
                            <w:vAlign w:val="center"/>
                          </w:tcPr>
                          <w:p w14:paraId="02FCD78F"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1,800</w:t>
                            </w:r>
                          </w:p>
                        </w:tc>
                      </w:tr>
                      <w:tr w:rsidR="00A0212B" w:rsidRPr="004A427C" w14:paraId="21F13773" w14:textId="77777777" w:rsidTr="00696F16">
                        <w:trPr>
                          <w:trHeight w:val="312"/>
                          <w:jc w:val="center"/>
                        </w:trPr>
                        <w:tc>
                          <w:tcPr>
                            <w:tcW w:w="1960" w:type="dxa"/>
                            <w:vAlign w:val="center"/>
                          </w:tcPr>
                          <w:p w14:paraId="762CD64D"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潮新</w:t>
                            </w:r>
                          </w:p>
                        </w:tc>
                        <w:tc>
                          <w:tcPr>
                            <w:tcW w:w="1868" w:type="dxa"/>
                            <w:vAlign w:val="center"/>
                          </w:tcPr>
                          <w:p w14:paraId="312635F8"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1,400</w:t>
                            </w:r>
                          </w:p>
                        </w:tc>
                      </w:tr>
                      <w:tr w:rsidR="00A0212B" w:rsidRPr="004A427C" w14:paraId="3112E7C5" w14:textId="77777777" w:rsidTr="00696F16">
                        <w:trPr>
                          <w:trHeight w:val="312"/>
                          <w:jc w:val="center"/>
                        </w:trPr>
                        <w:tc>
                          <w:tcPr>
                            <w:tcW w:w="1960" w:type="dxa"/>
                            <w:vAlign w:val="center"/>
                          </w:tcPr>
                          <w:p w14:paraId="3DE8EDC6"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屏北</w:t>
                            </w:r>
                          </w:p>
                        </w:tc>
                        <w:tc>
                          <w:tcPr>
                            <w:tcW w:w="1868" w:type="dxa"/>
                            <w:vAlign w:val="center"/>
                          </w:tcPr>
                          <w:p w14:paraId="2BF6AB35"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1,000</w:t>
                            </w:r>
                          </w:p>
                        </w:tc>
                      </w:tr>
                      <w:tr w:rsidR="00A0212B" w:rsidRPr="004A427C" w14:paraId="3DF8D7C9" w14:textId="77777777" w:rsidTr="00696F16">
                        <w:trPr>
                          <w:trHeight w:val="312"/>
                          <w:jc w:val="center"/>
                        </w:trPr>
                        <w:tc>
                          <w:tcPr>
                            <w:tcW w:w="1960" w:type="dxa"/>
                            <w:vAlign w:val="center"/>
                          </w:tcPr>
                          <w:p w14:paraId="3D525066"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萬丹</w:t>
                            </w:r>
                          </w:p>
                        </w:tc>
                        <w:tc>
                          <w:tcPr>
                            <w:tcW w:w="1868" w:type="dxa"/>
                            <w:vAlign w:val="center"/>
                          </w:tcPr>
                          <w:p w14:paraId="19E33F1C"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678</w:t>
                            </w:r>
                          </w:p>
                        </w:tc>
                      </w:tr>
                      <w:tr w:rsidR="00A0212B" w:rsidRPr="004A427C" w14:paraId="2BD41FCD" w14:textId="77777777" w:rsidTr="00696F16">
                        <w:trPr>
                          <w:trHeight w:val="312"/>
                          <w:jc w:val="center"/>
                        </w:trPr>
                        <w:tc>
                          <w:tcPr>
                            <w:tcW w:w="1960" w:type="dxa"/>
                            <w:vAlign w:val="center"/>
                          </w:tcPr>
                          <w:p w14:paraId="0E7AFFDB"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九如</w:t>
                            </w:r>
                          </w:p>
                        </w:tc>
                        <w:tc>
                          <w:tcPr>
                            <w:tcW w:w="1868" w:type="dxa"/>
                            <w:vAlign w:val="center"/>
                          </w:tcPr>
                          <w:p w14:paraId="1FB63320"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678</w:t>
                            </w:r>
                          </w:p>
                        </w:tc>
                      </w:tr>
                      <w:tr w:rsidR="00A0212B" w:rsidRPr="004A427C" w14:paraId="00C31FA9" w14:textId="77777777" w:rsidTr="00696F16">
                        <w:trPr>
                          <w:trHeight w:val="312"/>
                          <w:jc w:val="center"/>
                        </w:trPr>
                        <w:tc>
                          <w:tcPr>
                            <w:tcW w:w="1960" w:type="dxa"/>
                            <w:tcBorders>
                              <w:bottom w:val="single" w:sz="4" w:space="0" w:color="auto"/>
                            </w:tcBorders>
                            <w:vAlign w:val="center"/>
                          </w:tcPr>
                          <w:p w14:paraId="03D4D8C3" w14:textId="77777777" w:rsidR="00A0212B" w:rsidRPr="004D7C92" w:rsidRDefault="00A0212B" w:rsidP="00696F16">
                            <w:pPr>
                              <w:spacing w:line="240" w:lineRule="exact"/>
                              <w:jc w:val="center"/>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20"/>
                              </w:rPr>
                              <w:t>竹田</w:t>
                            </w:r>
                          </w:p>
                        </w:tc>
                        <w:tc>
                          <w:tcPr>
                            <w:tcW w:w="1868" w:type="dxa"/>
                            <w:tcBorders>
                              <w:bottom w:val="single" w:sz="4" w:space="0" w:color="auto"/>
                            </w:tcBorders>
                            <w:vAlign w:val="center"/>
                          </w:tcPr>
                          <w:p w14:paraId="178C69CA" w14:textId="77777777" w:rsidR="00A0212B" w:rsidRPr="004D7C92" w:rsidRDefault="00A0212B" w:rsidP="00696F16">
                            <w:pPr>
                              <w:spacing w:line="240" w:lineRule="exact"/>
                              <w:jc w:val="right"/>
                              <w:rPr>
                                <w:rFonts w:ascii="標楷體" w:eastAsia="標楷體" w:hAnsi="標楷體"/>
                                <w:color w:val="000000" w:themeColor="text1"/>
                                <w:kern w:val="0"/>
                                <w:sz w:val="20"/>
                                <w:szCs w:val="20"/>
                              </w:rPr>
                            </w:pPr>
                            <w:r w:rsidRPr="004D7C92">
                              <w:rPr>
                                <w:rFonts w:ascii="標楷體" w:eastAsia="標楷體" w:hAnsi="標楷體"/>
                                <w:color w:val="000000" w:themeColor="text1"/>
                                <w:kern w:val="0"/>
                                <w:sz w:val="20"/>
                              </w:rPr>
                              <w:t>661</w:t>
                            </w:r>
                          </w:p>
                        </w:tc>
                      </w:tr>
                      <w:tr w:rsidR="00A0212B" w:rsidRPr="004A427C" w14:paraId="65D057FC" w14:textId="77777777" w:rsidTr="00696F16">
                        <w:trPr>
                          <w:trHeight w:val="283"/>
                          <w:jc w:val="center"/>
                        </w:trPr>
                        <w:tc>
                          <w:tcPr>
                            <w:tcW w:w="3828" w:type="dxa"/>
                            <w:gridSpan w:val="2"/>
                            <w:tcBorders>
                              <w:top w:val="single" w:sz="4" w:space="0" w:color="auto"/>
                              <w:left w:val="nil"/>
                              <w:bottom w:val="nil"/>
                              <w:right w:val="nil"/>
                            </w:tcBorders>
                          </w:tcPr>
                          <w:p w14:paraId="58A24F7D" w14:textId="77777777" w:rsidR="00A0212B" w:rsidRPr="004D7C92" w:rsidRDefault="00A0212B" w:rsidP="00696F16">
                            <w:pPr>
                              <w:spacing w:line="240" w:lineRule="exact"/>
                              <w:ind w:leftChars="-30" w:left="-72"/>
                              <w:jc w:val="both"/>
                              <w:rPr>
                                <w:rFonts w:ascii="標楷體" w:eastAsia="標楷體" w:hAnsi="標楷體"/>
                                <w:color w:val="000000" w:themeColor="text1"/>
                                <w:kern w:val="0"/>
                                <w:sz w:val="20"/>
                                <w:szCs w:val="20"/>
                              </w:rPr>
                            </w:pPr>
                            <w:r w:rsidRPr="004D7C92">
                              <w:rPr>
                                <w:rFonts w:ascii="標楷體" w:eastAsia="標楷體" w:hAnsi="標楷體" w:hint="eastAsia"/>
                                <w:color w:val="000000" w:themeColor="text1"/>
                                <w:kern w:val="0"/>
                                <w:sz w:val="18"/>
                              </w:rPr>
                              <w:t>資料來源：整理自台灣自來水公司提供資料。</w:t>
                            </w:r>
                          </w:p>
                        </w:tc>
                      </w:tr>
                    </w:tbl>
                    <w:p w14:paraId="04CC413B" w14:textId="77777777" w:rsidR="00A0212B" w:rsidRPr="004D7C92" w:rsidRDefault="00A0212B" w:rsidP="004A427C">
                      <w:pPr>
                        <w:rPr>
                          <w:color w:val="000000" w:themeColor="text1"/>
                        </w:rPr>
                      </w:pPr>
                    </w:p>
                  </w:txbxContent>
                </v:textbox>
                <w10:wrap type="square" anchorx="margin"/>
              </v:shape>
            </w:pict>
          </mc:Fallback>
        </mc:AlternateContent>
      </w:r>
      <w:r w:rsidRPr="004D7C92">
        <w:rPr>
          <w:rFonts w:hAnsi="標楷體" w:hint="eastAsia"/>
          <w:kern w:val="2"/>
          <w:sz w:val="24"/>
          <w:szCs w:val="24"/>
        </w:rPr>
        <w:t>如、竹田等</w:t>
      </w:r>
      <w:r w:rsidRPr="004D7C92">
        <w:rPr>
          <w:rFonts w:hAnsi="標楷體"/>
          <w:kern w:val="2"/>
          <w:sz w:val="24"/>
          <w:szCs w:val="24"/>
        </w:rPr>
        <w:t>6座淨水場，其清</w:t>
      </w:r>
      <w:r w:rsidR="00C2362F" w:rsidRPr="00C2362F">
        <w:rPr>
          <w:rFonts w:hAnsi="標楷體" w:hint="eastAsia"/>
          <w:kern w:val="2"/>
          <w:sz w:val="24"/>
          <w:szCs w:val="24"/>
        </w:rPr>
        <w:t>（</w:t>
      </w:r>
      <w:r w:rsidRPr="004D7C92">
        <w:rPr>
          <w:rFonts w:hAnsi="標楷體"/>
          <w:kern w:val="2"/>
          <w:sz w:val="24"/>
          <w:szCs w:val="24"/>
        </w:rPr>
        <w:t>配</w:t>
      </w:r>
      <w:r w:rsidR="00A0212B" w:rsidRPr="00A0212B">
        <w:rPr>
          <w:rFonts w:hAnsi="標楷體" w:hint="eastAsia"/>
          <w:kern w:val="2"/>
          <w:sz w:val="24"/>
          <w:szCs w:val="24"/>
        </w:rPr>
        <w:t>）</w:t>
      </w:r>
      <w:r w:rsidRPr="004D7C92">
        <w:rPr>
          <w:rFonts w:hAnsi="標楷體"/>
          <w:kern w:val="2"/>
          <w:sz w:val="24"/>
          <w:szCs w:val="24"/>
        </w:rPr>
        <w:t>水池面積介於661平方公尺至1,800平方公尺間</w:t>
      </w:r>
      <w:r w:rsidRPr="004A427C">
        <w:rPr>
          <w:rFonts w:hAnsi="標楷體"/>
          <w:kern w:val="2"/>
          <w:sz w:val="24"/>
          <w:szCs w:val="24"/>
        </w:rPr>
        <w:t>（</w:t>
      </w:r>
      <w:r w:rsidRPr="006678C5">
        <w:rPr>
          <w:rFonts w:hAnsi="標楷體"/>
          <w:kern w:val="2"/>
          <w:sz w:val="24"/>
          <w:szCs w:val="24"/>
        </w:rPr>
        <w:t>表20</w:t>
      </w:r>
      <w:r w:rsidRPr="004A427C">
        <w:rPr>
          <w:rFonts w:hAnsi="標楷體"/>
          <w:kern w:val="2"/>
          <w:sz w:val="24"/>
          <w:szCs w:val="24"/>
        </w:rPr>
        <w:t>），</w:t>
      </w:r>
      <w:r w:rsidRPr="004D7C92">
        <w:rPr>
          <w:rFonts w:hAnsi="標楷體" w:hint="eastAsia"/>
          <w:kern w:val="2"/>
          <w:sz w:val="24"/>
          <w:szCs w:val="24"/>
        </w:rPr>
        <w:t>惟經該公司評估不能設置太陽光電發電設備原由，係土地非該公司所有，顯未積極洽商權管單位協調評估太陽光電設置事宜；</w:t>
      </w:r>
      <w:r w:rsidR="00C2362F" w:rsidRPr="00C2362F">
        <w:rPr>
          <w:rFonts w:hAnsi="標楷體" w:hint="eastAsia"/>
          <w:kern w:val="2"/>
          <w:sz w:val="24"/>
          <w:szCs w:val="24"/>
        </w:rPr>
        <w:t>（</w:t>
      </w:r>
      <w:r w:rsidRPr="004D7C92">
        <w:rPr>
          <w:rFonts w:hAnsi="標楷體"/>
          <w:kern w:val="2"/>
          <w:sz w:val="24"/>
          <w:szCs w:val="24"/>
        </w:rPr>
        <w:t>2</w:t>
      </w:r>
      <w:r w:rsidR="00A0212B" w:rsidRPr="00A0212B">
        <w:rPr>
          <w:rFonts w:hAnsi="標楷體" w:hint="eastAsia"/>
          <w:kern w:val="2"/>
          <w:sz w:val="24"/>
          <w:szCs w:val="24"/>
        </w:rPr>
        <w:t>）</w:t>
      </w:r>
      <w:r w:rsidRPr="004D7C92">
        <w:rPr>
          <w:rFonts w:hAnsi="標楷體"/>
          <w:kern w:val="2"/>
          <w:sz w:val="24"/>
          <w:szCs w:val="24"/>
        </w:rPr>
        <w:t>台灣自來水公司於</w:t>
      </w:r>
      <w:r w:rsidRPr="006C41C5">
        <w:rPr>
          <w:rFonts w:hAnsi="標楷體"/>
          <w:spacing w:val="-4"/>
          <w:kern w:val="2"/>
          <w:sz w:val="24"/>
          <w:szCs w:val="24"/>
        </w:rPr>
        <w:t>經管南化淨水場調整池旁之土地，辦理小水力發電設備建置標租案，於111年1月20日決標，同年2月7日簽約，據該案租賃契約規定，乙方須於簽約次日起840日曆天</w:t>
      </w:r>
      <w:r w:rsidR="00C2362F" w:rsidRPr="006C41C5">
        <w:rPr>
          <w:rFonts w:hAnsi="標楷體" w:hint="eastAsia"/>
          <w:spacing w:val="-4"/>
          <w:kern w:val="2"/>
          <w:sz w:val="24"/>
          <w:szCs w:val="24"/>
        </w:rPr>
        <w:t>（</w:t>
      </w:r>
      <w:r w:rsidRPr="006C41C5">
        <w:rPr>
          <w:rFonts w:hAnsi="標楷體"/>
          <w:spacing w:val="-4"/>
          <w:kern w:val="2"/>
          <w:sz w:val="24"/>
          <w:szCs w:val="24"/>
        </w:rPr>
        <w:t>即113年5月27日</w:t>
      </w:r>
      <w:r w:rsidR="00A0212B" w:rsidRPr="006C41C5">
        <w:rPr>
          <w:rFonts w:hAnsi="標楷體" w:hint="eastAsia"/>
          <w:spacing w:val="-4"/>
          <w:kern w:val="2"/>
          <w:sz w:val="24"/>
          <w:szCs w:val="24"/>
        </w:rPr>
        <w:t>）</w:t>
      </w:r>
      <w:r w:rsidRPr="006C41C5">
        <w:rPr>
          <w:rFonts w:hAnsi="標楷體"/>
          <w:spacing w:val="-4"/>
          <w:kern w:val="2"/>
          <w:sz w:val="24"/>
          <w:szCs w:val="24"/>
        </w:rPr>
        <w:t>完成裝置容量併聯試運轉，嗣雖經該公司以審閱興建計畫書需時等情由，同意展延履約工程182日曆天</w:t>
      </w:r>
      <w:r w:rsidR="00C2362F" w:rsidRPr="006C41C5">
        <w:rPr>
          <w:rFonts w:hAnsi="標楷體" w:hint="eastAsia"/>
          <w:spacing w:val="-4"/>
          <w:kern w:val="2"/>
          <w:sz w:val="24"/>
          <w:szCs w:val="24"/>
        </w:rPr>
        <w:t>（</w:t>
      </w:r>
      <w:r w:rsidRPr="006C41C5">
        <w:rPr>
          <w:rFonts w:hAnsi="標楷體"/>
          <w:spacing w:val="-4"/>
          <w:kern w:val="2"/>
          <w:sz w:val="24"/>
          <w:szCs w:val="24"/>
        </w:rPr>
        <w:t>即113年11月25日</w:t>
      </w:r>
      <w:r w:rsidR="006C41C5" w:rsidRPr="006C41C5">
        <w:rPr>
          <w:rFonts w:hAnsi="標楷體" w:hint="eastAsia"/>
          <w:spacing w:val="-4"/>
          <w:kern w:val="2"/>
          <w:sz w:val="24"/>
          <w:szCs w:val="24"/>
        </w:rPr>
        <w:t>）</w:t>
      </w:r>
      <w:r w:rsidRPr="006C41C5">
        <w:rPr>
          <w:rFonts w:hAnsi="標楷體"/>
          <w:spacing w:val="-4"/>
          <w:kern w:val="2"/>
          <w:sz w:val="24"/>
          <w:szCs w:val="24"/>
        </w:rPr>
        <w:t>，惟截至113年4月底止，</w:t>
      </w:r>
      <w:r w:rsidRPr="004D7C92">
        <w:rPr>
          <w:rFonts w:hAnsi="標楷體"/>
          <w:kern w:val="2"/>
          <w:sz w:val="24"/>
          <w:szCs w:val="24"/>
        </w:rPr>
        <w:t>距離履約屆期期限僅6個月餘，該案尚在辦理水土保持計畫審查中，計畫執行嚴重落後等情事</w:t>
      </w:r>
      <w:r w:rsidR="00142790">
        <w:rPr>
          <w:rFonts w:hAnsi="標楷體" w:hint="eastAsia"/>
          <w:kern w:val="2"/>
          <w:sz w:val="24"/>
          <w:szCs w:val="24"/>
        </w:rPr>
        <w:t>。</w:t>
      </w:r>
      <w:r w:rsidRPr="004D7C92">
        <w:rPr>
          <w:rFonts w:hAnsi="標楷體" w:hint="eastAsia"/>
          <w:spacing w:val="-4"/>
          <w:kern w:val="2"/>
          <w:sz w:val="24"/>
          <w:szCs w:val="24"/>
        </w:rPr>
        <w:t>經函請行政院督促研謀善策妥處，以逐步提高自主能源及潔淨能源之比率</w:t>
      </w:r>
      <w:r w:rsidRPr="004D7C92">
        <w:rPr>
          <w:rFonts w:hAnsi="標楷體"/>
          <w:spacing w:val="-4"/>
          <w:kern w:val="2"/>
          <w:sz w:val="24"/>
          <w:szCs w:val="24"/>
        </w:rPr>
        <w:t>。</w:t>
      </w:r>
      <w:r w:rsidRPr="004D7C92">
        <w:rPr>
          <w:rFonts w:hAnsi="標楷體" w:hint="eastAsia"/>
          <w:spacing w:val="-4"/>
          <w:kern w:val="2"/>
          <w:sz w:val="24"/>
          <w:szCs w:val="24"/>
        </w:rPr>
        <w:t>據復：</w:t>
      </w:r>
      <w:r w:rsidR="00C2362F" w:rsidRPr="00C2362F">
        <w:rPr>
          <w:rFonts w:hAnsi="標楷體" w:hint="eastAsia"/>
          <w:spacing w:val="-4"/>
          <w:sz w:val="24"/>
          <w:szCs w:val="28"/>
        </w:rPr>
        <w:t>（</w:t>
      </w:r>
      <w:r w:rsidRPr="004D7C92">
        <w:rPr>
          <w:rFonts w:hAnsi="標楷體"/>
          <w:spacing w:val="-4"/>
          <w:sz w:val="24"/>
          <w:szCs w:val="28"/>
        </w:rPr>
        <w:t>1</w:t>
      </w:r>
      <w:r w:rsidR="006C41C5" w:rsidRPr="006C41C5">
        <w:rPr>
          <w:rFonts w:hAnsi="標楷體" w:hint="eastAsia"/>
          <w:spacing w:val="-4"/>
          <w:sz w:val="24"/>
          <w:szCs w:val="28"/>
        </w:rPr>
        <w:t>）</w:t>
      </w:r>
      <w:r w:rsidRPr="004D7C92">
        <w:rPr>
          <w:rFonts w:hAnsi="標楷體"/>
          <w:spacing w:val="-4"/>
          <w:sz w:val="24"/>
          <w:szCs w:val="28"/>
        </w:rPr>
        <w:t>爾</w:t>
      </w:r>
      <w:r w:rsidR="00142790">
        <w:rPr>
          <w:rFonts w:hAnsi="標楷體"/>
          <w:spacing w:val="-4"/>
          <w:sz w:val="24"/>
          <w:szCs w:val="28"/>
        </w:rPr>
        <w:t>後就新設大型場站評估設置太陽光電發電設備之可行性，屏東區管理處</w:t>
      </w:r>
      <w:r w:rsidRPr="004D7C92">
        <w:rPr>
          <w:rFonts w:hAnsi="標楷體"/>
          <w:spacing w:val="-4"/>
          <w:sz w:val="24"/>
          <w:szCs w:val="28"/>
        </w:rPr>
        <w:t>已於113年5</w:t>
      </w:r>
      <w:r w:rsidR="00C70B8F">
        <w:rPr>
          <w:rFonts w:hAnsi="標楷體"/>
          <w:spacing w:val="-4"/>
          <w:sz w:val="24"/>
          <w:szCs w:val="28"/>
        </w:rPr>
        <w:t>月就潮新淨水場致函土地之權管單位台糖</w:t>
      </w:r>
      <w:r w:rsidRPr="004D7C92">
        <w:rPr>
          <w:rFonts w:hAnsi="標楷體"/>
          <w:spacing w:val="-4"/>
          <w:sz w:val="24"/>
          <w:szCs w:val="28"/>
        </w:rPr>
        <w:t>公司，商討太陽光電設置事宜，至其餘5處淨水場尚在保固期內，爰未設置；</w:t>
      </w:r>
      <w:r w:rsidR="00C2362F" w:rsidRPr="00C2362F">
        <w:rPr>
          <w:rFonts w:hAnsi="標楷體" w:hint="eastAsia"/>
          <w:spacing w:val="-4"/>
          <w:sz w:val="24"/>
          <w:szCs w:val="28"/>
        </w:rPr>
        <w:t>（</w:t>
      </w:r>
      <w:r w:rsidRPr="004D7C92">
        <w:rPr>
          <w:rFonts w:hAnsi="標楷體"/>
          <w:spacing w:val="-4"/>
          <w:sz w:val="24"/>
          <w:szCs w:val="28"/>
        </w:rPr>
        <w:t>2</w:t>
      </w:r>
      <w:r w:rsidR="006C41C5" w:rsidRPr="006C41C5">
        <w:rPr>
          <w:rFonts w:hAnsi="標楷體" w:hint="eastAsia"/>
          <w:spacing w:val="-4"/>
          <w:sz w:val="24"/>
          <w:szCs w:val="28"/>
        </w:rPr>
        <w:t>）</w:t>
      </w:r>
      <w:r w:rsidRPr="004D7C92">
        <w:rPr>
          <w:rFonts w:hAnsi="標楷體"/>
          <w:spacing w:val="-4"/>
          <w:sz w:val="24"/>
          <w:szCs w:val="28"/>
        </w:rPr>
        <w:t>將按月召開會議管控小水力進度並積極趕辦。</w:t>
      </w:r>
    </w:p>
    <w:p w14:paraId="3BCE42A0" w14:textId="3728DAED" w:rsidR="00755C25" w:rsidRPr="00755C25" w:rsidRDefault="00755C25" w:rsidP="004D7C92">
      <w:pPr>
        <w:overflowPunct w:val="0"/>
        <w:spacing w:beforeLines="20" w:before="72" w:afterLines="20" w:after="72" w:line="460" w:lineRule="exact"/>
        <w:ind w:firstLineChars="200" w:firstLine="561"/>
        <w:jc w:val="both"/>
        <w:outlineLvl w:val="1"/>
        <w:rPr>
          <w:rFonts w:ascii="標楷體" w:eastAsia="標楷體" w:hAnsi="Arial"/>
          <w:b/>
          <w:bCs/>
          <w:kern w:val="0"/>
          <w:sz w:val="28"/>
          <w:szCs w:val="28"/>
        </w:rPr>
      </w:pPr>
      <w:r w:rsidRPr="00755C25">
        <w:rPr>
          <w:rFonts w:ascii="標楷體" w:eastAsia="標楷體" w:hAnsi="Arial" w:hint="eastAsia"/>
          <w:b/>
          <w:bCs/>
          <w:kern w:val="0"/>
          <w:sz w:val="28"/>
          <w:szCs w:val="28"/>
        </w:rPr>
        <w:t>（</w:t>
      </w:r>
      <w:r>
        <w:rPr>
          <w:rFonts w:ascii="標楷體" w:eastAsia="標楷體" w:hAnsi="Arial" w:hint="eastAsia"/>
          <w:b/>
          <w:bCs/>
          <w:kern w:val="0"/>
          <w:sz w:val="28"/>
          <w:szCs w:val="28"/>
        </w:rPr>
        <w:t>十三</w:t>
      </w:r>
      <w:r w:rsidRPr="00755C25">
        <w:rPr>
          <w:rFonts w:ascii="標楷體" w:eastAsia="標楷體" w:hAnsi="Arial" w:hint="eastAsia"/>
          <w:b/>
          <w:bCs/>
          <w:kern w:val="0"/>
          <w:sz w:val="28"/>
          <w:szCs w:val="28"/>
        </w:rPr>
        <w:t xml:space="preserve">）　</w:t>
      </w:r>
      <w:r w:rsidR="00A80469" w:rsidRPr="004D7C92">
        <w:rPr>
          <w:rFonts w:ascii="標楷體" w:eastAsia="標楷體" w:hAnsi="Arial" w:hint="eastAsia"/>
          <w:b/>
          <w:bCs/>
          <w:spacing w:val="2"/>
          <w:kern w:val="0"/>
          <w:sz w:val="28"/>
          <w:szCs w:val="28"/>
        </w:rPr>
        <w:t>政府</w:t>
      </w:r>
      <w:r w:rsidR="0062521F" w:rsidRPr="004D7C92">
        <w:rPr>
          <w:rFonts w:ascii="標楷體" w:eastAsia="標楷體" w:hAnsi="Arial" w:hint="eastAsia"/>
          <w:b/>
          <w:bCs/>
          <w:spacing w:val="2"/>
          <w:kern w:val="0"/>
          <w:sz w:val="28"/>
          <w:szCs w:val="28"/>
        </w:rPr>
        <w:t>推動航空產業節能</w:t>
      </w:r>
      <w:r w:rsidR="00142790">
        <w:rPr>
          <w:rFonts w:ascii="標楷體" w:eastAsia="標楷體" w:hAnsi="Arial" w:hint="eastAsia"/>
          <w:b/>
          <w:bCs/>
          <w:spacing w:val="2"/>
          <w:kern w:val="0"/>
          <w:sz w:val="28"/>
          <w:szCs w:val="28"/>
        </w:rPr>
        <w:t>有助</w:t>
      </w:r>
      <w:r w:rsidR="0062521F" w:rsidRPr="004D7C92">
        <w:rPr>
          <w:rFonts w:ascii="標楷體" w:eastAsia="標楷體" w:hAnsi="Arial" w:hint="eastAsia"/>
          <w:b/>
          <w:bCs/>
          <w:spacing w:val="2"/>
          <w:kern w:val="0"/>
          <w:sz w:val="28"/>
          <w:szCs w:val="28"/>
        </w:rPr>
        <w:t>降低碳排放量，惟國際永續航空燃料產能不足，國籍航空業者取得不易，允宜完備相關管理規範，推動建立國產永續航空燃料產銷供應鏈，俾利民航、運輸業者永續航空規律化，加速達成2050淨零排放目標。</w:t>
      </w:r>
    </w:p>
    <w:p w14:paraId="72DEB8C2" w14:textId="76DB6BA1" w:rsidR="00755C25" w:rsidRPr="0062521F" w:rsidRDefault="007736B0" w:rsidP="004D7C92">
      <w:pPr>
        <w:pStyle w:val="affb"/>
        <w:kinsoku/>
        <w:overflowPunct w:val="0"/>
        <w:adjustRightInd/>
        <w:spacing w:line="440" w:lineRule="exact"/>
        <w:ind w:left="0" w:firstLineChars="200" w:firstLine="480"/>
        <w:jc w:val="both"/>
        <w:rPr>
          <w:rFonts w:hAnsi="標楷體"/>
        </w:rPr>
      </w:pPr>
      <w:r w:rsidRPr="003140FD">
        <w:rPr>
          <w:rFonts w:hAnsi="標楷體"/>
          <w:b/>
          <w:noProof/>
          <w:color w:val="000000" w:themeColor="text1"/>
          <w:sz w:val="24"/>
          <w:szCs w:val="24"/>
        </w:rPr>
        <mc:AlternateContent>
          <mc:Choice Requires="wpg">
            <w:drawing>
              <wp:anchor distT="0" distB="0" distL="114300" distR="114300" simplePos="0" relativeHeight="251656192" behindDoc="0" locked="0" layoutInCell="1" allowOverlap="1" wp14:anchorId="4DEA2194" wp14:editId="07D8BAA5">
                <wp:simplePos x="0" y="0"/>
                <wp:positionH relativeFrom="column">
                  <wp:posOffset>229351</wp:posOffset>
                </wp:positionH>
                <wp:positionV relativeFrom="paragraph">
                  <wp:posOffset>1462405</wp:posOffset>
                </wp:positionV>
                <wp:extent cx="5836285" cy="2143125"/>
                <wp:effectExtent l="0" t="0" r="0" b="9525"/>
                <wp:wrapSquare wrapText="bothSides"/>
                <wp:docPr id="130" name="群組 130"/>
                <wp:cNvGraphicFramePr/>
                <a:graphic xmlns:a="http://schemas.openxmlformats.org/drawingml/2006/main">
                  <a:graphicData uri="http://schemas.microsoft.com/office/word/2010/wordprocessingGroup">
                    <wpg:wgp>
                      <wpg:cNvGrpSpPr/>
                      <wpg:grpSpPr>
                        <a:xfrm>
                          <a:off x="0" y="0"/>
                          <a:ext cx="5836285" cy="2143125"/>
                          <a:chOff x="0" y="0"/>
                          <a:chExt cx="5836285" cy="2143125"/>
                        </a:xfrm>
                      </wpg:grpSpPr>
                      <wps:wsp>
                        <wps:cNvPr id="39" name="文字方塊 2"/>
                        <wps:cNvSpPr txBox="1">
                          <a:spLocks noChangeArrowheads="1"/>
                        </wps:cNvSpPr>
                        <wps:spPr bwMode="auto">
                          <a:xfrm>
                            <a:off x="0" y="0"/>
                            <a:ext cx="5836285" cy="2143125"/>
                          </a:xfrm>
                          <a:prstGeom prst="rect">
                            <a:avLst/>
                          </a:prstGeom>
                          <a:solidFill>
                            <a:srgbClr val="FFFFFF"/>
                          </a:solidFill>
                          <a:ln w="9525">
                            <a:noFill/>
                            <a:miter lim="800000"/>
                            <a:headEnd/>
                            <a:tailEnd/>
                          </a:ln>
                        </wps:spPr>
                        <wps:txbx>
                          <w:txbxContent>
                            <w:p w14:paraId="00B76E7F" w14:textId="60F773F8" w:rsidR="00A0212B" w:rsidRPr="00AC533F" w:rsidRDefault="00A0212B" w:rsidP="00755C25">
                              <w:pPr>
                                <w:jc w:val="center"/>
                                <w:rPr>
                                  <w:rFonts w:ascii="標楷體" w:eastAsia="標楷體" w:hAnsi="標楷體"/>
                                  <w:b/>
                                </w:rPr>
                              </w:pPr>
                              <w:r w:rsidRPr="00AC533F">
                                <w:rPr>
                                  <w:rFonts w:ascii="標楷體" w:eastAsia="標楷體" w:hAnsi="標楷體" w:hint="eastAsia"/>
                                  <w:b/>
                                </w:rPr>
                                <w:t>圖</w:t>
                              </w:r>
                              <w:r>
                                <w:rPr>
                                  <w:rFonts w:ascii="標楷體" w:eastAsia="標楷體" w:hAnsi="標楷體"/>
                                  <w:b/>
                                </w:rPr>
                                <w:t>14</w:t>
                              </w:r>
                              <w:r w:rsidRPr="00AC533F">
                                <w:rPr>
                                  <w:rFonts w:ascii="標楷體" w:eastAsia="標楷體" w:hAnsi="標楷體" w:hint="eastAsia"/>
                                  <w:b/>
                                </w:rPr>
                                <w:t xml:space="preserve">　永續航空燃料製程</w:t>
                              </w:r>
                            </w:p>
                            <w:p w14:paraId="1816BFED" w14:textId="77777777" w:rsidR="00A0212B" w:rsidRDefault="00A0212B" w:rsidP="00755C25">
                              <w:pPr>
                                <w:jc w:val="center"/>
                                <w:rPr>
                                  <w:rFonts w:ascii="標楷體" w:eastAsia="標楷體" w:hAnsi="標楷體"/>
                                </w:rPr>
                              </w:pPr>
                            </w:p>
                            <w:p w14:paraId="3BCDAD02" w14:textId="77777777" w:rsidR="00A0212B" w:rsidRDefault="00A0212B" w:rsidP="00755C25">
                              <w:pPr>
                                <w:jc w:val="center"/>
                                <w:rPr>
                                  <w:rFonts w:ascii="標楷體" w:eastAsia="標楷體" w:hAnsi="標楷體"/>
                                </w:rPr>
                              </w:pPr>
                            </w:p>
                            <w:p w14:paraId="5C72F6C3" w14:textId="77777777" w:rsidR="00A0212B" w:rsidRDefault="00A0212B" w:rsidP="00755C25">
                              <w:pPr>
                                <w:jc w:val="center"/>
                                <w:rPr>
                                  <w:rFonts w:ascii="標楷體" w:eastAsia="標楷體" w:hAnsi="標楷體"/>
                                </w:rPr>
                              </w:pPr>
                            </w:p>
                            <w:p w14:paraId="41716E82" w14:textId="77777777" w:rsidR="00A0212B" w:rsidRDefault="00A0212B" w:rsidP="00755C25">
                              <w:pPr>
                                <w:jc w:val="center"/>
                                <w:rPr>
                                  <w:rFonts w:ascii="標楷體" w:eastAsia="標楷體" w:hAnsi="標楷體"/>
                                </w:rPr>
                              </w:pPr>
                            </w:p>
                            <w:p w14:paraId="37A938A2" w14:textId="77777777" w:rsidR="00A0212B" w:rsidRDefault="00A0212B" w:rsidP="00755C25">
                              <w:pPr>
                                <w:jc w:val="center"/>
                                <w:rPr>
                                  <w:rFonts w:ascii="標楷體" w:eastAsia="標楷體" w:hAnsi="標楷體"/>
                                </w:rPr>
                              </w:pPr>
                            </w:p>
                            <w:p w14:paraId="71EE7CA9" w14:textId="77777777" w:rsidR="00A0212B" w:rsidRDefault="00A0212B" w:rsidP="00755C25">
                              <w:pPr>
                                <w:jc w:val="center"/>
                                <w:rPr>
                                  <w:rFonts w:ascii="標楷體" w:eastAsia="標楷體" w:hAnsi="標楷體"/>
                                </w:rPr>
                              </w:pPr>
                            </w:p>
                            <w:p w14:paraId="6531491E" w14:textId="77777777" w:rsidR="00A0212B" w:rsidRDefault="00A0212B" w:rsidP="00755C25">
                              <w:pPr>
                                <w:jc w:val="center"/>
                                <w:rPr>
                                  <w:rFonts w:ascii="標楷體" w:eastAsia="標楷體" w:hAnsi="標楷體"/>
                                </w:rPr>
                              </w:pPr>
                            </w:p>
                            <w:p w14:paraId="2ECEE921" w14:textId="77777777" w:rsidR="00A0212B" w:rsidRPr="00B60574" w:rsidRDefault="00A0212B" w:rsidP="00755C25">
                              <w:pPr>
                                <w:rPr>
                                  <w:rFonts w:ascii="標楷體" w:eastAsia="標楷體" w:hAnsi="標楷體"/>
                                  <w:sz w:val="18"/>
                                  <w:szCs w:val="18"/>
                                </w:rPr>
                              </w:pPr>
                              <w:r>
                                <w:rPr>
                                  <w:rFonts w:ascii="標楷體" w:eastAsia="標楷體" w:hAnsi="標楷體" w:hint="eastAsia"/>
                                  <w:sz w:val="18"/>
                                  <w:szCs w:val="18"/>
                                </w:rPr>
                                <w:t>資料來源：整理</w:t>
                              </w:r>
                              <w:r w:rsidRPr="00B60574">
                                <w:rPr>
                                  <w:rFonts w:ascii="標楷體" w:eastAsia="標楷體" w:hAnsi="標楷體" w:hint="eastAsia"/>
                                  <w:sz w:val="18"/>
                                  <w:szCs w:val="18"/>
                                </w:rPr>
                                <w:t>自國家科學及技術委員會科技大觀園網站</w:t>
                              </w:r>
                              <w:r>
                                <w:rPr>
                                  <w:rFonts w:ascii="標楷體" w:eastAsia="標楷體" w:hAnsi="標楷體" w:hint="eastAsia"/>
                                  <w:sz w:val="18"/>
                                  <w:szCs w:val="18"/>
                                </w:rPr>
                                <w:t>。</w:t>
                              </w:r>
                            </w:p>
                          </w:txbxContent>
                        </wps:txbx>
                        <wps:bodyPr rot="0" vert="horz" wrap="square" lIns="91440" tIns="45720" rIns="91440" bIns="45720" anchor="t" anchorCtr="0">
                          <a:noAutofit/>
                        </wps:bodyPr>
                      </wps:wsp>
                      <wps:wsp>
                        <wps:cNvPr id="40" name="矩形: 圓角 5"/>
                        <wps:cNvSpPr/>
                        <wps:spPr>
                          <a:xfrm>
                            <a:off x="629920" y="706120"/>
                            <a:ext cx="683895" cy="1052830"/>
                          </a:xfrm>
                          <a:prstGeom prst="roundRect">
                            <a:avLst/>
                          </a:prstGeom>
                          <a:noFill/>
                          <a:ln w="25400" cap="flat" cmpd="sng" algn="ctr">
                            <a:solidFill>
                              <a:schemeClr val="bg1">
                                <a:lumMod val="65000"/>
                              </a:schemeClr>
                            </a:solidFill>
                            <a:prstDash val="solid"/>
                          </a:ln>
                          <a:effectLst/>
                        </wps:spPr>
                        <wps:txbx>
                          <w:txbxContent>
                            <w:p w14:paraId="52D259AC"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壓縮</w:t>
                              </w:r>
                            </w:p>
                            <w:p w14:paraId="6AC70EA6"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萃取</w:t>
                              </w:r>
                            </w:p>
                            <w:p w14:paraId="7189D71C" w14:textId="77777777" w:rsidR="00A0212B" w:rsidRDefault="00A0212B" w:rsidP="00755C25">
                              <w:pPr>
                                <w:spacing w:line="200" w:lineRule="exact"/>
                                <w:jc w:val="center"/>
                              </w:pPr>
                              <w:r>
                                <w:rPr>
                                  <w:rFonts w:ascii="標楷體" w:eastAsia="標楷體" w:hAnsi="標楷體" w:hint="eastAsia"/>
                                  <w:color w:val="000000" w:themeColor="text1"/>
                                  <w:sz w:val="20"/>
                                </w:rPr>
                                <w:t>轉酯化</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 name="矩形: 圓角 6"/>
                        <wps:cNvSpPr/>
                        <wps:spPr>
                          <a:xfrm>
                            <a:off x="1945640" y="1041400"/>
                            <a:ext cx="350520" cy="719455"/>
                          </a:xfrm>
                          <a:prstGeom prst="roundRect">
                            <a:avLst/>
                          </a:prstGeom>
                          <a:noFill/>
                          <a:ln w="25400" cap="flat" cmpd="sng" algn="ctr">
                            <a:solidFill>
                              <a:schemeClr val="bg1">
                                <a:lumMod val="65000"/>
                              </a:schemeClr>
                            </a:solidFill>
                            <a:prstDash val="solid"/>
                          </a:ln>
                          <a:effectLst/>
                        </wps:spPr>
                        <wps:txbx>
                          <w:txbxContent>
                            <w:p w14:paraId="500E4116" w14:textId="77777777" w:rsidR="00A0212B" w:rsidRDefault="00A0212B" w:rsidP="00755C25">
                              <w:pPr>
                                <w:spacing w:line="200" w:lineRule="exact"/>
                                <w:jc w:val="center"/>
                                <w:rPr>
                                  <w:rFonts w:ascii="標楷體" w:eastAsia="標楷體" w:hAnsi="標楷體"/>
                                  <w:color w:val="000000" w:themeColor="text1"/>
                                  <w:sz w:val="20"/>
                                </w:rPr>
                              </w:pPr>
                              <w:r w:rsidRPr="00527BC3">
                                <w:rPr>
                                  <w:rFonts w:ascii="標楷體" w:eastAsia="標楷體" w:hAnsi="標楷體" w:hint="eastAsia"/>
                                  <w:color w:val="000000" w:themeColor="text1"/>
                                  <w:sz w:val="20"/>
                                </w:rPr>
                                <w:t>加</w:t>
                              </w:r>
                            </w:p>
                            <w:p w14:paraId="4DE3C2D5"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氫</w:t>
                              </w:r>
                            </w:p>
                            <w:p w14:paraId="35B6370D"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反</w:t>
                              </w:r>
                            </w:p>
                            <w:p w14:paraId="2A6AC71D" w14:textId="77777777" w:rsidR="00A0212B" w:rsidRPr="00527BC3"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矩形: 圓角 7"/>
                        <wps:cNvSpPr/>
                        <wps:spPr>
                          <a:xfrm>
                            <a:off x="4333240" y="1041400"/>
                            <a:ext cx="350520" cy="719455"/>
                          </a:xfrm>
                          <a:prstGeom prst="roundRect">
                            <a:avLst/>
                          </a:prstGeom>
                          <a:noFill/>
                          <a:ln w="25400" cap="flat" cmpd="sng" algn="ctr">
                            <a:solidFill>
                              <a:schemeClr val="bg1">
                                <a:lumMod val="65000"/>
                              </a:schemeClr>
                            </a:solidFill>
                            <a:prstDash val="solid"/>
                          </a:ln>
                          <a:effectLst/>
                        </wps:spPr>
                        <wps:txbx>
                          <w:txbxContent>
                            <w:p w14:paraId="5D6571C2"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蒸</w:t>
                              </w:r>
                            </w:p>
                            <w:p w14:paraId="17CA1198"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餾</w:t>
                              </w:r>
                            </w:p>
                            <w:p w14:paraId="3E11C032"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反</w:t>
                              </w:r>
                            </w:p>
                            <w:p w14:paraId="4A071F0C" w14:textId="77777777" w:rsidR="00A0212B" w:rsidRPr="00527BC3"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矩形: 圓角 8"/>
                        <wps:cNvSpPr/>
                        <wps:spPr>
                          <a:xfrm>
                            <a:off x="2667000" y="1249680"/>
                            <a:ext cx="1301750" cy="502920"/>
                          </a:xfrm>
                          <a:prstGeom prst="roundRect">
                            <a:avLst/>
                          </a:prstGeom>
                          <a:noFill/>
                          <a:ln w="25400" cap="flat" cmpd="sng" algn="ctr">
                            <a:solidFill>
                              <a:schemeClr val="bg1">
                                <a:lumMod val="65000"/>
                              </a:schemeClr>
                            </a:solidFill>
                            <a:prstDash val="solid"/>
                          </a:ln>
                          <a:effectLst/>
                        </wps:spPr>
                        <wps:txbx>
                          <w:txbxContent>
                            <w:p w14:paraId="0E3EE3E2" w14:textId="77777777" w:rsidR="00A0212B" w:rsidRPr="001C46A3" w:rsidRDefault="00A0212B" w:rsidP="00755C25">
                              <w:pPr>
                                <w:spacing w:line="240" w:lineRule="exact"/>
                                <w:jc w:val="center"/>
                                <w:rPr>
                                  <w:rFonts w:ascii="標楷體" w:eastAsia="標楷體" w:hAnsi="標楷體"/>
                                  <w:color w:val="000000" w:themeColor="text1"/>
                                  <w:sz w:val="20"/>
                                </w:rPr>
                              </w:pPr>
                              <w:r w:rsidRPr="001C46A3">
                                <w:rPr>
                                  <w:rFonts w:ascii="標楷體" w:eastAsia="標楷體" w:hAnsi="標楷體" w:hint="eastAsia"/>
                                  <w:color w:val="000000" w:themeColor="text1"/>
                                  <w:sz w:val="20"/>
                                </w:rPr>
                                <w:t>異構化</w:t>
                              </w:r>
                              <w:r>
                                <w:rPr>
                                  <w:rFonts w:ascii="標楷體" w:eastAsia="標楷體" w:hAnsi="標楷體"/>
                                  <w:color w:val="000000" w:themeColor="text1"/>
                                  <w:sz w:val="20"/>
                                </w:rPr>
                                <w:t>/</w:t>
                              </w:r>
                            </w:p>
                            <w:p w14:paraId="1DB90462" w14:textId="77777777" w:rsidR="00A0212B" w:rsidRPr="001C46A3" w:rsidRDefault="00A0212B" w:rsidP="00755C25">
                              <w:pPr>
                                <w:spacing w:line="240" w:lineRule="exact"/>
                                <w:jc w:val="center"/>
                                <w:rPr>
                                  <w:rFonts w:ascii="標楷體" w:eastAsia="標楷體" w:hAnsi="標楷體"/>
                                  <w:color w:val="000000" w:themeColor="text1"/>
                                  <w:sz w:val="20"/>
                                </w:rPr>
                              </w:pPr>
                              <w:r w:rsidRPr="001C46A3">
                                <w:rPr>
                                  <w:rFonts w:ascii="標楷體" w:eastAsia="標楷體" w:hAnsi="標楷體" w:hint="eastAsia"/>
                                  <w:color w:val="000000" w:themeColor="text1"/>
                                  <w:sz w:val="20"/>
                                </w:rPr>
                                <w:t>裂解反應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 name="矩形: 圓角 9"/>
                        <wps:cNvSpPr/>
                        <wps:spPr>
                          <a:xfrm>
                            <a:off x="2677160" y="772160"/>
                            <a:ext cx="1301750" cy="285115"/>
                          </a:xfrm>
                          <a:prstGeom prst="roundRect">
                            <a:avLst/>
                          </a:prstGeom>
                          <a:noFill/>
                          <a:ln w="25400" cap="flat" cmpd="sng" algn="ctr">
                            <a:solidFill>
                              <a:schemeClr val="bg1">
                                <a:lumMod val="65000"/>
                              </a:schemeClr>
                            </a:solidFill>
                            <a:prstDash val="solid"/>
                          </a:ln>
                          <a:effectLst/>
                        </wps:spPr>
                        <wps:txbx>
                          <w:txbxContent>
                            <w:p w14:paraId="5DE9EEAE" w14:textId="77777777" w:rsidR="00A0212B" w:rsidRPr="001C46A3" w:rsidRDefault="00A0212B" w:rsidP="00755C25">
                              <w:pPr>
                                <w:spacing w:line="200" w:lineRule="exact"/>
                                <w:jc w:val="center"/>
                                <w:rPr>
                                  <w:rFonts w:ascii="標楷體" w:eastAsia="標楷體" w:hAnsi="標楷體"/>
                                  <w:color w:val="000000" w:themeColor="text1"/>
                                  <w:sz w:val="20"/>
                                </w:rPr>
                              </w:pPr>
                              <w:r w:rsidRPr="001C46A3">
                                <w:rPr>
                                  <w:rFonts w:ascii="標楷體" w:eastAsia="標楷體" w:hAnsi="標楷體" w:hint="eastAsia"/>
                                  <w:color w:val="000000" w:themeColor="text1"/>
                                  <w:sz w:val="20"/>
                                </w:rPr>
                                <w:t>氫氣工廠</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文字方塊 2"/>
                        <wps:cNvSpPr txBox="1">
                          <a:spLocks noChangeArrowheads="1"/>
                        </wps:cNvSpPr>
                        <wps:spPr bwMode="auto">
                          <a:xfrm>
                            <a:off x="635000" y="360680"/>
                            <a:ext cx="683895" cy="248285"/>
                          </a:xfrm>
                          <a:prstGeom prst="rect">
                            <a:avLst/>
                          </a:prstGeom>
                          <a:solidFill>
                            <a:sysClr val="window" lastClr="FFFFFF">
                              <a:lumMod val="85000"/>
                            </a:sysClr>
                          </a:solidFill>
                          <a:ln w="9525">
                            <a:solidFill>
                              <a:srgbClr val="000000"/>
                            </a:solidFill>
                            <a:miter lim="800000"/>
                            <a:headEnd/>
                            <a:tailEnd/>
                          </a:ln>
                        </wps:spPr>
                        <wps:txbx>
                          <w:txbxContent>
                            <w:p w14:paraId="72766332" w14:textId="77777777" w:rsidR="00A0212B" w:rsidRPr="00527BC3" w:rsidRDefault="00A0212B" w:rsidP="00755C25">
                              <w:pPr>
                                <w:spacing w:line="200" w:lineRule="exact"/>
                                <w:jc w:val="center"/>
                                <w:rPr>
                                  <w:rFonts w:ascii="標楷體" w:eastAsia="標楷體" w:hAnsi="標楷體"/>
                                  <w:b/>
                                  <w:bCs/>
                                  <w:sz w:val="20"/>
                                </w:rPr>
                              </w:pPr>
                              <w:r w:rsidRPr="00527BC3">
                                <w:rPr>
                                  <w:rFonts w:ascii="標楷體" w:eastAsia="標楷體" w:hAnsi="標楷體" w:hint="eastAsia"/>
                                  <w:b/>
                                  <w:bCs/>
                                  <w:sz w:val="20"/>
                                </w:rPr>
                                <w:t>預處理</w:t>
                              </w:r>
                            </w:p>
                          </w:txbxContent>
                        </wps:txbx>
                        <wps:bodyPr rot="0" vert="horz" wrap="square" lIns="91440" tIns="45720" rIns="91440" bIns="45720" anchor="t" anchorCtr="0">
                          <a:noAutofit/>
                        </wps:bodyPr>
                      </wps:wsp>
                      <wps:wsp>
                        <wps:cNvPr id="46" name="文字方塊 2"/>
                        <wps:cNvSpPr txBox="1">
                          <a:spLocks noChangeArrowheads="1"/>
                        </wps:cNvSpPr>
                        <wps:spPr bwMode="auto">
                          <a:xfrm>
                            <a:off x="2768600" y="360680"/>
                            <a:ext cx="1111885" cy="248285"/>
                          </a:xfrm>
                          <a:prstGeom prst="rect">
                            <a:avLst/>
                          </a:prstGeom>
                          <a:solidFill>
                            <a:sysClr val="window" lastClr="FFFFFF">
                              <a:lumMod val="85000"/>
                            </a:sysClr>
                          </a:solidFill>
                          <a:ln w="9525">
                            <a:solidFill>
                              <a:srgbClr val="000000"/>
                            </a:solidFill>
                            <a:miter lim="800000"/>
                            <a:headEnd/>
                            <a:tailEnd/>
                          </a:ln>
                        </wps:spPr>
                        <wps:txbx>
                          <w:txbxContent>
                            <w:p w14:paraId="42C87B23" w14:textId="77777777" w:rsidR="00A0212B" w:rsidRPr="00527BC3" w:rsidRDefault="00A0212B" w:rsidP="00755C25">
                              <w:pPr>
                                <w:spacing w:line="200" w:lineRule="exact"/>
                                <w:jc w:val="center"/>
                                <w:rPr>
                                  <w:rFonts w:ascii="標楷體" w:eastAsia="標楷體" w:hAnsi="標楷體"/>
                                  <w:b/>
                                  <w:bCs/>
                                  <w:sz w:val="20"/>
                                </w:rPr>
                              </w:pPr>
                              <w:r w:rsidRPr="00527BC3">
                                <w:rPr>
                                  <w:rFonts w:ascii="標楷體" w:eastAsia="標楷體" w:hAnsi="標楷體" w:hint="eastAsia"/>
                                  <w:b/>
                                  <w:bCs/>
                                  <w:sz w:val="20"/>
                                </w:rPr>
                                <w:t>加氫處理</w:t>
                              </w:r>
                            </w:p>
                          </w:txbxContent>
                        </wps:txbx>
                        <wps:bodyPr rot="0" vert="horz" wrap="square" lIns="91440" tIns="45720" rIns="91440" bIns="45720" anchor="t" anchorCtr="0">
                          <a:noAutofit/>
                        </wps:bodyPr>
                      </wps:wsp>
                      <wps:wsp>
                        <wps:cNvPr id="47" name="接點: 肘形 14"/>
                        <wps:cNvCnPr/>
                        <wps:spPr>
                          <a:xfrm flipH="1" flipV="1">
                            <a:off x="3977640" y="889000"/>
                            <a:ext cx="519430" cy="138430"/>
                          </a:xfrm>
                          <a:prstGeom prst="bentConnector3">
                            <a:avLst>
                              <a:gd name="adj1" fmla="val -2106"/>
                            </a:avLst>
                          </a:prstGeom>
                          <a:noFill/>
                          <a:ln w="12700" cap="flat" cmpd="sng" algn="ctr">
                            <a:solidFill>
                              <a:schemeClr val="bg1">
                                <a:lumMod val="65000"/>
                              </a:schemeClr>
                            </a:solidFill>
                            <a:prstDash val="solid"/>
                            <a:tailEnd type="triangle"/>
                          </a:ln>
                          <a:effectLst/>
                        </wps:spPr>
                        <wps:bodyPr/>
                      </wps:wsp>
                      <wps:wsp>
                        <wps:cNvPr id="48" name="接點: 肘形 15"/>
                        <wps:cNvCnPr/>
                        <wps:spPr>
                          <a:xfrm flipH="1">
                            <a:off x="2098040" y="889000"/>
                            <a:ext cx="575945" cy="143510"/>
                          </a:xfrm>
                          <a:prstGeom prst="bentConnector3">
                            <a:avLst>
                              <a:gd name="adj1" fmla="val 99964"/>
                            </a:avLst>
                          </a:prstGeom>
                          <a:noFill/>
                          <a:ln w="12700" cap="flat" cmpd="sng" algn="ctr">
                            <a:solidFill>
                              <a:schemeClr val="bg1">
                                <a:lumMod val="65000"/>
                              </a:schemeClr>
                            </a:solidFill>
                            <a:prstDash val="solid"/>
                            <a:tailEnd type="triangle"/>
                          </a:ln>
                          <a:effectLst/>
                        </wps:spPr>
                        <wps:bodyPr/>
                      </wps:wsp>
                      <wps:wsp>
                        <wps:cNvPr id="49" name="直線單箭頭接點 49"/>
                        <wps:cNvCnPr/>
                        <wps:spPr>
                          <a:xfrm>
                            <a:off x="142240" y="1254760"/>
                            <a:ext cx="431800" cy="0"/>
                          </a:xfrm>
                          <a:prstGeom prst="straightConnector1">
                            <a:avLst/>
                          </a:prstGeom>
                          <a:noFill/>
                          <a:ln w="28575" cap="flat" cmpd="sng" algn="ctr">
                            <a:solidFill>
                              <a:schemeClr val="bg1">
                                <a:lumMod val="65000"/>
                              </a:schemeClr>
                            </a:solidFill>
                            <a:prstDash val="solid"/>
                            <a:tailEnd type="triangle"/>
                          </a:ln>
                          <a:effectLst/>
                        </wps:spPr>
                        <wps:bodyPr/>
                      </wps:wsp>
                      <wps:wsp>
                        <wps:cNvPr id="50" name="直線單箭頭接點 50"/>
                        <wps:cNvCnPr/>
                        <wps:spPr>
                          <a:xfrm>
                            <a:off x="1376680" y="1254760"/>
                            <a:ext cx="539750" cy="0"/>
                          </a:xfrm>
                          <a:prstGeom prst="straightConnector1">
                            <a:avLst/>
                          </a:prstGeom>
                          <a:noFill/>
                          <a:ln w="28575" cap="flat" cmpd="sng" algn="ctr">
                            <a:solidFill>
                              <a:schemeClr val="bg1">
                                <a:lumMod val="65000"/>
                              </a:schemeClr>
                            </a:solidFill>
                            <a:prstDash val="solid"/>
                            <a:tailEnd type="triangle"/>
                          </a:ln>
                          <a:effectLst/>
                        </wps:spPr>
                        <wps:bodyPr/>
                      </wps:wsp>
                      <wps:wsp>
                        <wps:cNvPr id="51" name="直線單箭頭接點 51"/>
                        <wps:cNvCnPr/>
                        <wps:spPr>
                          <a:xfrm>
                            <a:off x="4028440" y="1539240"/>
                            <a:ext cx="287655" cy="0"/>
                          </a:xfrm>
                          <a:prstGeom prst="straightConnector1">
                            <a:avLst/>
                          </a:prstGeom>
                          <a:noFill/>
                          <a:ln w="28575" cap="flat" cmpd="sng" algn="ctr">
                            <a:solidFill>
                              <a:schemeClr val="bg1">
                                <a:lumMod val="65000"/>
                              </a:schemeClr>
                            </a:solidFill>
                            <a:prstDash val="solid"/>
                            <a:tailEnd type="triangle"/>
                          </a:ln>
                          <a:effectLst/>
                        </wps:spPr>
                        <wps:bodyPr/>
                      </wps:wsp>
                      <wps:wsp>
                        <wps:cNvPr id="52" name="直線單箭頭接點 52"/>
                        <wps:cNvCnPr/>
                        <wps:spPr>
                          <a:xfrm>
                            <a:off x="3332480" y="1056640"/>
                            <a:ext cx="0" cy="186055"/>
                          </a:xfrm>
                          <a:prstGeom prst="straightConnector1">
                            <a:avLst/>
                          </a:prstGeom>
                          <a:noFill/>
                          <a:ln w="12700" cap="flat" cmpd="sng" algn="ctr">
                            <a:solidFill>
                              <a:schemeClr val="bg1">
                                <a:lumMod val="65000"/>
                              </a:schemeClr>
                            </a:solidFill>
                            <a:prstDash val="solid"/>
                            <a:tailEnd type="triangle"/>
                          </a:ln>
                          <a:effectLst/>
                        </wps:spPr>
                        <wps:bodyPr/>
                      </wps:wsp>
                      <wps:wsp>
                        <wps:cNvPr id="53" name="文字方塊 2"/>
                        <wps:cNvSpPr txBox="1">
                          <a:spLocks noChangeArrowheads="1"/>
                        </wps:cNvSpPr>
                        <wps:spPr bwMode="auto">
                          <a:xfrm>
                            <a:off x="86360" y="863600"/>
                            <a:ext cx="474785" cy="350520"/>
                          </a:xfrm>
                          <a:prstGeom prst="rect">
                            <a:avLst/>
                          </a:prstGeom>
                          <a:solidFill>
                            <a:srgbClr val="FFFFFF"/>
                          </a:solidFill>
                          <a:ln w="9525">
                            <a:noFill/>
                            <a:miter lim="800000"/>
                            <a:headEnd/>
                            <a:tailEnd/>
                          </a:ln>
                        </wps:spPr>
                        <wps:txbx>
                          <w:txbxContent>
                            <w:p w14:paraId="2028BEDD" w14:textId="77777777" w:rsidR="00A0212B" w:rsidRPr="00527BC3" w:rsidRDefault="00A0212B" w:rsidP="00755C25">
                              <w:pPr>
                                <w:spacing w:line="200" w:lineRule="exact"/>
                                <w:jc w:val="center"/>
                                <w:rPr>
                                  <w:rFonts w:ascii="標楷體" w:eastAsia="標楷體" w:hAnsi="標楷體"/>
                                  <w:sz w:val="20"/>
                                </w:rPr>
                              </w:pPr>
                              <w:r w:rsidRPr="00527BC3">
                                <w:rPr>
                                  <w:rFonts w:ascii="標楷體" w:eastAsia="標楷體" w:hAnsi="標楷體" w:hint="eastAsia"/>
                                  <w:sz w:val="20"/>
                                </w:rPr>
                                <w:t>生質作物</w:t>
                              </w:r>
                            </w:p>
                          </w:txbxContent>
                        </wps:txbx>
                        <wps:bodyPr rot="0" vert="horz" wrap="square" lIns="91440" tIns="45720" rIns="91440" bIns="45720" anchor="t" anchorCtr="0">
                          <a:noAutofit/>
                        </wps:bodyPr>
                      </wps:wsp>
                      <wps:wsp>
                        <wps:cNvPr id="54" name="文字方塊 2"/>
                        <wps:cNvSpPr txBox="1">
                          <a:spLocks noChangeArrowheads="1"/>
                        </wps:cNvSpPr>
                        <wps:spPr bwMode="auto">
                          <a:xfrm>
                            <a:off x="5069840" y="975360"/>
                            <a:ext cx="636270" cy="226060"/>
                          </a:xfrm>
                          <a:prstGeom prst="rect">
                            <a:avLst/>
                          </a:prstGeom>
                          <a:solidFill>
                            <a:srgbClr val="FFFFFF"/>
                          </a:solidFill>
                          <a:ln w="9525">
                            <a:noFill/>
                            <a:miter lim="800000"/>
                            <a:headEnd/>
                            <a:tailEnd/>
                          </a:ln>
                        </wps:spPr>
                        <wps:txbx>
                          <w:txbxContent>
                            <w:p w14:paraId="562EF342" w14:textId="77777777" w:rsidR="00A0212B" w:rsidRPr="00527BC3" w:rsidRDefault="00A0212B" w:rsidP="00755C25">
                              <w:pPr>
                                <w:spacing w:line="200" w:lineRule="exact"/>
                                <w:rPr>
                                  <w:rFonts w:ascii="標楷體" w:eastAsia="標楷體" w:hAnsi="標楷體"/>
                                  <w:sz w:val="20"/>
                                </w:rPr>
                              </w:pPr>
                              <w:r>
                                <w:rPr>
                                  <w:rFonts w:ascii="標楷體" w:eastAsia="標楷體" w:hAnsi="標楷體" w:hint="eastAsia"/>
                                  <w:sz w:val="20"/>
                                </w:rPr>
                                <w:t xml:space="preserve">汽油　　</w:t>
                              </w:r>
                            </w:p>
                          </w:txbxContent>
                        </wps:txbx>
                        <wps:bodyPr rot="0" vert="horz" wrap="square" lIns="91440" tIns="45720" rIns="91440" bIns="45720" anchor="t" anchorCtr="0">
                          <a:noAutofit/>
                        </wps:bodyPr>
                      </wps:wsp>
                      <wps:wsp>
                        <wps:cNvPr id="55" name="文字方塊 2"/>
                        <wps:cNvSpPr txBox="1">
                          <a:spLocks noChangeArrowheads="1"/>
                        </wps:cNvSpPr>
                        <wps:spPr bwMode="auto">
                          <a:xfrm>
                            <a:off x="5059680" y="1239520"/>
                            <a:ext cx="706120" cy="226060"/>
                          </a:xfrm>
                          <a:prstGeom prst="rect">
                            <a:avLst/>
                          </a:prstGeom>
                          <a:solidFill>
                            <a:srgbClr val="FFFFFF"/>
                          </a:solidFill>
                          <a:ln w="9525">
                            <a:noFill/>
                            <a:miter lim="800000"/>
                            <a:headEnd/>
                            <a:tailEnd/>
                          </a:ln>
                        </wps:spPr>
                        <wps:txbx>
                          <w:txbxContent>
                            <w:p w14:paraId="6237160C" w14:textId="77777777" w:rsidR="00A0212B" w:rsidRPr="00527BC3" w:rsidRDefault="00A0212B" w:rsidP="00755C25">
                              <w:pPr>
                                <w:spacing w:line="200" w:lineRule="exact"/>
                                <w:jc w:val="center"/>
                                <w:rPr>
                                  <w:rFonts w:ascii="標楷體" w:eastAsia="標楷體" w:hAnsi="標楷體"/>
                                  <w:sz w:val="20"/>
                                </w:rPr>
                              </w:pPr>
                              <w:r>
                                <w:rPr>
                                  <w:rFonts w:ascii="標楷體" w:eastAsia="標楷體" w:hAnsi="標楷體" w:hint="eastAsia"/>
                                  <w:sz w:val="20"/>
                                </w:rPr>
                                <w:t>航空燃油</w:t>
                              </w:r>
                            </w:p>
                          </w:txbxContent>
                        </wps:txbx>
                        <wps:bodyPr rot="0" vert="horz" wrap="square" lIns="91440" tIns="45720" rIns="91440" bIns="45720" anchor="t" anchorCtr="0">
                          <a:noAutofit/>
                        </wps:bodyPr>
                      </wps:wsp>
                      <wps:wsp>
                        <wps:cNvPr id="56" name="文字方塊 2"/>
                        <wps:cNvSpPr txBox="1">
                          <a:spLocks noChangeArrowheads="1"/>
                        </wps:cNvSpPr>
                        <wps:spPr bwMode="auto">
                          <a:xfrm>
                            <a:off x="5059680" y="1503680"/>
                            <a:ext cx="533400" cy="226060"/>
                          </a:xfrm>
                          <a:prstGeom prst="rect">
                            <a:avLst/>
                          </a:prstGeom>
                          <a:solidFill>
                            <a:srgbClr val="FFFFFF"/>
                          </a:solidFill>
                          <a:ln w="9525">
                            <a:noFill/>
                            <a:miter lim="800000"/>
                            <a:headEnd/>
                            <a:tailEnd/>
                          </a:ln>
                        </wps:spPr>
                        <wps:txbx>
                          <w:txbxContent>
                            <w:p w14:paraId="7655B9DA" w14:textId="77777777" w:rsidR="00A0212B" w:rsidRPr="00527BC3" w:rsidRDefault="00A0212B" w:rsidP="00755C25">
                              <w:pPr>
                                <w:spacing w:line="200" w:lineRule="exact"/>
                                <w:rPr>
                                  <w:rFonts w:ascii="標楷體" w:eastAsia="標楷體" w:hAnsi="標楷體"/>
                                  <w:sz w:val="20"/>
                                </w:rPr>
                              </w:pPr>
                              <w:r>
                                <w:rPr>
                                  <w:rFonts w:ascii="標楷體" w:eastAsia="標楷體" w:hAnsi="標楷體" w:hint="eastAsia"/>
                                  <w:sz w:val="20"/>
                                </w:rPr>
                                <w:t>柴油</w:t>
                              </w:r>
                            </w:p>
                          </w:txbxContent>
                        </wps:txbx>
                        <wps:bodyPr rot="0" vert="horz" wrap="square" lIns="91440" tIns="45720" rIns="91440" bIns="45720" anchor="t" anchorCtr="0">
                          <a:noAutofit/>
                        </wps:bodyPr>
                      </wps:wsp>
                      <wps:wsp>
                        <wps:cNvPr id="57" name="文字方塊 2"/>
                        <wps:cNvSpPr txBox="1">
                          <a:spLocks noChangeArrowheads="1"/>
                        </wps:cNvSpPr>
                        <wps:spPr bwMode="auto">
                          <a:xfrm>
                            <a:off x="2087880" y="635000"/>
                            <a:ext cx="467360" cy="238125"/>
                          </a:xfrm>
                          <a:prstGeom prst="rect">
                            <a:avLst/>
                          </a:prstGeom>
                          <a:solidFill>
                            <a:srgbClr val="FFFFFF"/>
                          </a:solidFill>
                          <a:ln w="9525">
                            <a:noFill/>
                            <a:miter lim="800000"/>
                            <a:headEnd/>
                            <a:tailEnd/>
                          </a:ln>
                        </wps:spPr>
                        <wps:txbx>
                          <w:txbxContent>
                            <w:p w14:paraId="51C7C4D3" w14:textId="77777777" w:rsidR="00A0212B" w:rsidRPr="00CB2E88" w:rsidRDefault="00A0212B" w:rsidP="00755C25">
                              <w:pPr>
                                <w:spacing w:line="200" w:lineRule="exact"/>
                                <w:jc w:val="center"/>
                                <w:rPr>
                                  <w:rFonts w:ascii="標楷體" w:eastAsia="標楷體" w:hAnsi="標楷體"/>
                                  <w:sz w:val="20"/>
                                </w:rPr>
                              </w:pPr>
                              <w:r w:rsidRPr="00CB2E88">
                                <w:rPr>
                                  <w:rFonts w:ascii="標楷體" w:eastAsia="標楷體" w:hAnsi="標楷體" w:hint="eastAsia"/>
                                  <w:sz w:val="20"/>
                                </w:rPr>
                                <w:t>氫氣</w:t>
                              </w:r>
                            </w:p>
                          </w:txbxContent>
                        </wps:txbx>
                        <wps:bodyPr rot="0" vert="horz" wrap="square" lIns="91440" tIns="45720" rIns="91440" bIns="45720" anchor="t" anchorCtr="0">
                          <a:noAutofit/>
                        </wps:bodyPr>
                      </wps:wsp>
                      <wps:wsp>
                        <wps:cNvPr id="58" name="直線單箭頭接點 58"/>
                        <wps:cNvCnPr/>
                        <wps:spPr>
                          <a:xfrm>
                            <a:off x="2362200" y="1539240"/>
                            <a:ext cx="287655" cy="0"/>
                          </a:xfrm>
                          <a:prstGeom prst="straightConnector1">
                            <a:avLst/>
                          </a:prstGeom>
                          <a:noFill/>
                          <a:ln w="28575" cap="flat" cmpd="sng" algn="ctr">
                            <a:solidFill>
                              <a:schemeClr val="bg1">
                                <a:lumMod val="65000"/>
                              </a:schemeClr>
                            </a:solidFill>
                            <a:prstDash val="solid"/>
                            <a:tailEnd type="triangle"/>
                          </a:ln>
                          <a:effectLst/>
                        </wps:spPr>
                        <wps:bodyPr/>
                      </wps:wsp>
                      <wps:wsp>
                        <wps:cNvPr id="59" name="直線單箭頭接點 59"/>
                        <wps:cNvCnPr/>
                        <wps:spPr>
                          <a:xfrm>
                            <a:off x="4749800" y="1112520"/>
                            <a:ext cx="396000" cy="0"/>
                          </a:xfrm>
                          <a:prstGeom prst="straightConnector1">
                            <a:avLst/>
                          </a:prstGeom>
                          <a:noFill/>
                          <a:ln w="28575" cap="flat" cmpd="sng" algn="ctr">
                            <a:solidFill>
                              <a:schemeClr val="bg1">
                                <a:lumMod val="65000"/>
                              </a:schemeClr>
                            </a:solidFill>
                            <a:prstDash val="solid"/>
                            <a:tailEnd type="triangle"/>
                          </a:ln>
                          <a:effectLst/>
                        </wps:spPr>
                        <wps:bodyPr/>
                      </wps:wsp>
                      <wps:wsp>
                        <wps:cNvPr id="60" name="直線單箭頭接點 60"/>
                        <wps:cNvCnPr/>
                        <wps:spPr>
                          <a:xfrm>
                            <a:off x="4749800" y="1371600"/>
                            <a:ext cx="396000" cy="0"/>
                          </a:xfrm>
                          <a:prstGeom prst="straightConnector1">
                            <a:avLst/>
                          </a:prstGeom>
                          <a:noFill/>
                          <a:ln w="28575" cap="flat" cmpd="sng" algn="ctr">
                            <a:solidFill>
                              <a:schemeClr val="bg1">
                                <a:lumMod val="65000"/>
                              </a:schemeClr>
                            </a:solidFill>
                            <a:prstDash val="solid"/>
                            <a:tailEnd type="triangle"/>
                          </a:ln>
                          <a:effectLst/>
                        </wps:spPr>
                        <wps:bodyPr/>
                      </wps:wsp>
                      <wps:wsp>
                        <wps:cNvPr id="61" name="直線單箭頭接點 61"/>
                        <wps:cNvCnPr/>
                        <wps:spPr>
                          <a:xfrm>
                            <a:off x="4749800" y="1615440"/>
                            <a:ext cx="396000" cy="0"/>
                          </a:xfrm>
                          <a:prstGeom prst="straightConnector1">
                            <a:avLst/>
                          </a:prstGeom>
                          <a:noFill/>
                          <a:ln w="28575" cap="flat" cmpd="sng" algn="ctr">
                            <a:solidFill>
                              <a:schemeClr val="bg1">
                                <a:lumMod val="65000"/>
                              </a:schemeClr>
                            </a:solidFill>
                            <a:prstDash val="solid"/>
                            <a:tailEnd type="triangle"/>
                          </a:ln>
                          <a:effectLst/>
                        </wps:spPr>
                        <wps:bodyPr/>
                      </wps:wsp>
                    </wpg:wgp>
                  </a:graphicData>
                </a:graphic>
              </wp:anchor>
            </w:drawing>
          </mc:Choice>
          <mc:Fallback>
            <w:pict>
              <v:group w14:anchorId="4DEA2194" id="群組 130" o:spid="_x0000_s1061" style="position:absolute;left:0;text-align:left;margin-left:18.05pt;margin-top:115.15pt;width:459.55pt;height:168.75pt;z-index:251656192" coordsize="58362,21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">
                <v:shape id="_x0000_s1062" type="#_x0000_t202" style="position:absolute;width:58362;height:21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" stroked="f">
                  <v:textbox>
                    <w:txbxContent>
                      <w:p w14:paraId="00B76E7F" w14:textId="60F773F8" w:rsidR="00A0212B" w:rsidRPr="00AC533F" w:rsidRDefault="00A0212B" w:rsidP="00755C25">
                        <w:pPr>
                          <w:jc w:val="center"/>
                          <w:rPr>
                            <w:rFonts w:ascii="標楷體" w:eastAsia="標楷體" w:hAnsi="標楷體"/>
                            <w:b/>
                          </w:rPr>
                        </w:pPr>
                        <w:r w:rsidRPr="00AC533F">
                          <w:rPr>
                            <w:rFonts w:ascii="標楷體" w:eastAsia="標楷體" w:hAnsi="標楷體" w:hint="eastAsia"/>
                            <w:b/>
                          </w:rPr>
                          <w:t>圖</w:t>
                        </w:r>
                        <w:r>
                          <w:rPr>
                            <w:rFonts w:ascii="標楷體" w:eastAsia="標楷體" w:hAnsi="標楷體"/>
                            <w:b/>
                          </w:rPr>
                          <w:t>14</w:t>
                        </w:r>
                        <w:r w:rsidRPr="00AC533F">
                          <w:rPr>
                            <w:rFonts w:ascii="標楷體" w:eastAsia="標楷體" w:hAnsi="標楷體" w:hint="eastAsia"/>
                            <w:b/>
                          </w:rPr>
                          <w:t xml:space="preserve">　永續航空燃料製程</w:t>
                        </w:r>
                      </w:p>
                      <w:p w14:paraId="1816BFED" w14:textId="77777777" w:rsidR="00A0212B" w:rsidRDefault="00A0212B" w:rsidP="00755C25">
                        <w:pPr>
                          <w:jc w:val="center"/>
                          <w:rPr>
                            <w:rFonts w:ascii="標楷體" w:eastAsia="標楷體" w:hAnsi="標楷體"/>
                          </w:rPr>
                        </w:pPr>
                      </w:p>
                      <w:p w14:paraId="3BCDAD02" w14:textId="77777777" w:rsidR="00A0212B" w:rsidRDefault="00A0212B" w:rsidP="00755C25">
                        <w:pPr>
                          <w:jc w:val="center"/>
                          <w:rPr>
                            <w:rFonts w:ascii="標楷體" w:eastAsia="標楷體" w:hAnsi="標楷體"/>
                          </w:rPr>
                        </w:pPr>
                      </w:p>
                      <w:p w14:paraId="5C72F6C3" w14:textId="77777777" w:rsidR="00A0212B" w:rsidRDefault="00A0212B" w:rsidP="00755C25">
                        <w:pPr>
                          <w:jc w:val="center"/>
                          <w:rPr>
                            <w:rFonts w:ascii="標楷體" w:eastAsia="標楷體" w:hAnsi="標楷體"/>
                          </w:rPr>
                        </w:pPr>
                      </w:p>
                      <w:p w14:paraId="41716E82" w14:textId="77777777" w:rsidR="00A0212B" w:rsidRDefault="00A0212B" w:rsidP="00755C25">
                        <w:pPr>
                          <w:jc w:val="center"/>
                          <w:rPr>
                            <w:rFonts w:ascii="標楷體" w:eastAsia="標楷體" w:hAnsi="標楷體"/>
                          </w:rPr>
                        </w:pPr>
                      </w:p>
                      <w:p w14:paraId="37A938A2" w14:textId="77777777" w:rsidR="00A0212B" w:rsidRDefault="00A0212B" w:rsidP="00755C25">
                        <w:pPr>
                          <w:jc w:val="center"/>
                          <w:rPr>
                            <w:rFonts w:ascii="標楷體" w:eastAsia="標楷體" w:hAnsi="標楷體"/>
                          </w:rPr>
                        </w:pPr>
                      </w:p>
                      <w:p w14:paraId="71EE7CA9" w14:textId="77777777" w:rsidR="00A0212B" w:rsidRDefault="00A0212B" w:rsidP="00755C25">
                        <w:pPr>
                          <w:jc w:val="center"/>
                          <w:rPr>
                            <w:rFonts w:ascii="標楷體" w:eastAsia="標楷體" w:hAnsi="標楷體"/>
                          </w:rPr>
                        </w:pPr>
                      </w:p>
                      <w:p w14:paraId="6531491E" w14:textId="77777777" w:rsidR="00A0212B" w:rsidRDefault="00A0212B" w:rsidP="00755C25">
                        <w:pPr>
                          <w:jc w:val="center"/>
                          <w:rPr>
                            <w:rFonts w:ascii="標楷體" w:eastAsia="標楷體" w:hAnsi="標楷體"/>
                          </w:rPr>
                        </w:pPr>
                      </w:p>
                      <w:p w14:paraId="2ECEE921" w14:textId="77777777" w:rsidR="00A0212B" w:rsidRPr="00B60574" w:rsidRDefault="00A0212B" w:rsidP="00755C25">
                        <w:pPr>
                          <w:rPr>
                            <w:rFonts w:ascii="標楷體" w:eastAsia="標楷體" w:hAnsi="標楷體"/>
                            <w:sz w:val="18"/>
                            <w:szCs w:val="18"/>
                          </w:rPr>
                        </w:pPr>
                        <w:r>
                          <w:rPr>
                            <w:rFonts w:ascii="標楷體" w:eastAsia="標楷體" w:hAnsi="標楷體" w:hint="eastAsia"/>
                            <w:sz w:val="18"/>
                            <w:szCs w:val="18"/>
                          </w:rPr>
                          <w:t>資料來源：整理</w:t>
                        </w:r>
                        <w:r w:rsidRPr="00B60574">
                          <w:rPr>
                            <w:rFonts w:ascii="標楷體" w:eastAsia="標楷體" w:hAnsi="標楷體" w:hint="eastAsia"/>
                            <w:sz w:val="18"/>
                            <w:szCs w:val="18"/>
                          </w:rPr>
                          <w:t>自國家科學及技術委員會科技大觀園網站</w:t>
                        </w:r>
                        <w:r>
                          <w:rPr>
                            <w:rFonts w:ascii="標楷體" w:eastAsia="標楷體" w:hAnsi="標楷體" w:hint="eastAsia"/>
                            <w:sz w:val="18"/>
                            <w:szCs w:val="18"/>
                          </w:rPr>
                          <w:t>。</w:t>
                        </w:r>
                      </w:p>
                    </w:txbxContent>
                  </v:textbox>
                </v:shape>
                <v:roundrect id="矩形: 圓角 5" o:spid="_x0000_s1063" style="position:absolute;left:6299;top:7061;width:6839;height:1052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" filled="f" strokecolor="#a5a5a5 [2092]" strokeweight="2pt">
                  <v:textbox>
                    <w:txbxContent>
                      <w:p w14:paraId="52D259AC"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壓縮</w:t>
                        </w:r>
                      </w:p>
                      <w:p w14:paraId="6AC70EA6"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萃取</w:t>
                        </w:r>
                      </w:p>
                      <w:p w14:paraId="7189D71C" w14:textId="77777777" w:rsidR="00A0212B" w:rsidRDefault="00A0212B" w:rsidP="00755C25">
                        <w:pPr>
                          <w:spacing w:line="200" w:lineRule="exact"/>
                          <w:jc w:val="center"/>
                        </w:pPr>
                        <w:r>
                          <w:rPr>
                            <w:rFonts w:ascii="標楷體" w:eastAsia="標楷體" w:hAnsi="標楷體" w:hint="eastAsia"/>
                            <w:color w:val="000000" w:themeColor="text1"/>
                            <w:sz w:val="20"/>
                          </w:rPr>
                          <w:t>轉酯化</w:t>
                        </w:r>
                      </w:p>
                    </w:txbxContent>
                  </v:textbox>
                </v:roundrect>
                <v:roundrect id="矩形: 圓角 6" o:spid="_x0000_s1064" style="position:absolute;left:19456;top:10414;width:3505;height:7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" filled="f" strokecolor="#a5a5a5 [2092]" strokeweight="2pt">
                  <v:textbox>
                    <w:txbxContent>
                      <w:p w14:paraId="500E4116" w14:textId="77777777" w:rsidR="00A0212B" w:rsidRDefault="00A0212B" w:rsidP="00755C25">
                        <w:pPr>
                          <w:spacing w:line="200" w:lineRule="exact"/>
                          <w:jc w:val="center"/>
                          <w:rPr>
                            <w:rFonts w:ascii="標楷體" w:eastAsia="標楷體" w:hAnsi="標楷體"/>
                            <w:color w:val="000000" w:themeColor="text1"/>
                            <w:sz w:val="20"/>
                          </w:rPr>
                        </w:pPr>
                        <w:r w:rsidRPr="00527BC3">
                          <w:rPr>
                            <w:rFonts w:ascii="標楷體" w:eastAsia="標楷體" w:hAnsi="標楷體" w:hint="eastAsia"/>
                            <w:color w:val="000000" w:themeColor="text1"/>
                            <w:sz w:val="20"/>
                          </w:rPr>
                          <w:t>加</w:t>
                        </w:r>
                      </w:p>
                      <w:p w14:paraId="4DE3C2D5"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氫</w:t>
                        </w:r>
                      </w:p>
                      <w:p w14:paraId="35B6370D"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反</w:t>
                        </w:r>
                      </w:p>
                      <w:p w14:paraId="2A6AC71D" w14:textId="77777777" w:rsidR="00A0212B" w:rsidRPr="00527BC3"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應</w:t>
                        </w:r>
                      </w:p>
                    </w:txbxContent>
                  </v:textbox>
                </v:roundrect>
                <v:roundrect id="矩形: 圓角 7" o:spid="_x0000_s1065" style="position:absolute;left:43332;top:10414;width:3505;height:71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" filled="f" strokecolor="#a5a5a5 [2092]" strokeweight="2pt">
                  <v:textbox>
                    <w:txbxContent>
                      <w:p w14:paraId="5D6571C2"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蒸</w:t>
                        </w:r>
                      </w:p>
                      <w:p w14:paraId="17CA1198"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餾</w:t>
                        </w:r>
                      </w:p>
                      <w:p w14:paraId="3E11C032" w14:textId="77777777" w:rsidR="00A0212B"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反</w:t>
                        </w:r>
                      </w:p>
                      <w:p w14:paraId="4A071F0C" w14:textId="77777777" w:rsidR="00A0212B" w:rsidRPr="00527BC3" w:rsidRDefault="00A0212B" w:rsidP="00755C25">
                        <w:pPr>
                          <w:spacing w:line="200" w:lineRule="exact"/>
                          <w:jc w:val="center"/>
                          <w:rPr>
                            <w:rFonts w:ascii="標楷體" w:eastAsia="標楷體" w:hAnsi="標楷體"/>
                            <w:color w:val="000000" w:themeColor="text1"/>
                            <w:sz w:val="20"/>
                          </w:rPr>
                        </w:pPr>
                        <w:r>
                          <w:rPr>
                            <w:rFonts w:ascii="標楷體" w:eastAsia="標楷體" w:hAnsi="標楷體" w:hint="eastAsia"/>
                            <w:color w:val="000000" w:themeColor="text1"/>
                            <w:sz w:val="20"/>
                          </w:rPr>
                          <w:t>應</w:t>
                        </w:r>
                      </w:p>
                    </w:txbxContent>
                  </v:textbox>
                </v:roundrect>
                <v:roundrect id="矩形: 圓角 8" o:spid="_x0000_s1066" style="position:absolute;left:26670;top:12496;width:13017;height:503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" filled="f" strokecolor="#a5a5a5 [2092]" strokeweight="2pt">
                  <v:textbox>
                    <w:txbxContent>
                      <w:p w14:paraId="0E3EE3E2" w14:textId="77777777" w:rsidR="00A0212B" w:rsidRPr="001C46A3" w:rsidRDefault="00A0212B" w:rsidP="00755C25">
                        <w:pPr>
                          <w:spacing w:line="240" w:lineRule="exact"/>
                          <w:jc w:val="center"/>
                          <w:rPr>
                            <w:rFonts w:ascii="標楷體" w:eastAsia="標楷體" w:hAnsi="標楷體"/>
                            <w:color w:val="000000" w:themeColor="text1"/>
                            <w:sz w:val="20"/>
                          </w:rPr>
                        </w:pPr>
                        <w:r w:rsidRPr="001C46A3">
                          <w:rPr>
                            <w:rFonts w:ascii="標楷體" w:eastAsia="標楷體" w:hAnsi="標楷體" w:hint="eastAsia"/>
                            <w:color w:val="000000" w:themeColor="text1"/>
                            <w:sz w:val="20"/>
                          </w:rPr>
                          <w:t>異構化</w:t>
                        </w:r>
                        <w:r>
                          <w:rPr>
                            <w:rFonts w:ascii="標楷體" w:eastAsia="標楷體" w:hAnsi="標楷體"/>
                            <w:color w:val="000000" w:themeColor="text1"/>
                            <w:sz w:val="20"/>
                          </w:rPr>
                          <w:t>/</w:t>
                        </w:r>
                      </w:p>
                      <w:p w14:paraId="1DB90462" w14:textId="77777777" w:rsidR="00A0212B" w:rsidRPr="001C46A3" w:rsidRDefault="00A0212B" w:rsidP="00755C25">
                        <w:pPr>
                          <w:spacing w:line="240" w:lineRule="exact"/>
                          <w:jc w:val="center"/>
                          <w:rPr>
                            <w:rFonts w:ascii="標楷體" w:eastAsia="標楷體" w:hAnsi="標楷體"/>
                            <w:color w:val="000000" w:themeColor="text1"/>
                            <w:sz w:val="20"/>
                          </w:rPr>
                        </w:pPr>
                        <w:r w:rsidRPr="001C46A3">
                          <w:rPr>
                            <w:rFonts w:ascii="標楷體" w:eastAsia="標楷體" w:hAnsi="標楷體" w:hint="eastAsia"/>
                            <w:color w:val="000000" w:themeColor="text1"/>
                            <w:sz w:val="20"/>
                          </w:rPr>
                          <w:t>裂解反應</w:t>
                        </w:r>
                      </w:p>
                    </w:txbxContent>
                  </v:textbox>
                </v:roundrect>
                <v:roundrect id="矩形: 圓角 9" o:spid="_x0000_s1067" style="position:absolute;left:26771;top:7721;width:13018;height:28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" filled="f" strokecolor="#a5a5a5 [2092]" strokeweight="2pt">
                  <v:textbox>
                    <w:txbxContent>
                      <w:p w14:paraId="5DE9EEAE" w14:textId="77777777" w:rsidR="00A0212B" w:rsidRPr="001C46A3" w:rsidRDefault="00A0212B" w:rsidP="00755C25">
                        <w:pPr>
                          <w:spacing w:line="200" w:lineRule="exact"/>
                          <w:jc w:val="center"/>
                          <w:rPr>
                            <w:rFonts w:ascii="標楷體" w:eastAsia="標楷體" w:hAnsi="標楷體"/>
                            <w:color w:val="000000" w:themeColor="text1"/>
                            <w:sz w:val="20"/>
                          </w:rPr>
                        </w:pPr>
                        <w:r w:rsidRPr="001C46A3">
                          <w:rPr>
                            <w:rFonts w:ascii="標楷體" w:eastAsia="標楷體" w:hAnsi="標楷體" w:hint="eastAsia"/>
                            <w:color w:val="000000" w:themeColor="text1"/>
                            <w:sz w:val="20"/>
                          </w:rPr>
                          <w:t>氫氣工廠</w:t>
                        </w:r>
                      </w:p>
                    </w:txbxContent>
                  </v:textbox>
                </v:roundrect>
                <v:shape id="_x0000_s1068" type="#_x0000_t202" style="position:absolute;left:6350;top:3606;width:6838;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" fillcolor="#d9d9d9">
                  <v:textbox>
                    <w:txbxContent>
                      <w:p w14:paraId="72766332" w14:textId="77777777" w:rsidR="00A0212B" w:rsidRPr="00527BC3" w:rsidRDefault="00A0212B" w:rsidP="00755C25">
                        <w:pPr>
                          <w:spacing w:line="200" w:lineRule="exact"/>
                          <w:jc w:val="center"/>
                          <w:rPr>
                            <w:rFonts w:ascii="標楷體" w:eastAsia="標楷體" w:hAnsi="標楷體"/>
                            <w:b/>
                            <w:bCs/>
                            <w:sz w:val="20"/>
                          </w:rPr>
                        </w:pPr>
                        <w:r w:rsidRPr="00527BC3">
                          <w:rPr>
                            <w:rFonts w:ascii="標楷體" w:eastAsia="標楷體" w:hAnsi="標楷體" w:hint="eastAsia"/>
                            <w:b/>
                            <w:bCs/>
                            <w:sz w:val="20"/>
                          </w:rPr>
                          <w:t>預處理</w:t>
                        </w:r>
                      </w:p>
                    </w:txbxContent>
                  </v:textbox>
                </v:shape>
                <v:shape id="_x0000_s1069" type="#_x0000_t202" style="position:absolute;left:27686;top:3606;width:11118;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" fillcolor="#d9d9d9">
                  <v:textbox>
                    <w:txbxContent>
                      <w:p w14:paraId="42C87B23" w14:textId="77777777" w:rsidR="00A0212B" w:rsidRPr="00527BC3" w:rsidRDefault="00A0212B" w:rsidP="00755C25">
                        <w:pPr>
                          <w:spacing w:line="200" w:lineRule="exact"/>
                          <w:jc w:val="center"/>
                          <w:rPr>
                            <w:rFonts w:ascii="標楷體" w:eastAsia="標楷體" w:hAnsi="標楷體"/>
                            <w:b/>
                            <w:bCs/>
                            <w:sz w:val="20"/>
                          </w:rPr>
                        </w:pPr>
                        <w:r w:rsidRPr="00527BC3">
                          <w:rPr>
                            <w:rFonts w:ascii="標楷體" w:eastAsia="標楷體" w:hAnsi="標楷體" w:hint="eastAsia"/>
                            <w:b/>
                            <w:bCs/>
                            <w:sz w:val="20"/>
                          </w:rPr>
                          <w:t>加氫處理</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接點: 肘形 14" o:spid="_x0000_s1070" type="#_x0000_t34" style="position:absolute;left:39776;top:8890;width:5194;height:1384;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" adj="-455" strokecolor="#a5a5a5 [2092]" strokeweight="1pt">
                  <v:stroke endarrow="block"/>
                </v:shape>
                <v:shape id="接點: 肘形 15" o:spid="_x0000_s1071" type="#_x0000_t34" style="position:absolute;left:20980;top:8890;width:5759;height:1435;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" adj="21592" strokecolor="#a5a5a5 [2092]" strokeweight="1pt">
                  <v:stroke endarrow="block"/>
                </v:shape>
                <v:shapetype id="_x0000_t32" coordsize="21600,21600" o:spt="32" o:oned="t" path="m,l21600,21600e" filled="f">
                  <v:path arrowok="t" fillok="f" o:connecttype="none"/>
                  <o:lock v:ext="edit" shapetype="t"/>
                </v:shapetype>
                <v:shape id="直線單箭頭接點 49" o:spid="_x0000_s1072" type="#_x0000_t32" style="position:absolute;left:1422;top:12547;width:43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" strokecolor="#a5a5a5 [2092]" strokeweight="2.25pt">
                  <v:stroke endarrow="block"/>
                </v:shape>
                <v:shape id="直線單箭頭接點 50" o:spid="_x0000_s1073" type="#_x0000_t32" style="position:absolute;left:13766;top:12547;width:539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" strokecolor="#a5a5a5 [2092]" strokeweight="2.25pt">
                  <v:stroke endarrow="block"/>
                </v:shape>
                <v:shape id="直線單箭頭接點 51" o:spid="_x0000_s1074" type="#_x0000_t32" style="position:absolute;left:40284;top:15392;width:28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" strokecolor="#a5a5a5 [2092]" strokeweight="2.25pt">
                  <v:stroke endarrow="block"/>
                </v:shape>
                <v:shape id="直線單箭頭接點 52" o:spid="_x0000_s1075" type="#_x0000_t32" style="position:absolute;left:33324;top:10566;width:0;height:18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" strokecolor="#a5a5a5 [2092]" strokeweight="1pt">
                  <v:stroke endarrow="block"/>
                </v:shape>
                <v:shape id="_x0000_s1076" type="#_x0000_t202" style="position:absolute;left:863;top:8636;width:4748;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" stroked="f">
                  <v:textbox>
                    <w:txbxContent>
                      <w:p w14:paraId="2028BEDD" w14:textId="77777777" w:rsidR="00A0212B" w:rsidRPr="00527BC3" w:rsidRDefault="00A0212B" w:rsidP="00755C25">
                        <w:pPr>
                          <w:spacing w:line="200" w:lineRule="exact"/>
                          <w:jc w:val="center"/>
                          <w:rPr>
                            <w:rFonts w:ascii="標楷體" w:eastAsia="標楷體" w:hAnsi="標楷體"/>
                            <w:sz w:val="20"/>
                          </w:rPr>
                        </w:pPr>
                        <w:r w:rsidRPr="00527BC3">
                          <w:rPr>
                            <w:rFonts w:ascii="標楷體" w:eastAsia="標楷體" w:hAnsi="標楷體" w:hint="eastAsia"/>
                            <w:sz w:val="20"/>
                          </w:rPr>
                          <w:t>生質作物</w:t>
                        </w:r>
                      </w:p>
                    </w:txbxContent>
                  </v:textbox>
                </v:shape>
                <v:shape id="_x0000_s1077" type="#_x0000_t202" style="position:absolute;left:50698;top:9753;width:6363;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14:paraId="562EF342" w14:textId="77777777" w:rsidR="00A0212B" w:rsidRPr="00527BC3" w:rsidRDefault="00A0212B" w:rsidP="00755C25">
                        <w:pPr>
                          <w:spacing w:line="200" w:lineRule="exact"/>
                          <w:rPr>
                            <w:rFonts w:ascii="標楷體" w:eastAsia="標楷體" w:hAnsi="標楷體"/>
                            <w:sz w:val="20"/>
                          </w:rPr>
                        </w:pPr>
                        <w:r>
                          <w:rPr>
                            <w:rFonts w:ascii="標楷體" w:eastAsia="標楷體" w:hAnsi="標楷體" w:hint="eastAsia"/>
                            <w:sz w:val="20"/>
                          </w:rPr>
                          <w:t xml:space="preserve">汽油　　</w:t>
                        </w:r>
                      </w:p>
                    </w:txbxContent>
                  </v:textbox>
                </v:shape>
                <v:shape id="_x0000_s1078" type="#_x0000_t202" style="position:absolute;left:50596;top:12395;width:706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6237160C" w14:textId="77777777" w:rsidR="00A0212B" w:rsidRPr="00527BC3" w:rsidRDefault="00A0212B" w:rsidP="00755C25">
                        <w:pPr>
                          <w:spacing w:line="200" w:lineRule="exact"/>
                          <w:jc w:val="center"/>
                          <w:rPr>
                            <w:rFonts w:ascii="標楷體" w:eastAsia="標楷體" w:hAnsi="標楷體"/>
                            <w:sz w:val="20"/>
                          </w:rPr>
                        </w:pPr>
                        <w:r>
                          <w:rPr>
                            <w:rFonts w:ascii="標楷體" w:eastAsia="標楷體" w:hAnsi="標楷體" w:hint="eastAsia"/>
                            <w:sz w:val="20"/>
                          </w:rPr>
                          <w:t>航空燃油</w:t>
                        </w:r>
                      </w:p>
                    </w:txbxContent>
                  </v:textbox>
                </v:shape>
                <v:shape id="_x0000_s1079" type="#_x0000_t202" style="position:absolute;left:50596;top:15036;width:5334;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14:paraId="7655B9DA" w14:textId="77777777" w:rsidR="00A0212B" w:rsidRPr="00527BC3" w:rsidRDefault="00A0212B" w:rsidP="00755C25">
                        <w:pPr>
                          <w:spacing w:line="200" w:lineRule="exact"/>
                          <w:rPr>
                            <w:rFonts w:ascii="標楷體" w:eastAsia="標楷體" w:hAnsi="標楷體"/>
                            <w:sz w:val="20"/>
                          </w:rPr>
                        </w:pPr>
                        <w:r>
                          <w:rPr>
                            <w:rFonts w:ascii="標楷體" w:eastAsia="標楷體" w:hAnsi="標楷體" w:hint="eastAsia"/>
                            <w:sz w:val="20"/>
                          </w:rPr>
                          <w:t>柴油</w:t>
                        </w:r>
                      </w:p>
                    </w:txbxContent>
                  </v:textbox>
                </v:shape>
                <v:shape id="_x0000_s1080" type="#_x0000_t202" style="position:absolute;left:20878;top:6350;width:4674;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" stroked="f">
                  <v:textbox>
                    <w:txbxContent>
                      <w:p w14:paraId="51C7C4D3" w14:textId="77777777" w:rsidR="00A0212B" w:rsidRPr="00CB2E88" w:rsidRDefault="00A0212B" w:rsidP="00755C25">
                        <w:pPr>
                          <w:spacing w:line="200" w:lineRule="exact"/>
                          <w:jc w:val="center"/>
                          <w:rPr>
                            <w:rFonts w:ascii="標楷體" w:eastAsia="標楷體" w:hAnsi="標楷體"/>
                            <w:sz w:val="20"/>
                          </w:rPr>
                        </w:pPr>
                        <w:r w:rsidRPr="00CB2E88">
                          <w:rPr>
                            <w:rFonts w:ascii="標楷體" w:eastAsia="標楷體" w:hAnsi="標楷體" w:hint="eastAsia"/>
                            <w:sz w:val="20"/>
                          </w:rPr>
                          <w:t>氫氣</w:t>
                        </w:r>
                      </w:p>
                    </w:txbxContent>
                  </v:textbox>
                </v:shape>
                <v:shape id="直線單箭頭接點 58" o:spid="_x0000_s1081" type="#_x0000_t32" style="position:absolute;left:23622;top:15392;width:28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" strokecolor="#a5a5a5 [2092]" strokeweight="2.25pt">
                  <v:stroke endarrow="block"/>
                </v:shape>
                <v:shape id="直線單箭頭接點 59" o:spid="_x0000_s1082" type="#_x0000_t32" style="position:absolute;left:47498;top:11125;width:39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" strokecolor="#a5a5a5 [2092]" strokeweight="2.25pt">
                  <v:stroke endarrow="block"/>
                </v:shape>
                <v:shape id="直線單箭頭接點 60" o:spid="_x0000_s1083" type="#_x0000_t32" style="position:absolute;left:47498;top:13716;width:39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" strokecolor="#a5a5a5 [2092]" strokeweight="2.25pt">
                  <v:stroke endarrow="block"/>
                </v:shape>
                <v:shape id="直線單箭頭接點 61" o:spid="_x0000_s1084" type="#_x0000_t32" style="position:absolute;left:47498;top:16154;width:39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" strokecolor="#a5a5a5 [2092]" strokeweight="2.25pt">
                  <v:stroke endarrow="block"/>
                </v:shape>
                <w10:wrap type="square"/>
              </v:group>
            </w:pict>
          </mc:Fallback>
        </mc:AlternateContent>
      </w:r>
      <w:r w:rsidR="0062521F" w:rsidRPr="001C3963">
        <w:rPr>
          <w:rFonts w:hAnsi="標楷體" w:hint="eastAsia"/>
          <w:color w:val="000000" w:themeColor="text1"/>
          <w:kern w:val="2"/>
          <w:sz w:val="24"/>
          <w:szCs w:val="24"/>
        </w:rPr>
        <w:t>國際民用航空組織（International Civil Aviation Organization, ICAO）於2016年推動國際航空業碳抵換及減量計畫（Carbon Offsetting and Reduction Scheme for International Aviation, CORSIA），目標減少國際航班之排碳量，以降低航空業對氣候變遷之影響，於計畫中並建議航空業者應持續提升航空用油效率及使用永續航空燃料（Sustainable Aviation Fuel, SAF）等策略。由於SAF</w:t>
      </w:r>
      <w:r w:rsidR="001C3649">
        <w:rPr>
          <w:rFonts w:hAnsi="標楷體" w:hint="eastAsia"/>
          <w:color w:val="000000" w:themeColor="text1"/>
          <w:kern w:val="2"/>
          <w:sz w:val="24"/>
          <w:szCs w:val="24"/>
        </w:rPr>
        <w:t>（製程如</w:t>
      </w:r>
      <w:r w:rsidR="001C3649" w:rsidRPr="00855CF4">
        <w:rPr>
          <w:rFonts w:hAnsi="標楷體" w:hint="eastAsia"/>
          <w:color w:val="000000" w:themeColor="text1"/>
          <w:kern w:val="2"/>
          <w:sz w:val="24"/>
          <w:szCs w:val="24"/>
        </w:rPr>
        <w:t>圖14</w:t>
      </w:r>
      <w:r w:rsidR="001C3649">
        <w:rPr>
          <w:rFonts w:hAnsi="標楷體" w:hint="eastAsia"/>
          <w:color w:val="000000" w:themeColor="text1"/>
          <w:kern w:val="2"/>
          <w:sz w:val="24"/>
          <w:szCs w:val="24"/>
        </w:rPr>
        <w:t>）</w:t>
      </w:r>
      <w:r w:rsidR="0062521F" w:rsidRPr="001C3963">
        <w:rPr>
          <w:rFonts w:hAnsi="標楷體" w:hint="eastAsia"/>
          <w:color w:val="000000" w:themeColor="text1"/>
          <w:kern w:val="2"/>
          <w:sz w:val="24"/>
          <w:szCs w:val="24"/>
        </w:rPr>
        <w:t>具備燃料生命週期排放量相對傳統航空燃油為低（可避</w:t>
      </w:r>
      <w:r w:rsidR="0062521F" w:rsidRPr="001C3963">
        <w:rPr>
          <w:rFonts w:hAnsi="標楷體" w:hint="eastAsia"/>
          <w:color w:val="000000" w:themeColor="text1"/>
          <w:kern w:val="2"/>
          <w:sz w:val="24"/>
          <w:szCs w:val="24"/>
        </w:rPr>
        <w:lastRenderedPageBreak/>
        <w:t>免至少75％總生命週期碳排放）、燃油效能較高（約提升1.5％至3％），且化學性質與傳統航空燃油極為相似，可高比例取代傳統航空燃油，爰擴大使用SAF被航空業視為現階段最主要之減排工具，國際各主要航空業者（波音、荷蘭皇家航空等公司）亦積極投入推廣作業，期藉由增加SAF使用量，帶動生產量上升，以降低廠商生產成本及價格，促進更多航空業者投入SAF市場，達成2050淨零排放目標。為與國際接軌，我國歷年來持續採用ICAO制定之各項規則，管理航空產業節能減碳措施，惟尚未針對SAF訂定相關管理規範，國內航空燃料之生產、供應商尚不得生產及販售SAF，影響國籍航空業者SAF使用計畫，連帶影響國際對我國執行CORSIA及2050淨零排放之信心。鑑於航空器技術發展尚無法使用替代能源（如氫氣或電力）取代化石燃料，SAF對航空產業之重要性逐年提升，惟國內尚無廠商生產或銷售，國籍航空業者難以取得，經函請行政院儘速完備相關管理規範，並研議推動輔導業者建立國產SAF產銷供應鏈，俾利民航、運輸業者永續航空規律化，加速達成2050淨零排放目標。據復：交通部基於國家能源安全及價量穩定，支持自產SAF，已將國籍航空公司SAF預估需求量提供經濟部能源署參辦，未來將持續依據ICAO、主要飛航國家規範、國家競爭力與外籍航空公司公平競爭等因素，適時研提強制添加規範，並輔以緩減衝擊配套措施，以提供自產油商穩定需求；另經濟部已制定CNS16221「含合成烴航空燃油」國家標準，該屬能源署並持續研議將SAF之生產、輸入、摻配及銷售納入「石油管理法」，同時規劃國內SAF供應相關事宜，預計113年底完成進口SAF相關認證程序，114年起以進口模式取得SAF供應國籍航空公司。</w:t>
      </w:r>
    </w:p>
    <w:p w14:paraId="5B36484C" w14:textId="7B8BCA09" w:rsidR="003140FD" w:rsidRPr="00B4405D" w:rsidRDefault="003140FD" w:rsidP="004D7C92">
      <w:pPr>
        <w:pStyle w:val="affb"/>
        <w:kinsoku/>
        <w:overflowPunct w:val="0"/>
        <w:adjustRightInd/>
        <w:spacing w:beforeLines="20" w:before="72" w:afterLines="20" w:after="72" w:line="460" w:lineRule="exact"/>
        <w:ind w:left="0" w:firstLineChars="200" w:firstLine="561"/>
        <w:jc w:val="both"/>
        <w:outlineLvl w:val="1"/>
        <w:rPr>
          <w:spacing w:val="-2"/>
          <w:sz w:val="28"/>
          <w:szCs w:val="28"/>
        </w:rPr>
      </w:pPr>
      <w:bookmarkStart w:id="12" w:name="_Hlk122080150"/>
      <w:r w:rsidRPr="003140FD">
        <w:rPr>
          <w:rFonts w:cs="Arial" w:hint="eastAsia"/>
          <w:b/>
          <w:sz w:val="28"/>
          <w:szCs w:val="28"/>
          <w:shd w:val="clear" w:color="auto" w:fill="FFFFFF"/>
          <w:lang w:val="x-none"/>
        </w:rPr>
        <w:t>（</w:t>
      </w:r>
      <w:r>
        <w:rPr>
          <w:rFonts w:cs="Arial" w:hint="eastAsia"/>
          <w:b/>
          <w:sz w:val="28"/>
          <w:szCs w:val="28"/>
          <w:shd w:val="clear" w:color="auto" w:fill="FFFFFF"/>
          <w:lang w:val="x-none"/>
        </w:rPr>
        <w:t>十四</w:t>
      </w:r>
      <w:r w:rsidRPr="003140FD">
        <w:rPr>
          <w:rFonts w:cs="Arial" w:hint="eastAsia"/>
          <w:b/>
          <w:sz w:val="28"/>
          <w:szCs w:val="28"/>
          <w:shd w:val="clear" w:color="auto" w:fill="FFFFFF"/>
          <w:lang w:val="x-none"/>
        </w:rPr>
        <w:t xml:space="preserve">）　</w:t>
      </w:r>
      <w:r w:rsidRPr="003140FD">
        <w:rPr>
          <w:rFonts w:cs="Arial" w:hint="eastAsia"/>
          <w:b/>
          <w:spacing w:val="-4"/>
          <w:sz w:val="28"/>
          <w:szCs w:val="28"/>
          <w:shd w:val="clear" w:color="auto" w:fill="FFFFFF"/>
          <w:lang w:val="x-none"/>
        </w:rPr>
        <w:t>政府積極規劃及投入發展AI各項重點工作，惟部分部會尚未完備相關法制配套措施；另為改善AI運作環境，數位發展部數位產業署於112年底與相關單位合作設立AI產品與系統評測中心，並就數位發展部轄管5項產業研擬評測</w:t>
      </w:r>
      <w:r w:rsidRPr="003140FD">
        <w:rPr>
          <w:rFonts w:hint="eastAsia"/>
          <w:b/>
          <w:spacing w:val="-4"/>
          <w:sz w:val="28"/>
          <w:szCs w:val="28"/>
        </w:rPr>
        <w:t>參考</w:t>
      </w:r>
      <w:r w:rsidRPr="003140FD">
        <w:rPr>
          <w:rFonts w:cs="Arial" w:hint="eastAsia"/>
          <w:b/>
          <w:spacing w:val="-4"/>
          <w:sz w:val="28"/>
          <w:szCs w:val="28"/>
          <w:shd w:val="clear" w:color="auto" w:fill="FFFFFF"/>
          <w:lang w:val="x-none"/>
        </w:rPr>
        <w:t>指引草案，惟非屬該部轄管之產業，仍待其他各</w:t>
      </w:r>
      <w:r w:rsidRPr="003140FD">
        <w:rPr>
          <w:rFonts w:cs="Arial" w:hint="eastAsia"/>
          <w:b/>
          <w:color w:val="000000" w:themeColor="text1"/>
          <w:spacing w:val="-4"/>
          <w:sz w:val="28"/>
          <w:szCs w:val="28"/>
          <w:shd w:val="clear" w:color="auto" w:fill="FFFFFF"/>
          <w:lang w:val="x-none"/>
        </w:rPr>
        <w:t>目的事業</w:t>
      </w:r>
      <w:r w:rsidRPr="003140FD">
        <w:rPr>
          <w:rFonts w:cs="Arial" w:hint="eastAsia"/>
          <w:b/>
          <w:spacing w:val="-4"/>
          <w:sz w:val="28"/>
          <w:szCs w:val="28"/>
          <w:shd w:val="clear" w:color="auto" w:fill="FFFFFF"/>
          <w:lang w:val="x-none"/>
        </w:rPr>
        <w:t>主管機關討論後，始能確定評測項目，允宜持續督促有關機關儘速研議或推動個別領域AI法制相關指引與配套措施，以達成形塑可受信任之AI發展環境，厚植我國AI國力之目標</w:t>
      </w:r>
      <w:r w:rsidRPr="003140FD">
        <w:rPr>
          <w:rFonts w:hint="eastAsia"/>
          <w:b/>
          <w:spacing w:val="-4"/>
          <w:sz w:val="28"/>
          <w:szCs w:val="28"/>
        </w:rPr>
        <w:t>。</w:t>
      </w:r>
    </w:p>
    <w:p w14:paraId="273A0A35" w14:textId="2FF9E7C1" w:rsidR="00A15E84" w:rsidRDefault="003140FD" w:rsidP="004778E2">
      <w:pPr>
        <w:widowControl/>
        <w:overflowPunct w:val="0"/>
        <w:spacing w:line="430" w:lineRule="exact"/>
        <w:ind w:firstLineChars="200" w:firstLine="480"/>
        <w:jc w:val="both"/>
        <w:rPr>
          <w:rFonts w:hAnsi="標楷體"/>
          <w:color w:val="000000" w:themeColor="text1"/>
          <w:szCs w:val="24"/>
        </w:rPr>
      </w:pPr>
      <w:r w:rsidRPr="003140FD">
        <w:rPr>
          <w:rFonts w:ascii="標楷體" w:eastAsia="標楷體" w:hAnsi="標楷體" w:hint="eastAsia"/>
          <w:bCs/>
          <w:color w:val="000000" w:themeColor="text1"/>
          <w:szCs w:val="24"/>
        </w:rPr>
        <w:t>行政院為促進數位國家與創新經濟之永續發展，於106年啟動「數位</w:t>
      </w:r>
      <w:r w:rsidRPr="003140FD">
        <w:rPr>
          <w:rFonts w:ascii="標楷體" w:eastAsia="標楷體" w:hAnsi="標楷體" w:hint="eastAsia"/>
          <w:color w:val="000000" w:themeColor="text1"/>
          <w:szCs w:val="24"/>
        </w:rPr>
        <w:t>國家‧</w:t>
      </w:r>
      <w:r w:rsidRPr="003140FD">
        <w:rPr>
          <w:rFonts w:ascii="標楷體" w:eastAsia="標楷體" w:hAnsi="標楷體" w:hint="eastAsia"/>
          <w:bCs/>
          <w:color w:val="000000" w:themeColor="text1"/>
          <w:szCs w:val="24"/>
        </w:rPr>
        <w:t>創新經濟方案（</w:t>
      </w:r>
      <w:r w:rsidRPr="003140FD">
        <w:rPr>
          <w:rFonts w:ascii="標楷體" w:eastAsia="標楷體" w:hAnsi="標楷體" w:hint="eastAsia"/>
          <w:color w:val="000000" w:themeColor="text1"/>
          <w:kern w:val="0"/>
          <w:szCs w:val="24"/>
        </w:rPr>
        <w:t>2017</w:t>
      </w:r>
      <w:r w:rsidRPr="003140FD">
        <w:rPr>
          <w:rFonts w:ascii="標楷體" w:eastAsia="標楷體" w:hAnsi="標楷體" w:hint="eastAsia"/>
          <w:bCs/>
          <w:color w:val="000000" w:themeColor="text1"/>
          <w:szCs w:val="24"/>
        </w:rPr>
        <w:t>－2025年）」（簡稱DIGI</w:t>
      </w:r>
      <w:r w:rsidRPr="003140FD">
        <w:rPr>
          <w:rFonts w:ascii="標楷體" w:eastAsia="標楷體" w:hAnsi="標楷體" w:hint="eastAsia"/>
          <w:bCs/>
          <w:color w:val="000000" w:themeColor="text1"/>
          <w:szCs w:val="24"/>
          <w:vertAlign w:val="superscript"/>
        </w:rPr>
        <w:t>+</w:t>
      </w:r>
      <w:r w:rsidRPr="003140FD">
        <w:rPr>
          <w:rFonts w:ascii="標楷體" w:eastAsia="標楷體" w:hAnsi="標楷體" w:hint="eastAsia"/>
          <w:bCs/>
          <w:color w:val="000000" w:themeColor="text1"/>
          <w:szCs w:val="24"/>
        </w:rPr>
        <w:t>方案），復為因應未來實現創新、包容、永續智慧國家願景，於110年間更名為「智慧國家方案（2021－2025年）」，</w:t>
      </w:r>
      <w:r w:rsidRPr="003140FD">
        <w:rPr>
          <w:rFonts w:ascii="標楷體" w:eastAsia="標楷體" w:hAnsi="標楷體" w:hint="eastAsia"/>
          <w:color w:val="000000" w:themeColor="text1"/>
          <w:szCs w:val="24"/>
        </w:rPr>
        <w:t>其</w:t>
      </w:r>
      <w:r w:rsidRPr="003140FD">
        <w:rPr>
          <w:rFonts w:ascii="標楷體" w:eastAsia="標楷體" w:hAnsi="標楷體"/>
          <w:color w:val="000000" w:themeColor="text1"/>
          <w:szCs w:val="24"/>
        </w:rPr>
        <w:t>中將</w:t>
      </w:r>
      <w:r w:rsidRPr="003140FD">
        <w:rPr>
          <w:rFonts w:ascii="標楷體" w:eastAsia="標楷體" w:hAnsi="標楷體" w:hint="eastAsia"/>
          <w:bCs/>
          <w:color w:val="000000" w:themeColor="text1"/>
          <w:szCs w:val="24"/>
        </w:rPr>
        <w:t>人工智慧（Artificial Intelligence, AI）</w:t>
      </w:r>
      <w:r w:rsidRPr="003140FD">
        <w:rPr>
          <w:rFonts w:ascii="標楷體" w:eastAsia="標楷體" w:hAnsi="標楷體"/>
          <w:color w:val="000000" w:themeColor="text1"/>
          <w:szCs w:val="24"/>
        </w:rPr>
        <w:t>列為我國科技政策重點項目之一，</w:t>
      </w:r>
      <w:r w:rsidRPr="003140FD">
        <w:rPr>
          <w:rFonts w:ascii="標楷體" w:eastAsia="標楷體" w:hAnsi="標楷體" w:hint="eastAsia"/>
          <w:color w:val="000000" w:themeColor="text1"/>
          <w:szCs w:val="24"/>
        </w:rPr>
        <w:t>並持續透過</w:t>
      </w:r>
      <w:r w:rsidRPr="003140FD">
        <w:rPr>
          <w:rFonts w:ascii="標楷體" w:eastAsia="標楷體" w:hAnsi="標楷體" w:hint="eastAsia"/>
          <w:bCs/>
          <w:color w:val="000000" w:themeColor="text1"/>
          <w:szCs w:val="24"/>
        </w:rPr>
        <w:t>「臺灣AI行動計畫（201</w:t>
      </w:r>
      <w:r w:rsidRPr="003140FD">
        <w:rPr>
          <w:rFonts w:ascii="標楷體" w:eastAsia="標楷體" w:hAnsi="標楷體"/>
          <w:bCs/>
          <w:color w:val="000000" w:themeColor="text1"/>
          <w:szCs w:val="24"/>
        </w:rPr>
        <w:t>8</w:t>
      </w:r>
      <w:r w:rsidRPr="003140FD">
        <w:rPr>
          <w:rFonts w:ascii="標楷體" w:eastAsia="標楷體" w:hAnsi="標楷體" w:hint="eastAsia"/>
          <w:bCs/>
          <w:color w:val="000000" w:themeColor="text1"/>
          <w:szCs w:val="24"/>
        </w:rPr>
        <w:t>－202</w:t>
      </w:r>
      <w:r w:rsidRPr="003140FD">
        <w:rPr>
          <w:rFonts w:ascii="標楷體" w:eastAsia="標楷體" w:hAnsi="標楷體"/>
          <w:bCs/>
          <w:color w:val="000000" w:themeColor="text1"/>
          <w:szCs w:val="24"/>
        </w:rPr>
        <w:t>1</w:t>
      </w:r>
      <w:r w:rsidRPr="003140FD">
        <w:rPr>
          <w:rFonts w:ascii="標楷體" w:eastAsia="標楷體" w:hAnsi="標楷體" w:hint="eastAsia"/>
          <w:bCs/>
          <w:color w:val="000000" w:themeColor="text1"/>
          <w:szCs w:val="24"/>
        </w:rPr>
        <w:t>年）」及「臺灣AI行動計畫2.0（202</w:t>
      </w:r>
      <w:r w:rsidRPr="003140FD">
        <w:rPr>
          <w:rFonts w:ascii="標楷體" w:eastAsia="標楷體" w:hAnsi="標楷體"/>
          <w:bCs/>
          <w:color w:val="000000" w:themeColor="text1"/>
          <w:szCs w:val="24"/>
        </w:rPr>
        <w:t>3</w:t>
      </w:r>
      <w:r w:rsidRPr="003140FD">
        <w:rPr>
          <w:rFonts w:ascii="標楷體" w:eastAsia="標楷體" w:hAnsi="標楷體" w:hint="eastAsia"/>
          <w:bCs/>
          <w:color w:val="000000" w:themeColor="text1"/>
          <w:szCs w:val="24"/>
        </w:rPr>
        <w:t>－202</w:t>
      </w:r>
      <w:r w:rsidRPr="003140FD">
        <w:rPr>
          <w:rFonts w:ascii="標楷體" w:eastAsia="標楷體" w:hAnsi="標楷體"/>
          <w:bCs/>
          <w:color w:val="000000" w:themeColor="text1"/>
          <w:szCs w:val="24"/>
        </w:rPr>
        <w:t>6</w:t>
      </w:r>
      <w:r w:rsidRPr="003140FD">
        <w:rPr>
          <w:rFonts w:ascii="標楷體" w:eastAsia="標楷體" w:hAnsi="標楷體" w:hint="eastAsia"/>
          <w:bCs/>
          <w:color w:val="000000" w:themeColor="text1"/>
          <w:szCs w:val="24"/>
        </w:rPr>
        <w:t>年）」投入資源，以形塑可受信任之A</w:t>
      </w:r>
      <w:r w:rsidRPr="003140FD">
        <w:rPr>
          <w:rFonts w:ascii="標楷體" w:eastAsia="標楷體" w:hAnsi="標楷體"/>
          <w:bCs/>
          <w:color w:val="000000" w:themeColor="text1"/>
          <w:szCs w:val="24"/>
        </w:rPr>
        <w:t>I</w:t>
      </w:r>
      <w:r w:rsidRPr="003140FD">
        <w:rPr>
          <w:rFonts w:ascii="標楷體" w:eastAsia="標楷體" w:hAnsi="標楷體" w:hint="eastAsia"/>
          <w:bCs/>
          <w:color w:val="000000" w:themeColor="text1"/>
          <w:szCs w:val="24"/>
        </w:rPr>
        <w:t>發展環境</w:t>
      </w:r>
      <w:r w:rsidRPr="003140FD">
        <w:rPr>
          <w:rFonts w:ascii="標楷體" w:eastAsia="標楷體" w:hAnsi="標楷體" w:hint="eastAsia"/>
          <w:color w:val="000000" w:themeColor="text1"/>
          <w:szCs w:val="24"/>
        </w:rPr>
        <w:t>。另行政院</w:t>
      </w:r>
      <w:r w:rsidRPr="003140FD">
        <w:rPr>
          <w:rFonts w:ascii="標楷體" w:eastAsia="標楷體" w:hAnsi="標楷體"/>
          <w:color w:val="000000" w:themeColor="text1"/>
          <w:szCs w:val="24"/>
        </w:rPr>
        <w:t>參考各國以不扼殺創新之軟性措施先行</w:t>
      </w:r>
      <w:r w:rsidRPr="003140FD">
        <w:rPr>
          <w:rFonts w:ascii="標楷體" w:eastAsia="標楷體" w:hAnsi="標楷體" w:hint="eastAsia"/>
          <w:color w:val="000000" w:themeColor="text1"/>
          <w:szCs w:val="24"/>
        </w:rPr>
        <w:t>作法</w:t>
      </w:r>
      <w:r w:rsidRPr="003140FD">
        <w:rPr>
          <w:rFonts w:ascii="標楷體" w:eastAsia="標楷體" w:hAnsi="標楷體"/>
          <w:color w:val="000000" w:themeColor="text1"/>
          <w:szCs w:val="24"/>
        </w:rPr>
        <w:t>，</w:t>
      </w:r>
      <w:r w:rsidRPr="003140FD">
        <w:rPr>
          <w:rFonts w:ascii="標楷體" w:eastAsia="標楷體" w:hAnsi="標楷體" w:hint="eastAsia"/>
          <w:color w:val="000000" w:themeColor="text1"/>
          <w:szCs w:val="24"/>
        </w:rPr>
        <w:t>採取「</w:t>
      </w:r>
      <w:r w:rsidRPr="003140FD">
        <w:rPr>
          <w:rFonts w:ascii="標楷體" w:eastAsia="標楷體" w:hAnsi="標楷體"/>
          <w:color w:val="000000" w:themeColor="text1"/>
          <w:szCs w:val="24"/>
        </w:rPr>
        <w:t>先指引、後立法；先政府、後產業」</w:t>
      </w:r>
      <w:r w:rsidRPr="003140FD">
        <w:rPr>
          <w:rFonts w:ascii="標楷體" w:eastAsia="標楷體" w:hAnsi="標楷體" w:hint="eastAsia"/>
          <w:color w:val="000000" w:themeColor="text1"/>
          <w:szCs w:val="24"/>
        </w:rPr>
        <w:t>之原則，透過數位政策法制協調運作模式，跨部會專案研析個資、AI及非個資數據利用議題相關規範，以</w:t>
      </w:r>
      <w:r w:rsidRPr="003140FD">
        <w:rPr>
          <w:rFonts w:ascii="標楷體" w:eastAsia="標楷體" w:hAnsi="標楷體"/>
          <w:color w:val="000000" w:themeColor="text1"/>
          <w:szCs w:val="24"/>
        </w:rPr>
        <w:t>鼓勵創新彈性空間，並隨著更多發展與應用經驗，凝聚產官學共識</w:t>
      </w:r>
      <w:r w:rsidRPr="003140FD">
        <w:rPr>
          <w:rFonts w:ascii="標楷體" w:eastAsia="標楷體" w:hAnsi="標楷體" w:hint="eastAsia"/>
          <w:color w:val="000000" w:themeColor="text1"/>
          <w:szCs w:val="24"/>
        </w:rPr>
        <w:t>後</w:t>
      </w:r>
      <w:r w:rsidRPr="003140FD">
        <w:rPr>
          <w:rFonts w:ascii="標楷體" w:eastAsia="標楷體" w:hAnsi="標楷體"/>
          <w:color w:val="000000" w:themeColor="text1"/>
          <w:szCs w:val="24"/>
        </w:rPr>
        <w:t>，</w:t>
      </w:r>
      <w:r w:rsidRPr="003140FD">
        <w:rPr>
          <w:rFonts w:ascii="標楷體" w:eastAsia="標楷體" w:hAnsi="標楷體" w:hint="eastAsia"/>
          <w:color w:val="000000" w:themeColor="text1"/>
          <w:szCs w:val="24"/>
        </w:rPr>
        <w:t>再逐步推動</w:t>
      </w:r>
      <w:r w:rsidRPr="003140FD">
        <w:rPr>
          <w:rFonts w:ascii="標楷體" w:eastAsia="標楷體" w:hAnsi="標楷體"/>
          <w:color w:val="000000" w:themeColor="text1"/>
          <w:szCs w:val="24"/>
        </w:rPr>
        <w:t>AI基本法</w:t>
      </w:r>
      <w:r w:rsidRPr="003140FD">
        <w:rPr>
          <w:rFonts w:ascii="標楷體" w:eastAsia="標楷體" w:hAnsi="標楷體" w:hint="eastAsia"/>
          <w:color w:val="000000" w:themeColor="text1"/>
          <w:szCs w:val="24"/>
        </w:rPr>
        <w:lastRenderedPageBreak/>
        <w:t>制。</w:t>
      </w:r>
      <w:r w:rsidRPr="003140FD">
        <w:rPr>
          <w:rFonts w:ascii="標楷體" w:eastAsia="標楷體" w:hAnsi="標楷體"/>
          <w:color w:val="000000" w:themeColor="text1"/>
          <w:szCs w:val="24"/>
        </w:rPr>
        <w:t>按</w:t>
      </w:r>
      <w:r w:rsidRPr="003140FD">
        <w:rPr>
          <w:rFonts w:ascii="標楷體" w:eastAsia="標楷體" w:hAnsi="標楷體" w:hint="eastAsia"/>
          <w:color w:val="000000" w:themeColor="text1"/>
          <w:szCs w:val="24"/>
        </w:rPr>
        <w:t>各部會為提升行政效率，利</w:t>
      </w:r>
      <w:r w:rsidRPr="003140FD">
        <w:rPr>
          <w:rFonts w:ascii="標楷體" w:eastAsia="標楷體" w:hAnsi="標楷體"/>
          <w:color w:val="000000" w:themeColor="text1"/>
          <w:szCs w:val="24"/>
        </w:rPr>
        <w:t>用</w:t>
      </w:r>
      <w:r w:rsidRPr="003140FD">
        <w:rPr>
          <w:rFonts w:ascii="標楷體" w:eastAsia="標楷體" w:hAnsi="標楷體" w:hint="eastAsia"/>
          <w:color w:val="000000" w:themeColor="text1"/>
          <w:szCs w:val="24"/>
        </w:rPr>
        <w:t>A</w:t>
      </w:r>
      <w:r w:rsidRPr="003140FD">
        <w:rPr>
          <w:rFonts w:ascii="標楷體" w:eastAsia="標楷體" w:hAnsi="標楷體"/>
          <w:color w:val="000000" w:themeColor="text1"/>
          <w:szCs w:val="24"/>
        </w:rPr>
        <w:t>I輔助業務</w:t>
      </w:r>
      <w:r w:rsidRPr="003140FD">
        <w:rPr>
          <w:rFonts w:ascii="標楷體" w:eastAsia="標楷體" w:hAnsi="標楷體" w:hint="eastAsia"/>
          <w:color w:val="000000" w:themeColor="text1"/>
          <w:szCs w:val="24"/>
        </w:rPr>
        <w:t>執行或提供服務，已日趨</w:t>
      </w:r>
      <w:r w:rsidRPr="003140FD">
        <w:rPr>
          <w:rFonts w:ascii="標楷體" w:eastAsia="標楷體" w:hAnsi="標楷體" w:hint="eastAsia"/>
          <w:bCs/>
          <w:color w:val="000000" w:themeColor="text1"/>
          <w:szCs w:val="24"/>
        </w:rPr>
        <w:t>普及</w:t>
      </w:r>
      <w:r w:rsidRPr="003140FD">
        <w:rPr>
          <w:rFonts w:ascii="標楷體" w:eastAsia="標楷體" w:hAnsi="標楷體"/>
          <w:color w:val="000000" w:themeColor="text1"/>
          <w:szCs w:val="24"/>
        </w:rPr>
        <w:t>（</w:t>
      </w:r>
      <w:r w:rsidRPr="003140FD">
        <w:rPr>
          <w:rFonts w:ascii="標楷體" w:eastAsia="標楷體" w:hAnsi="標楷體" w:hint="eastAsia"/>
          <w:color w:val="000000" w:themeColor="text1"/>
          <w:szCs w:val="24"/>
        </w:rPr>
        <w:t>如</w:t>
      </w:r>
      <w:r w:rsidRPr="003140FD">
        <w:rPr>
          <w:rFonts w:ascii="標楷體" w:eastAsia="標楷體" w:hAnsi="標楷體"/>
          <w:color w:val="000000" w:themeColor="text1"/>
          <w:szCs w:val="24"/>
        </w:rPr>
        <w:t>AI分析案件與提升破案效率、智慧勾稽異常清運行為、</w:t>
      </w:r>
      <w:r w:rsidRPr="003140FD">
        <w:rPr>
          <w:rFonts w:ascii="標楷體" w:eastAsia="標楷體" w:hAnsi="標楷體" w:hint="eastAsia"/>
          <w:color w:val="000000" w:themeColor="text1"/>
          <w:szCs w:val="24"/>
        </w:rPr>
        <w:t>智慧農業、AI處理簡易案件等）</w:t>
      </w:r>
      <w:r w:rsidRPr="003140FD">
        <w:rPr>
          <w:rFonts w:ascii="標楷體" w:eastAsia="標楷體" w:hAnsi="標楷體"/>
          <w:color w:val="000000" w:themeColor="text1"/>
          <w:szCs w:val="24"/>
        </w:rPr>
        <w:t>，行政</w:t>
      </w:r>
      <w:r w:rsidRPr="003140FD">
        <w:rPr>
          <w:rFonts w:ascii="標楷體" w:eastAsia="標楷體" w:hAnsi="標楷體" w:hint="eastAsia"/>
          <w:color w:val="000000" w:themeColor="text1"/>
          <w:szCs w:val="24"/>
        </w:rPr>
        <w:t>院</w:t>
      </w:r>
      <w:r w:rsidRPr="003140FD">
        <w:rPr>
          <w:rFonts w:ascii="標楷體" w:eastAsia="標楷體" w:hAnsi="標楷體"/>
          <w:color w:val="000000" w:themeColor="text1"/>
          <w:szCs w:val="24"/>
        </w:rPr>
        <w:t>為使</w:t>
      </w:r>
      <w:r w:rsidRPr="003140FD">
        <w:rPr>
          <w:rFonts w:ascii="標楷體" w:eastAsia="標楷體" w:hAnsi="標楷體" w:hint="eastAsia"/>
          <w:color w:val="000000" w:themeColor="text1"/>
          <w:szCs w:val="24"/>
        </w:rPr>
        <w:t>各行政機關於應用生成式AI時，能保有執行公務之機密性及專業性，於112年10月發布「</w:t>
      </w:r>
      <w:r w:rsidRPr="003140FD">
        <w:rPr>
          <w:rFonts w:ascii="標楷體" w:eastAsia="標楷體" w:hAnsi="標楷體"/>
          <w:color w:val="000000" w:themeColor="text1"/>
          <w:szCs w:val="24"/>
        </w:rPr>
        <w:t>行政院及所屬機關（構）使用生成式AI參考指引」，供各機關依循</w:t>
      </w:r>
      <w:r w:rsidRPr="003140FD">
        <w:rPr>
          <w:rFonts w:ascii="標楷體" w:eastAsia="標楷體" w:hAnsi="標楷體" w:hint="eastAsia"/>
          <w:color w:val="000000" w:themeColor="text1"/>
          <w:szCs w:val="24"/>
        </w:rPr>
        <w:t>，並請各部會視業務需要，</w:t>
      </w:r>
      <w:r w:rsidRPr="003140FD">
        <w:rPr>
          <w:rFonts w:ascii="標楷體" w:eastAsia="標楷體" w:hAnsi="標楷體"/>
          <w:color w:val="000000" w:themeColor="text1"/>
          <w:szCs w:val="24"/>
        </w:rPr>
        <w:t>參酌該參考指引另訂使用規範或內控管理措施</w:t>
      </w:r>
      <w:r w:rsidRPr="003140FD">
        <w:rPr>
          <w:rFonts w:ascii="標楷體" w:eastAsia="標楷體" w:hAnsi="標楷體" w:hint="eastAsia"/>
          <w:color w:val="000000" w:themeColor="text1"/>
          <w:szCs w:val="24"/>
        </w:rPr>
        <w:t>。惟截至113年4月底</w:t>
      </w:r>
      <w:r w:rsidR="004B5D61">
        <w:rPr>
          <w:rFonts w:ascii="標楷體" w:eastAsia="標楷體" w:hAnsi="標楷體" w:hint="eastAsia"/>
          <w:color w:val="000000" w:themeColor="text1"/>
          <w:szCs w:val="24"/>
        </w:rPr>
        <w:t>止</w:t>
      </w:r>
      <w:r w:rsidRPr="003140FD">
        <w:rPr>
          <w:rFonts w:ascii="標楷體" w:eastAsia="標楷體" w:hAnsi="標楷體" w:hint="eastAsia"/>
          <w:color w:val="000000" w:themeColor="text1"/>
          <w:szCs w:val="24"/>
        </w:rPr>
        <w:t>，除</w:t>
      </w:r>
      <w:r w:rsidRPr="003140FD">
        <w:rPr>
          <w:rFonts w:ascii="標楷體" w:eastAsia="標楷體" w:hAnsi="標楷體"/>
          <w:color w:val="000000" w:themeColor="text1"/>
          <w:szCs w:val="24"/>
        </w:rPr>
        <w:t>金融監督</w:t>
      </w:r>
      <w:r w:rsidRPr="003140FD">
        <w:rPr>
          <w:rFonts w:ascii="標楷體" w:eastAsia="標楷體" w:hAnsi="標楷體" w:hint="eastAsia"/>
          <w:color w:val="000000" w:themeColor="text1"/>
          <w:szCs w:val="24"/>
        </w:rPr>
        <w:t>管理委員會及衛生福利部業</w:t>
      </w:r>
      <w:r w:rsidRPr="003140FD">
        <w:rPr>
          <w:rFonts w:ascii="標楷體" w:eastAsia="標楷體" w:hAnsi="標楷體"/>
          <w:color w:val="000000" w:themeColor="text1"/>
          <w:szCs w:val="24"/>
        </w:rPr>
        <w:t>就轄管金融與醫療，</w:t>
      </w:r>
      <w:r w:rsidRPr="003140FD">
        <w:rPr>
          <w:rFonts w:ascii="標楷體" w:eastAsia="標楷體" w:hAnsi="標楷體" w:hint="eastAsia"/>
          <w:color w:val="000000" w:themeColor="text1"/>
          <w:szCs w:val="24"/>
        </w:rPr>
        <w:t>陸續研訂相關</w:t>
      </w:r>
      <w:r w:rsidRPr="003140FD">
        <w:rPr>
          <w:rFonts w:ascii="標楷體" w:eastAsia="標楷體" w:hAnsi="標楷體"/>
          <w:color w:val="000000" w:themeColor="text1"/>
          <w:szCs w:val="24"/>
        </w:rPr>
        <w:t>人工智慧之核心原則</w:t>
      </w:r>
      <w:r w:rsidRPr="003140FD">
        <w:rPr>
          <w:rFonts w:ascii="標楷體" w:eastAsia="標楷體" w:hAnsi="標楷體" w:hint="eastAsia"/>
          <w:color w:val="000000" w:themeColor="text1"/>
          <w:szCs w:val="24"/>
        </w:rPr>
        <w:t>或技術指引等規範外（</w:t>
      </w:r>
      <w:r w:rsidRPr="006678C5">
        <w:rPr>
          <w:rFonts w:ascii="標楷體" w:eastAsia="標楷體" w:hAnsi="標楷體" w:hint="eastAsia"/>
          <w:color w:val="000000" w:themeColor="text1"/>
          <w:szCs w:val="24"/>
        </w:rPr>
        <w:t>表</w:t>
      </w:r>
      <w:r w:rsidR="009C6827" w:rsidRPr="006678C5">
        <w:rPr>
          <w:rFonts w:ascii="標楷體" w:eastAsia="標楷體" w:hAnsi="標楷體" w:hint="eastAsia"/>
          <w:color w:val="000000" w:themeColor="text1"/>
          <w:szCs w:val="24"/>
        </w:rPr>
        <w:t>2</w:t>
      </w:r>
      <w:r w:rsidRPr="006678C5">
        <w:rPr>
          <w:rFonts w:ascii="標楷體" w:eastAsia="標楷體" w:hAnsi="標楷體"/>
          <w:color w:val="000000" w:themeColor="text1"/>
          <w:szCs w:val="24"/>
        </w:rPr>
        <w:t>1</w:t>
      </w:r>
      <w:r w:rsidRPr="003140FD">
        <w:rPr>
          <w:rFonts w:ascii="標楷體" w:eastAsia="標楷體" w:hAnsi="標楷體" w:hint="eastAsia"/>
          <w:color w:val="000000" w:themeColor="text1"/>
          <w:szCs w:val="24"/>
        </w:rPr>
        <w:t>）</w:t>
      </w:r>
      <w:r w:rsidRPr="003140FD">
        <w:rPr>
          <w:rFonts w:ascii="標楷體" w:eastAsia="標楷體" w:hAnsi="標楷體"/>
          <w:color w:val="000000" w:themeColor="text1"/>
          <w:szCs w:val="24"/>
        </w:rPr>
        <w:t>，</w:t>
      </w:r>
      <w:r w:rsidRPr="003140FD">
        <w:rPr>
          <w:rFonts w:ascii="標楷體" w:eastAsia="標楷體" w:hAnsi="標楷體" w:hint="eastAsia"/>
          <w:color w:val="000000" w:themeColor="text1"/>
          <w:szCs w:val="24"/>
        </w:rPr>
        <w:t>其餘目的事業主管機關，迄今尚無研訂相關法制配套措施。另</w:t>
      </w:r>
      <w:r w:rsidRPr="003140FD">
        <w:rPr>
          <w:rFonts w:ascii="標楷體" w:eastAsia="標楷體" w:hAnsi="標楷體" w:cs="標楷體" w:hint="eastAsia"/>
          <w:bCs/>
          <w:color w:val="000000" w:themeColor="text1"/>
          <w:szCs w:val="24"/>
        </w:rPr>
        <w:t>政府為確保AI產業發展與應用技術安全與可信賴，數位發展部</w:t>
      </w:r>
      <w:r w:rsidRPr="003140FD">
        <w:rPr>
          <w:rFonts w:ascii="標楷體" w:eastAsia="標楷體" w:hAnsi="標楷體" w:cs="標楷體"/>
          <w:bCs/>
          <w:color w:val="000000" w:themeColor="text1"/>
          <w:szCs w:val="24"/>
        </w:rPr>
        <w:t>數位產業署</w:t>
      </w:r>
      <w:r w:rsidRPr="003140FD">
        <w:rPr>
          <w:rFonts w:ascii="標楷體" w:eastAsia="標楷體" w:hAnsi="標楷體" w:cs="標楷體" w:hint="eastAsia"/>
          <w:bCs/>
          <w:color w:val="000000" w:themeColor="text1"/>
          <w:szCs w:val="24"/>
        </w:rPr>
        <w:t>業</w:t>
      </w:r>
      <w:r w:rsidRPr="003140FD">
        <w:rPr>
          <w:rFonts w:ascii="標楷體" w:eastAsia="標楷體" w:hAnsi="標楷體" w:cs="標楷體"/>
          <w:bCs/>
          <w:color w:val="000000" w:themeColor="text1"/>
          <w:szCs w:val="24"/>
        </w:rPr>
        <w:t>與</w:t>
      </w:r>
      <w:r w:rsidRPr="003140FD">
        <w:rPr>
          <w:rFonts w:ascii="標楷體" w:eastAsia="標楷體" w:hAnsi="標楷體" w:cs="標楷體" w:hint="eastAsia"/>
          <w:bCs/>
          <w:color w:val="000000" w:themeColor="text1"/>
          <w:szCs w:val="24"/>
        </w:rPr>
        <w:t>行政法人</w:t>
      </w:r>
      <w:r w:rsidRPr="003140FD">
        <w:rPr>
          <w:rFonts w:ascii="標楷體" w:eastAsia="標楷體" w:hAnsi="標楷體" w:cs="標楷體"/>
          <w:bCs/>
          <w:color w:val="000000" w:themeColor="text1"/>
          <w:szCs w:val="24"/>
        </w:rPr>
        <w:t>國家資通安全研究院、</w:t>
      </w:r>
      <w:r w:rsidRPr="003140FD">
        <w:rPr>
          <w:rFonts w:ascii="標楷體" w:eastAsia="標楷體" w:hAnsi="標楷體" w:cs="標楷體" w:hint="eastAsia"/>
          <w:bCs/>
          <w:color w:val="000000" w:themeColor="text1"/>
          <w:szCs w:val="24"/>
        </w:rPr>
        <w:t>財團法人</w:t>
      </w:r>
      <w:r w:rsidRPr="003140FD">
        <w:rPr>
          <w:rFonts w:ascii="標楷體" w:eastAsia="標楷體" w:hAnsi="標楷體" w:cs="標楷體"/>
          <w:bCs/>
          <w:color w:val="000000" w:themeColor="text1"/>
          <w:szCs w:val="24"/>
        </w:rPr>
        <w:t>工業技術研究院合作設立AI產品與系統評測中心</w:t>
      </w:r>
      <w:r w:rsidRPr="003140FD">
        <w:rPr>
          <w:rFonts w:ascii="標楷體" w:eastAsia="標楷體" w:hAnsi="標楷體" w:cs="標楷體" w:hint="eastAsia"/>
          <w:bCs/>
          <w:color w:val="000000" w:themeColor="text1"/>
          <w:szCs w:val="24"/>
        </w:rPr>
        <w:t>（下稱A</w:t>
      </w:r>
      <w:r w:rsidRPr="003140FD">
        <w:rPr>
          <w:rFonts w:ascii="標楷體" w:eastAsia="標楷體" w:hAnsi="標楷體" w:cs="標楷體"/>
          <w:bCs/>
          <w:color w:val="000000" w:themeColor="text1"/>
          <w:szCs w:val="24"/>
        </w:rPr>
        <w:t>I</w:t>
      </w:r>
      <w:r w:rsidRPr="003140FD">
        <w:rPr>
          <w:rFonts w:ascii="標楷體" w:eastAsia="標楷體" w:hAnsi="標楷體" w:cs="標楷體" w:hint="eastAsia"/>
          <w:bCs/>
          <w:color w:val="000000" w:themeColor="text1"/>
          <w:szCs w:val="24"/>
        </w:rPr>
        <w:t>評測中心），</w:t>
      </w:r>
      <w:r w:rsidRPr="003140FD">
        <w:rPr>
          <w:rFonts w:ascii="標楷體" w:eastAsia="標楷體" w:hAnsi="標楷體" w:cs="標楷體"/>
          <w:bCs/>
          <w:color w:val="000000" w:themeColor="text1"/>
          <w:szCs w:val="24"/>
        </w:rPr>
        <w:t>並</w:t>
      </w:r>
      <w:r w:rsidRPr="003140FD">
        <w:rPr>
          <w:rFonts w:ascii="標楷體" w:eastAsia="標楷體" w:hAnsi="標楷體" w:cs="標楷體" w:hint="eastAsia"/>
          <w:bCs/>
          <w:color w:val="000000" w:themeColor="text1"/>
          <w:szCs w:val="24"/>
        </w:rPr>
        <w:t>於1</w:t>
      </w:r>
      <w:r w:rsidRPr="003140FD">
        <w:rPr>
          <w:rFonts w:ascii="標楷體" w:eastAsia="標楷體" w:hAnsi="標楷體" w:cs="標楷體"/>
          <w:bCs/>
          <w:color w:val="000000" w:themeColor="text1"/>
          <w:szCs w:val="24"/>
        </w:rPr>
        <w:t>13年</w:t>
      </w:r>
      <w:r w:rsidRPr="003140FD">
        <w:rPr>
          <w:rFonts w:ascii="標楷體" w:eastAsia="標楷體" w:hAnsi="標楷體" w:cs="標楷體" w:hint="eastAsia"/>
          <w:bCs/>
          <w:color w:val="000000" w:themeColor="text1"/>
          <w:szCs w:val="24"/>
        </w:rPr>
        <w:t>3月提出「</w:t>
      </w:r>
      <w:r w:rsidRPr="003140FD">
        <w:rPr>
          <w:rFonts w:ascii="標楷體" w:eastAsia="標楷體" w:hAnsi="標楷體" w:cs="標楷體"/>
          <w:bCs/>
          <w:color w:val="000000" w:themeColor="text1"/>
          <w:szCs w:val="24"/>
        </w:rPr>
        <w:t>人工智慧（AI）產品與系統評測參考指引（草案）</w:t>
      </w:r>
      <w:r w:rsidRPr="003140FD">
        <w:rPr>
          <w:rFonts w:ascii="標楷體" w:eastAsia="標楷體" w:hAnsi="標楷體" w:cs="標楷體" w:hint="eastAsia"/>
          <w:bCs/>
          <w:color w:val="000000" w:themeColor="text1"/>
          <w:szCs w:val="24"/>
        </w:rPr>
        <w:t>」，規劃安全性、可解釋性</w:t>
      </w:r>
      <w:r w:rsidRPr="00B4405D">
        <w:rPr>
          <w:rFonts w:ascii="標楷體" w:eastAsia="標楷體" w:hAnsi="標楷體" w:cs="標楷體" w:hint="eastAsia"/>
          <w:bCs/>
          <w:color w:val="000000" w:themeColor="text1"/>
          <w:szCs w:val="24"/>
        </w:rPr>
        <w:t>、透明性、當責性、隱私、資安等十大評測項目，據該指引適用範圍，主要為數位發展部轄管「資訊產業」、「電信產業」、「傳播產業之廠商與企業</w:t>
      </w:r>
      <w:r w:rsidRPr="00B4405D">
        <w:rPr>
          <w:rFonts w:ascii="標楷體" w:eastAsia="標楷體" w:hAnsi="標楷體"/>
          <w:color w:val="000000" w:themeColor="text1"/>
          <w:szCs w:val="24"/>
        </w:rPr>
        <w:t>」、「資安產業」及「網際網路產業」</w:t>
      </w:r>
      <w:r w:rsidRPr="00B4405D">
        <w:rPr>
          <w:rFonts w:ascii="標楷體" w:eastAsia="標楷體" w:hAnsi="標楷體" w:hint="eastAsia"/>
          <w:color w:val="000000" w:themeColor="text1"/>
          <w:szCs w:val="24"/>
        </w:rPr>
        <w:t>五</w:t>
      </w:r>
      <w:r w:rsidRPr="00B4405D">
        <w:rPr>
          <w:rFonts w:ascii="標楷體" w:eastAsia="標楷體" w:hAnsi="標楷體" w:cs="標楷體" w:hint="eastAsia"/>
          <w:bCs/>
          <w:color w:val="000000" w:themeColor="text1"/>
          <w:szCs w:val="24"/>
        </w:rPr>
        <w:t>大應用產業，可依循上開指引將AI產品與系統進行送測，惟非屬該部轄管之產業，舉如</w:t>
      </w:r>
      <w:r w:rsidRPr="00B4405D">
        <w:rPr>
          <w:rFonts w:ascii="標楷體" w:eastAsia="標楷體" w:hAnsi="標楷體" w:cs="標楷體"/>
          <w:bCs/>
          <w:color w:val="000000" w:themeColor="text1"/>
          <w:szCs w:val="24"/>
        </w:rPr>
        <w:t>目前</w:t>
      </w:r>
      <w:r w:rsidRPr="00B4405D">
        <w:rPr>
          <w:rFonts w:ascii="標楷體" w:eastAsia="標楷體" w:hAnsi="標楷體" w:cs="標楷體" w:hint="eastAsia"/>
          <w:bCs/>
          <w:color w:val="000000" w:themeColor="text1"/>
          <w:szCs w:val="24"/>
        </w:rPr>
        <w:t>A</w:t>
      </w:r>
      <w:r w:rsidRPr="00B4405D">
        <w:rPr>
          <w:rFonts w:ascii="標楷體" w:eastAsia="標楷體" w:hAnsi="標楷體" w:cs="標楷體"/>
          <w:bCs/>
          <w:color w:val="000000" w:themeColor="text1"/>
          <w:szCs w:val="24"/>
        </w:rPr>
        <w:t>I應用發展</w:t>
      </w:r>
      <w:r w:rsidRPr="00B4405D">
        <w:rPr>
          <w:rFonts w:ascii="標楷體" w:eastAsia="標楷體" w:hAnsi="標楷體" w:cs="標楷體" w:hint="eastAsia"/>
          <w:bCs/>
          <w:color w:val="000000" w:themeColor="text1"/>
          <w:szCs w:val="24"/>
        </w:rPr>
        <w:t>較普遍</w:t>
      </w:r>
      <w:r w:rsidRPr="00B4405D">
        <w:rPr>
          <w:rFonts w:ascii="標楷體" w:eastAsia="標楷體" w:hAnsi="標楷體" w:cs="標楷體"/>
          <w:bCs/>
          <w:color w:val="000000" w:themeColor="text1"/>
          <w:szCs w:val="24"/>
        </w:rPr>
        <w:t>之</w:t>
      </w:r>
      <w:r w:rsidRPr="00B4405D">
        <w:rPr>
          <w:rFonts w:ascii="標楷體" w:eastAsia="標楷體" w:hAnsi="標楷體" w:cs="標楷體" w:hint="eastAsia"/>
          <w:bCs/>
          <w:color w:val="000000" w:themeColor="text1"/>
          <w:szCs w:val="24"/>
        </w:rPr>
        <w:t>醫療與金融等，因涉及其他領域專業知識，</w:t>
      </w:r>
      <w:r w:rsidRPr="00B4405D">
        <w:rPr>
          <w:rFonts w:ascii="標楷體" w:eastAsia="標楷體" w:hAnsi="標楷體" w:hint="eastAsia"/>
          <w:color w:val="000000" w:themeColor="text1"/>
          <w:szCs w:val="24"/>
        </w:rPr>
        <w:t>尚</w:t>
      </w:r>
      <w:r w:rsidRPr="00B4405D">
        <w:rPr>
          <w:rFonts w:ascii="標楷體" w:eastAsia="標楷體" w:hAnsi="標楷體" w:cs="標楷體" w:hint="eastAsia"/>
          <w:bCs/>
          <w:color w:val="000000" w:themeColor="text1"/>
          <w:szCs w:val="24"/>
        </w:rPr>
        <w:t>待其他</w:t>
      </w:r>
      <w:r w:rsidRPr="003140FD">
        <w:rPr>
          <w:rFonts w:ascii="標楷體" w:eastAsia="標楷體" w:hAnsi="標楷體" w:hint="eastAsia"/>
          <w:color w:val="000000" w:themeColor="text1"/>
          <w:szCs w:val="24"/>
        </w:rPr>
        <w:t>目的事業</w:t>
      </w:r>
      <w:r w:rsidRPr="003140FD">
        <w:rPr>
          <w:rFonts w:ascii="標楷體" w:eastAsia="標楷體" w:hAnsi="標楷體" w:cs="標楷體" w:hint="eastAsia"/>
          <w:bCs/>
          <w:color w:val="000000" w:themeColor="text1"/>
          <w:szCs w:val="24"/>
        </w:rPr>
        <w:t>主管機關視產業特性及需求與A</w:t>
      </w:r>
      <w:r w:rsidRPr="003140FD">
        <w:rPr>
          <w:rFonts w:ascii="標楷體" w:eastAsia="標楷體" w:hAnsi="標楷體" w:cs="標楷體"/>
          <w:bCs/>
          <w:color w:val="000000" w:themeColor="text1"/>
          <w:szCs w:val="24"/>
        </w:rPr>
        <w:t>I</w:t>
      </w:r>
      <w:r w:rsidRPr="003140FD">
        <w:rPr>
          <w:rFonts w:ascii="標楷體" w:eastAsia="標楷體" w:hAnsi="標楷體" w:cs="標楷體" w:hint="eastAsia"/>
          <w:bCs/>
          <w:color w:val="000000" w:themeColor="text1"/>
          <w:szCs w:val="24"/>
        </w:rPr>
        <w:t>評測中心討論後，始能確定評測項目</w:t>
      </w:r>
      <w:r w:rsidRPr="003140FD">
        <w:rPr>
          <w:rFonts w:ascii="標楷體" w:eastAsia="標楷體" w:hAnsi="標楷體" w:hint="eastAsia"/>
          <w:bCs/>
          <w:color w:val="000000" w:themeColor="text1"/>
          <w:szCs w:val="24"/>
        </w:rPr>
        <w:t>。經函請行政院持續督促有關機關儘速</w:t>
      </w:r>
      <w:r w:rsidRPr="003140FD">
        <w:rPr>
          <w:rFonts w:ascii="標楷體" w:eastAsia="標楷體" w:hAnsi="標楷體"/>
          <w:bCs/>
          <w:color w:val="000000" w:themeColor="text1"/>
          <w:szCs w:val="24"/>
        </w:rPr>
        <w:t>研議或推動個別領域AI法制</w:t>
      </w:r>
      <w:r w:rsidRPr="003140FD">
        <w:rPr>
          <w:rFonts w:ascii="標楷體" w:eastAsia="標楷體" w:hAnsi="標楷體" w:hint="eastAsia"/>
          <w:bCs/>
          <w:color w:val="000000" w:themeColor="text1"/>
          <w:szCs w:val="24"/>
        </w:rPr>
        <w:t>相關</w:t>
      </w:r>
      <w:r w:rsidRPr="003140FD">
        <w:rPr>
          <w:rFonts w:ascii="標楷體" w:eastAsia="標楷體" w:hAnsi="標楷體"/>
          <w:bCs/>
          <w:color w:val="000000" w:themeColor="text1"/>
          <w:szCs w:val="24"/>
        </w:rPr>
        <w:t>指引與配套措施</w:t>
      </w:r>
      <w:r w:rsidRPr="003140FD">
        <w:rPr>
          <w:rFonts w:ascii="標楷體" w:eastAsia="標楷體" w:hAnsi="標楷體" w:hint="eastAsia"/>
          <w:bCs/>
          <w:color w:val="000000" w:themeColor="text1"/>
          <w:szCs w:val="24"/>
        </w:rPr>
        <w:t>，</w:t>
      </w:r>
      <w:r w:rsidRPr="003140FD">
        <w:rPr>
          <w:rFonts w:ascii="標楷體" w:eastAsia="標楷體" w:hAnsi="標楷體"/>
          <w:bCs/>
          <w:color w:val="000000" w:themeColor="text1"/>
          <w:szCs w:val="24"/>
        </w:rPr>
        <w:t>以</w:t>
      </w:r>
      <w:r w:rsidRPr="003140FD">
        <w:rPr>
          <w:rFonts w:ascii="標楷體" w:eastAsia="標楷體" w:hAnsi="標楷體" w:hint="eastAsia"/>
          <w:bCs/>
          <w:color w:val="000000" w:themeColor="text1"/>
          <w:szCs w:val="24"/>
        </w:rPr>
        <w:t>達成形塑可受信任之A</w:t>
      </w:r>
      <w:r w:rsidRPr="003140FD">
        <w:rPr>
          <w:rFonts w:ascii="標楷體" w:eastAsia="標楷體" w:hAnsi="標楷體"/>
          <w:bCs/>
          <w:color w:val="000000" w:themeColor="text1"/>
          <w:szCs w:val="24"/>
        </w:rPr>
        <w:t>I</w:t>
      </w:r>
      <w:r w:rsidRPr="003140FD">
        <w:rPr>
          <w:rFonts w:ascii="標楷體" w:eastAsia="標楷體" w:hAnsi="標楷體" w:hint="eastAsia"/>
          <w:bCs/>
          <w:color w:val="000000" w:themeColor="text1"/>
          <w:szCs w:val="24"/>
        </w:rPr>
        <w:t>發展環境，厚植我國AI國力之目標。</w:t>
      </w:r>
      <w:r w:rsidRPr="004D7C92">
        <w:rPr>
          <w:rFonts w:ascii="標楷體" w:eastAsia="標楷體" w:hAnsi="標楷體" w:hint="eastAsia"/>
          <w:bCs/>
          <w:color w:val="000000" w:themeColor="text1"/>
          <w:szCs w:val="24"/>
        </w:rPr>
        <w:t>據復：</w:t>
      </w:r>
      <w:r w:rsidR="00546FBC" w:rsidRPr="004D7C92">
        <w:rPr>
          <w:rFonts w:ascii="標楷體" w:eastAsia="標楷體" w:hAnsi="標楷體" w:hint="eastAsia"/>
          <w:bCs/>
          <w:color w:val="000000" w:themeColor="text1"/>
          <w:szCs w:val="24"/>
        </w:rPr>
        <w:t>已透過跨部會專案會議，督促各部會就其業管領域提出法規調適規劃，並針對重點法制議題，包含交通部（自駕車運行安全）、衛生福利部（醫療器材）等，優先調整相關規範；另有關</w:t>
      </w:r>
      <w:r w:rsidR="00546FBC" w:rsidRPr="004D7C92">
        <w:rPr>
          <w:rFonts w:ascii="標楷體" w:eastAsia="標楷體" w:hAnsi="標楷體"/>
          <w:bCs/>
          <w:color w:val="000000" w:themeColor="text1"/>
          <w:szCs w:val="24"/>
        </w:rPr>
        <w:t>AI產品與系統評測指引（草案）刻正檢討中，將朝向不限定產業，以共通性參考指引之方式</w:t>
      </w:r>
      <w:r w:rsidR="00C70B8F" w:rsidRPr="00351C83">
        <w:rPr>
          <w:rFonts w:ascii="標楷體" w:eastAsia="標楷體" w:hAnsi="標楷體"/>
          <w:noProof/>
          <w:color w:val="000000" w:themeColor="text1"/>
          <w:szCs w:val="24"/>
        </w:rPr>
        <mc:AlternateContent>
          <mc:Choice Requires="wps">
            <w:drawing>
              <wp:anchor distT="0" distB="0" distL="114300" distR="114300" simplePos="0" relativeHeight="251655168" behindDoc="0" locked="0" layoutInCell="1" allowOverlap="0" wp14:anchorId="17ED0D64" wp14:editId="207D0C75">
                <wp:simplePos x="0" y="0"/>
                <wp:positionH relativeFrom="margin">
                  <wp:posOffset>-82550</wp:posOffset>
                </wp:positionH>
                <wp:positionV relativeFrom="margin">
                  <wp:posOffset>5584306</wp:posOffset>
                </wp:positionV>
                <wp:extent cx="6380480" cy="3100705"/>
                <wp:effectExtent l="0" t="0" r="0" b="4445"/>
                <wp:wrapTopAndBottom/>
                <wp:docPr id="106" name="文字方塊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0480" cy="3100705"/>
                        </a:xfrm>
                        <a:prstGeom prst="rect">
                          <a:avLst/>
                        </a:prstGeom>
                        <a:noFill/>
                        <a:ln w="9525">
                          <a:noFill/>
                          <a:miter lim="800000"/>
                          <a:headEnd/>
                          <a:tailEnd/>
                        </a:ln>
                      </wps:spPr>
                      <wps:txbx>
                        <w:txbxContent>
                          <w:p w14:paraId="0D3B6B94" w14:textId="66DEEDD6" w:rsidR="00A0212B" w:rsidRPr="005B3F3E" w:rsidRDefault="00A0212B" w:rsidP="003140FD">
                            <w:pPr>
                              <w:spacing w:line="240" w:lineRule="exact"/>
                              <w:jc w:val="center"/>
                              <w:rPr>
                                <w:rFonts w:ascii="標楷體" w:eastAsia="標楷體" w:hAnsi="標楷體"/>
                                <w:b/>
                              </w:rPr>
                            </w:pPr>
                            <w:r w:rsidRPr="005B3F3E">
                              <w:rPr>
                                <w:rFonts w:ascii="標楷體" w:eastAsia="標楷體" w:hAnsi="標楷體" w:hint="eastAsia"/>
                                <w:b/>
                              </w:rPr>
                              <w:t>表</w:t>
                            </w:r>
                            <w:r>
                              <w:rPr>
                                <w:rFonts w:ascii="標楷體" w:eastAsia="標楷體" w:hAnsi="標楷體" w:hint="eastAsia"/>
                                <w:b/>
                              </w:rPr>
                              <w:t>2</w:t>
                            </w:r>
                            <w:r>
                              <w:rPr>
                                <w:rFonts w:ascii="標楷體" w:eastAsia="標楷體" w:hAnsi="標楷體"/>
                                <w:b/>
                              </w:rPr>
                              <w:t>1</w:t>
                            </w:r>
                            <w:r w:rsidRPr="005B3F3E">
                              <w:rPr>
                                <w:rFonts w:ascii="標楷體" w:eastAsia="標楷體" w:hAnsi="標楷體" w:hint="eastAsia"/>
                                <w:b/>
                              </w:rPr>
                              <w:t xml:space="preserve">　截至1</w:t>
                            </w:r>
                            <w:r w:rsidRPr="005B3F3E">
                              <w:rPr>
                                <w:rFonts w:ascii="標楷體" w:eastAsia="標楷體" w:hAnsi="標楷體"/>
                                <w:b/>
                              </w:rPr>
                              <w:t>13</w:t>
                            </w:r>
                            <w:r w:rsidRPr="005B3F3E">
                              <w:rPr>
                                <w:rFonts w:ascii="標楷體" w:eastAsia="標楷體" w:hAnsi="標楷體" w:hint="eastAsia"/>
                                <w:b/>
                              </w:rPr>
                              <w:t>年4</w:t>
                            </w:r>
                            <w:r>
                              <w:rPr>
                                <w:rFonts w:ascii="標楷體" w:eastAsia="標楷體" w:hAnsi="標楷體" w:hint="eastAsia"/>
                                <w:b/>
                              </w:rPr>
                              <w:t>月底</w:t>
                            </w:r>
                            <w:r w:rsidRPr="005B3F3E">
                              <w:rPr>
                                <w:rFonts w:ascii="標楷體" w:eastAsia="標楷體" w:hAnsi="標楷體" w:hint="eastAsia"/>
                                <w:b/>
                              </w:rPr>
                              <w:t>各部會發布AI相關指引或規範情形</w:t>
                            </w:r>
                          </w:p>
                          <w:tbl>
                            <w:tblPr>
                              <w:tblW w:w="9781" w:type="dxa"/>
                              <w:tblInd w:w="-5" w:type="dxa"/>
                              <w:tblCellMar>
                                <w:left w:w="28" w:type="dxa"/>
                                <w:right w:w="28" w:type="dxa"/>
                              </w:tblCellMar>
                              <w:tblLook w:val="04A0" w:firstRow="1" w:lastRow="0" w:firstColumn="1" w:lastColumn="0" w:noHBand="0" w:noVBand="1"/>
                            </w:tblPr>
                            <w:tblGrid>
                              <w:gridCol w:w="1276"/>
                              <w:gridCol w:w="1134"/>
                              <w:gridCol w:w="7371"/>
                            </w:tblGrid>
                            <w:tr w:rsidR="00A0212B" w:rsidRPr="00A618CA" w14:paraId="149179CB" w14:textId="77777777" w:rsidTr="000554CC">
                              <w:trPr>
                                <w:trHeight w:val="20"/>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AC50A"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主管機關</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B85D3EB" w14:textId="3E2534E4" w:rsidR="00A0212B" w:rsidRPr="005B3F3E" w:rsidRDefault="00A0212B">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發布</w:t>
                                  </w:r>
                                  <w:r>
                                    <w:rPr>
                                      <w:rFonts w:ascii="標楷體" w:eastAsia="標楷體" w:hAnsi="標楷體" w:cs="新細明體" w:hint="eastAsia"/>
                                      <w:color w:val="000000"/>
                                      <w:kern w:val="0"/>
                                      <w:sz w:val="20"/>
                                    </w:rPr>
                                    <w:t>年月</w:t>
                                  </w:r>
                                </w:p>
                              </w:tc>
                              <w:tc>
                                <w:tcPr>
                                  <w:tcW w:w="7371" w:type="dxa"/>
                                  <w:tcBorders>
                                    <w:top w:val="single" w:sz="4" w:space="0" w:color="auto"/>
                                    <w:left w:val="nil"/>
                                    <w:bottom w:val="single" w:sz="4" w:space="0" w:color="auto"/>
                                    <w:right w:val="single" w:sz="4" w:space="0" w:color="auto"/>
                                  </w:tcBorders>
                                  <w:shd w:val="clear" w:color="auto" w:fill="auto"/>
                                  <w:noWrap/>
                                  <w:vAlign w:val="center"/>
                                  <w:hideMark/>
                                </w:tcPr>
                                <w:p w14:paraId="181FBC8F"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名稱</w:t>
                                  </w:r>
                                </w:p>
                              </w:tc>
                            </w:tr>
                            <w:tr w:rsidR="00A0212B" w:rsidRPr="00A618CA" w14:paraId="4FE04F92" w14:textId="77777777" w:rsidTr="000554CC">
                              <w:trPr>
                                <w:trHeight w:val="20"/>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A0AEF"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行政院</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282306B"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w:t>
                                  </w:r>
                                  <w:r w:rsidRPr="005B3F3E">
                                    <w:rPr>
                                      <w:rFonts w:ascii="標楷體" w:eastAsia="標楷體" w:hAnsi="標楷體" w:cs="新細明體"/>
                                      <w:color w:val="000000"/>
                                      <w:kern w:val="0"/>
                                      <w:sz w:val="20"/>
                                    </w:rPr>
                                    <w:t>12.10</w:t>
                                  </w:r>
                                </w:p>
                              </w:tc>
                              <w:tc>
                                <w:tcPr>
                                  <w:tcW w:w="7371" w:type="dxa"/>
                                  <w:tcBorders>
                                    <w:top w:val="single" w:sz="4" w:space="0" w:color="auto"/>
                                    <w:left w:val="nil"/>
                                    <w:bottom w:val="single" w:sz="4" w:space="0" w:color="auto"/>
                                    <w:right w:val="single" w:sz="4" w:space="0" w:color="auto"/>
                                  </w:tcBorders>
                                  <w:shd w:val="clear" w:color="auto" w:fill="auto"/>
                                  <w:noWrap/>
                                  <w:vAlign w:val="center"/>
                                </w:tcPr>
                                <w:p w14:paraId="4788382F"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color w:val="000000"/>
                                      <w:kern w:val="0"/>
                                      <w:sz w:val="20"/>
                                    </w:rPr>
                                    <w:t>行政院及所屬機關（構</w:t>
                                  </w:r>
                                  <w:r>
                                    <w:rPr>
                                      <w:rFonts w:ascii="標楷體" w:eastAsia="標楷體" w:hAnsi="標楷體" w:cs="新細明體"/>
                                      <w:color w:val="000000"/>
                                      <w:kern w:val="0"/>
                                      <w:sz w:val="20"/>
                                    </w:rPr>
                                    <w:t>）</w:t>
                                  </w:r>
                                  <w:r w:rsidRPr="005B3F3E">
                                    <w:rPr>
                                      <w:rFonts w:ascii="標楷體" w:eastAsia="標楷體" w:hAnsi="標楷體" w:cs="新細明體"/>
                                      <w:color w:val="000000"/>
                                      <w:kern w:val="0"/>
                                      <w:sz w:val="20"/>
                                    </w:rPr>
                                    <w:t>使用生成式AI參考指引</w:t>
                                  </w:r>
                                </w:p>
                              </w:tc>
                            </w:tr>
                            <w:tr w:rsidR="00A0212B" w:rsidRPr="00A618CA" w14:paraId="15C01946" w14:textId="77777777" w:rsidTr="000554CC">
                              <w:trPr>
                                <w:trHeight w:val="20"/>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596E7A" w14:textId="77777777" w:rsidR="00A0212B" w:rsidRDefault="00A0212B" w:rsidP="000554C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金融監督</w:t>
                                  </w:r>
                                </w:p>
                                <w:p w14:paraId="60F02160"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管理委員會</w:t>
                                  </w:r>
                                </w:p>
                              </w:tc>
                              <w:tc>
                                <w:tcPr>
                                  <w:tcW w:w="1134" w:type="dxa"/>
                                  <w:tcBorders>
                                    <w:top w:val="nil"/>
                                    <w:left w:val="nil"/>
                                    <w:bottom w:val="single" w:sz="4" w:space="0" w:color="auto"/>
                                    <w:right w:val="single" w:sz="4" w:space="0" w:color="auto"/>
                                  </w:tcBorders>
                                  <w:shd w:val="clear" w:color="auto" w:fill="auto"/>
                                  <w:noWrap/>
                                  <w:vAlign w:val="center"/>
                                  <w:hideMark/>
                                </w:tcPr>
                                <w:p w14:paraId="773D3ECE"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111.04</w:t>
                                  </w:r>
                                </w:p>
                              </w:tc>
                              <w:tc>
                                <w:tcPr>
                                  <w:tcW w:w="7371" w:type="dxa"/>
                                  <w:tcBorders>
                                    <w:top w:val="nil"/>
                                    <w:left w:val="nil"/>
                                    <w:bottom w:val="single" w:sz="4" w:space="0" w:color="auto"/>
                                    <w:right w:val="single" w:sz="4" w:space="0" w:color="auto"/>
                                  </w:tcBorders>
                                  <w:shd w:val="clear" w:color="auto" w:fill="auto"/>
                                  <w:vAlign w:val="center"/>
                                  <w:hideMark/>
                                </w:tcPr>
                                <w:p w14:paraId="039F6A5D" w14:textId="346ADC15" w:rsidR="00A0212B" w:rsidRPr="005B3F3E" w:rsidRDefault="00A0212B">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核備投信投顧公會修正「證券投資顧問事業以自動化工具提供證券投資顧問服務（Robo</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Ad</w:t>
                                  </w:r>
                                  <w:r>
                                    <w:rPr>
                                      <w:rFonts w:ascii="標楷體" w:eastAsia="標楷體" w:hAnsi="標楷體" w:cs="新細明體"/>
                                      <w:color w:val="000000"/>
                                      <w:kern w:val="0"/>
                                      <w:sz w:val="20"/>
                                    </w:rPr>
                                    <w:t>v</w:t>
                                  </w:r>
                                  <w:r w:rsidRPr="005B3F3E">
                                    <w:rPr>
                                      <w:rFonts w:ascii="標楷體" w:eastAsia="標楷體" w:hAnsi="標楷體" w:cs="新細明體" w:hint="eastAsia"/>
                                      <w:color w:val="000000"/>
                                      <w:kern w:val="0"/>
                                      <w:sz w:val="20"/>
                                    </w:rPr>
                                    <w:t>isor</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作業要點」</w:t>
                                  </w:r>
                                </w:p>
                              </w:tc>
                            </w:tr>
                            <w:tr w:rsidR="00A0212B" w:rsidRPr="00A618CA" w14:paraId="1E8A145C"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059661B5"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52F16F8"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111.09</w:t>
                                  </w:r>
                                </w:p>
                              </w:tc>
                              <w:tc>
                                <w:tcPr>
                                  <w:tcW w:w="7371" w:type="dxa"/>
                                  <w:tcBorders>
                                    <w:top w:val="nil"/>
                                    <w:left w:val="nil"/>
                                    <w:bottom w:val="single" w:sz="4" w:space="0" w:color="auto"/>
                                    <w:right w:val="single" w:sz="4" w:space="0" w:color="auto"/>
                                  </w:tcBorders>
                                  <w:shd w:val="clear" w:color="auto" w:fill="auto"/>
                                  <w:vAlign w:val="center"/>
                                  <w:hideMark/>
                                </w:tcPr>
                                <w:p w14:paraId="2A912D78"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核備證券期貨業公會修訂「新興科技資通安全自律規範」</w:t>
                                  </w:r>
                                </w:p>
                              </w:tc>
                            </w:tr>
                            <w:tr w:rsidR="00A0212B" w:rsidRPr="00A618CA" w14:paraId="128E1BE9"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323BD701"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3CB40313"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112.10</w:t>
                                  </w:r>
                                </w:p>
                              </w:tc>
                              <w:tc>
                                <w:tcPr>
                                  <w:tcW w:w="7371" w:type="dxa"/>
                                  <w:tcBorders>
                                    <w:top w:val="nil"/>
                                    <w:left w:val="nil"/>
                                    <w:bottom w:val="single" w:sz="4" w:space="0" w:color="auto"/>
                                    <w:right w:val="single" w:sz="4" w:space="0" w:color="auto"/>
                                  </w:tcBorders>
                                  <w:shd w:val="clear" w:color="auto" w:fill="auto"/>
                                  <w:vAlign w:val="center"/>
                                  <w:hideMark/>
                                </w:tcPr>
                                <w:p w14:paraId="60E6D534"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金融業運用人工智慧（AI</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之核心原則與相關推動政策</w:t>
                                  </w:r>
                                </w:p>
                              </w:tc>
                            </w:tr>
                            <w:tr w:rsidR="00A0212B" w:rsidRPr="00A618CA" w14:paraId="31711E76"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70D18253"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0818B56"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預計113年公告或發布</w:t>
                                  </w:r>
                                </w:p>
                              </w:tc>
                              <w:tc>
                                <w:tcPr>
                                  <w:tcW w:w="7371" w:type="dxa"/>
                                  <w:tcBorders>
                                    <w:top w:val="nil"/>
                                    <w:left w:val="nil"/>
                                    <w:bottom w:val="single" w:sz="4" w:space="0" w:color="auto"/>
                                    <w:right w:val="single" w:sz="4" w:space="0" w:color="auto"/>
                                  </w:tcBorders>
                                  <w:shd w:val="clear" w:color="auto" w:fill="auto"/>
                                  <w:vAlign w:val="center"/>
                                  <w:hideMark/>
                                </w:tcPr>
                                <w:p w14:paraId="74CB2C58"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金融業運用AI指引</w:t>
                                  </w:r>
                                </w:p>
                              </w:tc>
                            </w:tr>
                            <w:tr w:rsidR="00A0212B" w:rsidRPr="00A618CA" w14:paraId="05051E19"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5BAA5D52"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vMerge/>
                                  <w:tcBorders>
                                    <w:top w:val="nil"/>
                                    <w:left w:val="single" w:sz="4" w:space="0" w:color="auto"/>
                                    <w:bottom w:val="single" w:sz="4" w:space="0" w:color="auto"/>
                                    <w:right w:val="single" w:sz="4" w:space="0" w:color="auto"/>
                                  </w:tcBorders>
                                  <w:vAlign w:val="center"/>
                                  <w:hideMark/>
                                </w:tcPr>
                                <w:p w14:paraId="31CB056E"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p>
                              </w:tc>
                              <w:tc>
                                <w:tcPr>
                                  <w:tcW w:w="7371" w:type="dxa"/>
                                  <w:tcBorders>
                                    <w:top w:val="nil"/>
                                    <w:left w:val="nil"/>
                                    <w:bottom w:val="single" w:sz="4" w:space="0" w:color="auto"/>
                                    <w:right w:val="single" w:sz="4" w:space="0" w:color="auto"/>
                                  </w:tcBorders>
                                  <w:shd w:val="clear" w:color="auto" w:fill="auto"/>
                                  <w:vAlign w:val="center"/>
                                  <w:hideMark/>
                                </w:tcPr>
                                <w:p w14:paraId="549C235A"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銀行公會提報「金融機構運用人工智慧技術自律規範」</w:t>
                                  </w:r>
                                </w:p>
                              </w:tc>
                            </w:tr>
                            <w:tr w:rsidR="00A0212B" w:rsidRPr="00A618CA" w14:paraId="4860672B"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306055DD"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vMerge/>
                                  <w:tcBorders>
                                    <w:top w:val="nil"/>
                                    <w:left w:val="single" w:sz="4" w:space="0" w:color="auto"/>
                                    <w:bottom w:val="single" w:sz="4" w:space="0" w:color="auto"/>
                                    <w:right w:val="single" w:sz="4" w:space="0" w:color="auto"/>
                                  </w:tcBorders>
                                  <w:vAlign w:val="center"/>
                                  <w:hideMark/>
                                </w:tcPr>
                                <w:p w14:paraId="7ACABC46"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p>
                              </w:tc>
                              <w:tc>
                                <w:tcPr>
                                  <w:tcW w:w="7371" w:type="dxa"/>
                                  <w:tcBorders>
                                    <w:top w:val="nil"/>
                                    <w:left w:val="nil"/>
                                    <w:bottom w:val="single" w:sz="4" w:space="0" w:color="auto"/>
                                    <w:right w:val="single" w:sz="4" w:space="0" w:color="auto"/>
                                  </w:tcBorders>
                                  <w:shd w:val="clear" w:color="auto" w:fill="auto"/>
                                  <w:vAlign w:val="center"/>
                                  <w:hideMark/>
                                </w:tcPr>
                                <w:p w14:paraId="4EA5C416"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期交所及期貨公會完成修正「證券期貨市場相關公會新興科技資通安全管控指引」及「新興科技資通安全自律規範」</w:t>
                                  </w:r>
                                </w:p>
                              </w:tc>
                            </w:tr>
                            <w:tr w:rsidR="00A0212B" w:rsidRPr="00A618CA" w14:paraId="34181846" w14:textId="77777777" w:rsidTr="000554CC">
                              <w:trPr>
                                <w:trHeight w:val="20"/>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62BB08"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衛生福利部</w:t>
                                  </w:r>
                                </w:p>
                              </w:tc>
                              <w:tc>
                                <w:tcPr>
                                  <w:tcW w:w="1134" w:type="dxa"/>
                                  <w:tcBorders>
                                    <w:top w:val="nil"/>
                                    <w:left w:val="nil"/>
                                    <w:bottom w:val="single" w:sz="4" w:space="0" w:color="auto"/>
                                    <w:right w:val="single" w:sz="4" w:space="0" w:color="auto"/>
                                  </w:tcBorders>
                                  <w:shd w:val="clear" w:color="auto" w:fill="auto"/>
                                  <w:noWrap/>
                                  <w:vAlign w:val="center"/>
                                  <w:hideMark/>
                                </w:tcPr>
                                <w:p w14:paraId="27ADF6A7"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110.08</w:t>
                                  </w:r>
                                </w:p>
                              </w:tc>
                              <w:tc>
                                <w:tcPr>
                                  <w:tcW w:w="7371" w:type="dxa"/>
                                  <w:tcBorders>
                                    <w:top w:val="nil"/>
                                    <w:left w:val="nil"/>
                                    <w:bottom w:val="single" w:sz="4" w:space="0" w:color="auto"/>
                                    <w:right w:val="single" w:sz="4" w:space="0" w:color="auto"/>
                                  </w:tcBorders>
                                  <w:shd w:val="clear" w:color="auto" w:fill="auto"/>
                                  <w:vAlign w:val="center"/>
                                  <w:hideMark/>
                                </w:tcPr>
                                <w:p w14:paraId="57DC28DA"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人工智慧</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機器學習技術之醫療器材軟體查驗登記技術指引</w:t>
                                  </w:r>
                                </w:p>
                              </w:tc>
                            </w:tr>
                            <w:tr w:rsidR="00A0212B" w:rsidRPr="00A618CA" w14:paraId="3513C366"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1B68108C"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24F798B"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111.02</w:t>
                                  </w:r>
                                </w:p>
                              </w:tc>
                              <w:tc>
                                <w:tcPr>
                                  <w:tcW w:w="7371" w:type="dxa"/>
                                  <w:tcBorders>
                                    <w:top w:val="nil"/>
                                    <w:left w:val="nil"/>
                                    <w:bottom w:val="single" w:sz="4" w:space="0" w:color="auto"/>
                                    <w:right w:val="single" w:sz="4" w:space="0" w:color="auto"/>
                                  </w:tcBorders>
                                  <w:shd w:val="clear" w:color="auto" w:fill="auto"/>
                                  <w:vAlign w:val="center"/>
                                  <w:hideMark/>
                                </w:tcPr>
                                <w:p w14:paraId="3DF68331"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無顯著風險之人工智慧</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機器學習技術醫療器材軟體臨床試驗態樣說明及示例</w:t>
                                  </w:r>
                                </w:p>
                              </w:tc>
                            </w:tr>
                            <w:tr w:rsidR="00A0212B" w:rsidRPr="00A618CA" w14:paraId="563E6302"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523BED4E"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600BAD97"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111.09</w:t>
                                  </w:r>
                                </w:p>
                              </w:tc>
                              <w:tc>
                                <w:tcPr>
                                  <w:tcW w:w="7371" w:type="dxa"/>
                                  <w:tcBorders>
                                    <w:top w:val="nil"/>
                                    <w:left w:val="nil"/>
                                    <w:bottom w:val="single" w:sz="4" w:space="0" w:color="auto"/>
                                    <w:right w:val="single" w:sz="4" w:space="0" w:color="auto"/>
                                  </w:tcBorders>
                                  <w:shd w:val="clear" w:color="auto" w:fill="auto"/>
                                  <w:vAlign w:val="center"/>
                                  <w:hideMark/>
                                </w:tcPr>
                                <w:p w14:paraId="3B0F550B"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人工智慧</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機器學習技術之電腦輔助偵測</w:t>
                                  </w:r>
                                  <w:r>
                                    <w:rPr>
                                      <w:rFonts w:ascii="標楷體" w:eastAsia="標楷體" w:hAnsi="標楷體" w:cs="新細明體" w:hint="eastAsia"/>
                                      <w:color w:val="000000"/>
                                      <w:kern w:val="0"/>
                                      <w:sz w:val="20"/>
                                    </w:rPr>
                                    <w:t>（CADe）</w:t>
                                  </w:r>
                                  <w:r w:rsidRPr="005B3F3E">
                                    <w:rPr>
                                      <w:rFonts w:ascii="標楷體" w:eastAsia="標楷體" w:hAnsi="標楷體" w:cs="新細明體" w:hint="eastAsia"/>
                                      <w:color w:val="000000"/>
                                      <w:kern w:val="0"/>
                                      <w:sz w:val="20"/>
                                    </w:rPr>
                                    <w:t>及電腦輔助診斷</w:t>
                                  </w:r>
                                  <w:r>
                                    <w:rPr>
                                      <w:rFonts w:ascii="標楷體" w:eastAsia="標楷體" w:hAnsi="標楷體" w:cs="新細明體" w:hint="eastAsia"/>
                                      <w:color w:val="000000"/>
                                      <w:kern w:val="0"/>
                                      <w:sz w:val="20"/>
                                    </w:rPr>
                                    <w:t>（CADx）</w:t>
                                  </w:r>
                                  <w:r w:rsidRPr="005B3F3E">
                                    <w:rPr>
                                      <w:rFonts w:ascii="標楷體" w:eastAsia="標楷體" w:hAnsi="標楷體" w:cs="新細明體" w:hint="eastAsia"/>
                                      <w:color w:val="000000"/>
                                      <w:kern w:val="0"/>
                                      <w:sz w:val="20"/>
                                    </w:rPr>
                                    <w:t>醫療器材查驗</w:t>
                                  </w:r>
                                  <w:r>
                                    <w:rPr>
                                      <w:rFonts w:ascii="標楷體" w:eastAsia="標楷體" w:hAnsi="標楷體" w:cs="新細明體" w:hint="eastAsia"/>
                                      <w:color w:val="000000"/>
                                      <w:kern w:val="0"/>
                                      <w:sz w:val="20"/>
                                    </w:rPr>
                                    <w:t>登</w:t>
                                  </w:r>
                                  <w:r w:rsidRPr="005B3F3E">
                                    <w:rPr>
                                      <w:rFonts w:ascii="標楷體" w:eastAsia="標楷體" w:hAnsi="標楷體" w:cs="新細明體" w:hint="eastAsia"/>
                                      <w:color w:val="000000"/>
                                      <w:kern w:val="0"/>
                                      <w:sz w:val="20"/>
                                    </w:rPr>
                                    <w:t>記技術指引</w:t>
                                  </w:r>
                                </w:p>
                              </w:tc>
                            </w:tr>
                            <w:tr w:rsidR="00A0212B" w:rsidRPr="00A618CA" w14:paraId="782FDD1B"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32691FAA"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5F091BB"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112.09</w:t>
                                  </w:r>
                                </w:p>
                              </w:tc>
                              <w:tc>
                                <w:tcPr>
                                  <w:tcW w:w="7371" w:type="dxa"/>
                                  <w:tcBorders>
                                    <w:top w:val="nil"/>
                                    <w:left w:val="nil"/>
                                    <w:bottom w:val="single" w:sz="4" w:space="0" w:color="auto"/>
                                    <w:right w:val="single" w:sz="4" w:space="0" w:color="auto"/>
                                  </w:tcBorders>
                                  <w:shd w:val="clear" w:color="auto" w:fill="auto"/>
                                  <w:vAlign w:val="center"/>
                                  <w:hideMark/>
                                </w:tcPr>
                                <w:p w14:paraId="791365A8"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人工智慧</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機器學習技術之電腦輔助分流</w:t>
                                  </w:r>
                                  <w:r>
                                    <w:rPr>
                                      <w:rFonts w:ascii="標楷體" w:eastAsia="標楷體" w:hAnsi="標楷體" w:cs="新細明體" w:hint="eastAsia"/>
                                      <w:color w:val="000000"/>
                                      <w:kern w:val="0"/>
                                      <w:sz w:val="20"/>
                                    </w:rPr>
                                    <w:t>（Computer Aided Triage）</w:t>
                                  </w:r>
                                  <w:r w:rsidRPr="005B3F3E">
                                    <w:rPr>
                                      <w:rFonts w:ascii="標楷體" w:eastAsia="標楷體" w:hAnsi="標楷體" w:cs="新細明體" w:hint="eastAsia"/>
                                      <w:color w:val="000000"/>
                                      <w:kern w:val="0"/>
                                      <w:sz w:val="20"/>
                                    </w:rPr>
                                    <w:t>醫療器材軟體查驗登記技術指引</w:t>
                                  </w:r>
                                </w:p>
                              </w:tc>
                            </w:tr>
                            <w:tr w:rsidR="00A0212B" w:rsidRPr="00A618CA" w14:paraId="122CAD0B"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5F425768"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F2021B4"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113.01</w:t>
                                  </w:r>
                                </w:p>
                              </w:tc>
                              <w:tc>
                                <w:tcPr>
                                  <w:tcW w:w="7371" w:type="dxa"/>
                                  <w:tcBorders>
                                    <w:top w:val="nil"/>
                                    <w:left w:val="nil"/>
                                    <w:bottom w:val="single" w:sz="4" w:space="0" w:color="auto"/>
                                    <w:right w:val="single" w:sz="4" w:space="0" w:color="auto"/>
                                  </w:tcBorders>
                                  <w:shd w:val="clear" w:color="auto" w:fill="auto"/>
                                  <w:vAlign w:val="center"/>
                                  <w:hideMark/>
                                </w:tcPr>
                                <w:p w14:paraId="5EB99F9A"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通訊診察治療辦法</w:t>
                                  </w:r>
                                </w:p>
                              </w:tc>
                            </w:tr>
                          </w:tbl>
                          <w:p w14:paraId="56F72728" w14:textId="77777777" w:rsidR="00A0212B" w:rsidRDefault="00A0212B" w:rsidP="003140FD">
                            <w:pPr>
                              <w:spacing w:line="240" w:lineRule="exact"/>
                            </w:pPr>
                            <w:r w:rsidRPr="005B3F3E">
                              <w:rPr>
                                <w:rFonts w:ascii="標楷體" w:eastAsia="標楷體" w:hAnsi="標楷體" w:hint="eastAsia"/>
                                <w:sz w:val="18"/>
                                <w:szCs w:val="18"/>
                              </w:rPr>
                              <w:t>資料來源：整理自國家科學及技術委員會提供資料。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ED0D64" id="文字方塊 106" o:spid="_x0000_s1085" type="#_x0000_t202" style="position:absolute;left:0;text-align:left;margin-left:-6.5pt;margin-top:439.7pt;width:502.4pt;height:244.15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" o:allowoverlap="f" filled="f" stroked="f">
                <v:textbox>
                  <w:txbxContent>
                    <w:p w14:paraId="0D3B6B94" w14:textId="66DEEDD6" w:rsidR="00A0212B" w:rsidRPr="005B3F3E" w:rsidRDefault="00A0212B" w:rsidP="003140FD">
                      <w:pPr>
                        <w:spacing w:line="240" w:lineRule="exact"/>
                        <w:jc w:val="center"/>
                        <w:rPr>
                          <w:rFonts w:ascii="標楷體" w:eastAsia="標楷體" w:hAnsi="標楷體"/>
                          <w:b/>
                        </w:rPr>
                      </w:pPr>
                      <w:r w:rsidRPr="005B3F3E">
                        <w:rPr>
                          <w:rFonts w:ascii="標楷體" w:eastAsia="標楷體" w:hAnsi="標楷體" w:hint="eastAsia"/>
                          <w:b/>
                        </w:rPr>
                        <w:t>表</w:t>
                      </w:r>
                      <w:r>
                        <w:rPr>
                          <w:rFonts w:ascii="標楷體" w:eastAsia="標楷體" w:hAnsi="標楷體" w:hint="eastAsia"/>
                          <w:b/>
                        </w:rPr>
                        <w:t>2</w:t>
                      </w:r>
                      <w:r>
                        <w:rPr>
                          <w:rFonts w:ascii="標楷體" w:eastAsia="標楷體" w:hAnsi="標楷體"/>
                          <w:b/>
                        </w:rPr>
                        <w:t>1</w:t>
                      </w:r>
                      <w:r w:rsidRPr="005B3F3E">
                        <w:rPr>
                          <w:rFonts w:ascii="標楷體" w:eastAsia="標楷體" w:hAnsi="標楷體" w:hint="eastAsia"/>
                          <w:b/>
                        </w:rPr>
                        <w:t xml:space="preserve">　截至1</w:t>
                      </w:r>
                      <w:r w:rsidRPr="005B3F3E">
                        <w:rPr>
                          <w:rFonts w:ascii="標楷體" w:eastAsia="標楷體" w:hAnsi="標楷體"/>
                          <w:b/>
                        </w:rPr>
                        <w:t>13</w:t>
                      </w:r>
                      <w:r w:rsidRPr="005B3F3E">
                        <w:rPr>
                          <w:rFonts w:ascii="標楷體" w:eastAsia="標楷體" w:hAnsi="標楷體" w:hint="eastAsia"/>
                          <w:b/>
                        </w:rPr>
                        <w:t>年4</w:t>
                      </w:r>
                      <w:r>
                        <w:rPr>
                          <w:rFonts w:ascii="標楷體" w:eastAsia="標楷體" w:hAnsi="標楷體" w:hint="eastAsia"/>
                          <w:b/>
                        </w:rPr>
                        <w:t>月底</w:t>
                      </w:r>
                      <w:r w:rsidRPr="005B3F3E">
                        <w:rPr>
                          <w:rFonts w:ascii="標楷體" w:eastAsia="標楷體" w:hAnsi="標楷體" w:hint="eastAsia"/>
                          <w:b/>
                        </w:rPr>
                        <w:t>各部會發布AI相關指引或規範情形</w:t>
                      </w:r>
                    </w:p>
                    <w:tbl>
                      <w:tblPr>
                        <w:tblW w:w="9781" w:type="dxa"/>
                        <w:tblInd w:w="-5" w:type="dxa"/>
                        <w:tblCellMar>
                          <w:left w:w="28" w:type="dxa"/>
                          <w:right w:w="28" w:type="dxa"/>
                        </w:tblCellMar>
                        <w:tblLook w:val="04A0" w:firstRow="1" w:lastRow="0" w:firstColumn="1" w:lastColumn="0" w:noHBand="0" w:noVBand="1"/>
                      </w:tblPr>
                      <w:tblGrid>
                        <w:gridCol w:w="1276"/>
                        <w:gridCol w:w="1134"/>
                        <w:gridCol w:w="7371"/>
                      </w:tblGrid>
                      <w:tr w:rsidR="00A0212B" w:rsidRPr="00A618CA" w14:paraId="149179CB" w14:textId="77777777" w:rsidTr="000554CC">
                        <w:trPr>
                          <w:trHeight w:val="20"/>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AC50A"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主管機關</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B85D3EB" w14:textId="3E2534E4" w:rsidR="00A0212B" w:rsidRPr="005B3F3E" w:rsidRDefault="00A0212B">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發布</w:t>
                            </w:r>
                            <w:r>
                              <w:rPr>
                                <w:rFonts w:ascii="標楷體" w:eastAsia="標楷體" w:hAnsi="標楷體" w:cs="新細明體" w:hint="eastAsia"/>
                                <w:color w:val="000000"/>
                                <w:kern w:val="0"/>
                                <w:sz w:val="20"/>
                              </w:rPr>
                              <w:t>年月</w:t>
                            </w:r>
                          </w:p>
                        </w:tc>
                        <w:tc>
                          <w:tcPr>
                            <w:tcW w:w="7371" w:type="dxa"/>
                            <w:tcBorders>
                              <w:top w:val="single" w:sz="4" w:space="0" w:color="auto"/>
                              <w:left w:val="nil"/>
                              <w:bottom w:val="single" w:sz="4" w:space="0" w:color="auto"/>
                              <w:right w:val="single" w:sz="4" w:space="0" w:color="auto"/>
                            </w:tcBorders>
                            <w:shd w:val="clear" w:color="auto" w:fill="auto"/>
                            <w:noWrap/>
                            <w:vAlign w:val="center"/>
                            <w:hideMark/>
                          </w:tcPr>
                          <w:p w14:paraId="181FBC8F"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名稱</w:t>
                            </w:r>
                          </w:p>
                        </w:tc>
                      </w:tr>
                      <w:tr w:rsidR="00A0212B" w:rsidRPr="00A618CA" w14:paraId="4FE04F92" w14:textId="77777777" w:rsidTr="000554CC">
                        <w:trPr>
                          <w:trHeight w:val="20"/>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FA0AEF"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行政院</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282306B"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w:t>
                            </w:r>
                            <w:r w:rsidRPr="005B3F3E">
                              <w:rPr>
                                <w:rFonts w:ascii="標楷體" w:eastAsia="標楷體" w:hAnsi="標楷體" w:cs="新細明體"/>
                                <w:color w:val="000000"/>
                                <w:kern w:val="0"/>
                                <w:sz w:val="20"/>
                              </w:rPr>
                              <w:t>12.10</w:t>
                            </w:r>
                          </w:p>
                        </w:tc>
                        <w:tc>
                          <w:tcPr>
                            <w:tcW w:w="7371" w:type="dxa"/>
                            <w:tcBorders>
                              <w:top w:val="single" w:sz="4" w:space="0" w:color="auto"/>
                              <w:left w:val="nil"/>
                              <w:bottom w:val="single" w:sz="4" w:space="0" w:color="auto"/>
                              <w:right w:val="single" w:sz="4" w:space="0" w:color="auto"/>
                            </w:tcBorders>
                            <w:shd w:val="clear" w:color="auto" w:fill="auto"/>
                            <w:noWrap/>
                            <w:vAlign w:val="center"/>
                          </w:tcPr>
                          <w:p w14:paraId="4788382F"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color w:val="000000"/>
                                <w:kern w:val="0"/>
                                <w:sz w:val="20"/>
                              </w:rPr>
                              <w:t>行政院及所屬機關（構</w:t>
                            </w:r>
                            <w:r>
                              <w:rPr>
                                <w:rFonts w:ascii="標楷體" w:eastAsia="標楷體" w:hAnsi="標楷體" w:cs="新細明體"/>
                                <w:color w:val="000000"/>
                                <w:kern w:val="0"/>
                                <w:sz w:val="20"/>
                              </w:rPr>
                              <w:t>）</w:t>
                            </w:r>
                            <w:r w:rsidRPr="005B3F3E">
                              <w:rPr>
                                <w:rFonts w:ascii="標楷體" w:eastAsia="標楷體" w:hAnsi="標楷體" w:cs="新細明體"/>
                                <w:color w:val="000000"/>
                                <w:kern w:val="0"/>
                                <w:sz w:val="20"/>
                              </w:rPr>
                              <w:t>使用生成式AI參考指引</w:t>
                            </w:r>
                          </w:p>
                        </w:tc>
                      </w:tr>
                      <w:tr w:rsidR="00A0212B" w:rsidRPr="00A618CA" w14:paraId="15C01946" w14:textId="77777777" w:rsidTr="000554CC">
                        <w:trPr>
                          <w:trHeight w:val="20"/>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596E7A" w14:textId="77777777" w:rsidR="00A0212B" w:rsidRDefault="00A0212B" w:rsidP="000554C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金融監督</w:t>
                            </w:r>
                          </w:p>
                          <w:p w14:paraId="60F02160"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管理委員會</w:t>
                            </w:r>
                          </w:p>
                        </w:tc>
                        <w:tc>
                          <w:tcPr>
                            <w:tcW w:w="1134" w:type="dxa"/>
                            <w:tcBorders>
                              <w:top w:val="nil"/>
                              <w:left w:val="nil"/>
                              <w:bottom w:val="single" w:sz="4" w:space="0" w:color="auto"/>
                              <w:right w:val="single" w:sz="4" w:space="0" w:color="auto"/>
                            </w:tcBorders>
                            <w:shd w:val="clear" w:color="auto" w:fill="auto"/>
                            <w:noWrap/>
                            <w:vAlign w:val="center"/>
                            <w:hideMark/>
                          </w:tcPr>
                          <w:p w14:paraId="773D3ECE"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111.04</w:t>
                            </w:r>
                          </w:p>
                        </w:tc>
                        <w:tc>
                          <w:tcPr>
                            <w:tcW w:w="7371" w:type="dxa"/>
                            <w:tcBorders>
                              <w:top w:val="nil"/>
                              <w:left w:val="nil"/>
                              <w:bottom w:val="single" w:sz="4" w:space="0" w:color="auto"/>
                              <w:right w:val="single" w:sz="4" w:space="0" w:color="auto"/>
                            </w:tcBorders>
                            <w:shd w:val="clear" w:color="auto" w:fill="auto"/>
                            <w:vAlign w:val="center"/>
                            <w:hideMark/>
                          </w:tcPr>
                          <w:p w14:paraId="039F6A5D" w14:textId="346ADC15" w:rsidR="00A0212B" w:rsidRPr="005B3F3E" w:rsidRDefault="00A0212B">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核備投信投顧公會修正「證券投資顧問事業以自動化工具提供證券投資顧問服務（Robo</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Ad</w:t>
                            </w:r>
                            <w:r>
                              <w:rPr>
                                <w:rFonts w:ascii="標楷體" w:eastAsia="標楷體" w:hAnsi="標楷體" w:cs="新細明體"/>
                                <w:color w:val="000000"/>
                                <w:kern w:val="0"/>
                                <w:sz w:val="20"/>
                              </w:rPr>
                              <w:t>v</w:t>
                            </w:r>
                            <w:r w:rsidRPr="005B3F3E">
                              <w:rPr>
                                <w:rFonts w:ascii="標楷體" w:eastAsia="標楷體" w:hAnsi="標楷體" w:cs="新細明體" w:hint="eastAsia"/>
                                <w:color w:val="000000"/>
                                <w:kern w:val="0"/>
                                <w:sz w:val="20"/>
                              </w:rPr>
                              <w:t>isor</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作業要點」</w:t>
                            </w:r>
                          </w:p>
                        </w:tc>
                      </w:tr>
                      <w:tr w:rsidR="00A0212B" w:rsidRPr="00A618CA" w14:paraId="1E8A145C"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059661B5"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752F16F8"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111.09</w:t>
                            </w:r>
                          </w:p>
                        </w:tc>
                        <w:tc>
                          <w:tcPr>
                            <w:tcW w:w="7371" w:type="dxa"/>
                            <w:tcBorders>
                              <w:top w:val="nil"/>
                              <w:left w:val="nil"/>
                              <w:bottom w:val="single" w:sz="4" w:space="0" w:color="auto"/>
                              <w:right w:val="single" w:sz="4" w:space="0" w:color="auto"/>
                            </w:tcBorders>
                            <w:shd w:val="clear" w:color="auto" w:fill="auto"/>
                            <w:vAlign w:val="center"/>
                            <w:hideMark/>
                          </w:tcPr>
                          <w:p w14:paraId="2A912D78"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核備證券期貨業公會修訂「新興科技資通安全自律規範」</w:t>
                            </w:r>
                          </w:p>
                        </w:tc>
                      </w:tr>
                      <w:tr w:rsidR="00A0212B" w:rsidRPr="00A618CA" w14:paraId="128E1BE9"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323BD701"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3CB40313"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112.10</w:t>
                            </w:r>
                          </w:p>
                        </w:tc>
                        <w:tc>
                          <w:tcPr>
                            <w:tcW w:w="7371" w:type="dxa"/>
                            <w:tcBorders>
                              <w:top w:val="nil"/>
                              <w:left w:val="nil"/>
                              <w:bottom w:val="single" w:sz="4" w:space="0" w:color="auto"/>
                              <w:right w:val="single" w:sz="4" w:space="0" w:color="auto"/>
                            </w:tcBorders>
                            <w:shd w:val="clear" w:color="auto" w:fill="auto"/>
                            <w:vAlign w:val="center"/>
                            <w:hideMark/>
                          </w:tcPr>
                          <w:p w14:paraId="60E6D534"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金融業運用人工智慧（AI</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之核心原則與相關推動政策</w:t>
                            </w:r>
                          </w:p>
                        </w:tc>
                      </w:tr>
                      <w:tr w:rsidR="00A0212B" w:rsidRPr="00A618CA" w14:paraId="31711E76"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70D18253"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30818B56"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預計113年公告或發布</w:t>
                            </w:r>
                          </w:p>
                        </w:tc>
                        <w:tc>
                          <w:tcPr>
                            <w:tcW w:w="7371" w:type="dxa"/>
                            <w:tcBorders>
                              <w:top w:val="nil"/>
                              <w:left w:val="nil"/>
                              <w:bottom w:val="single" w:sz="4" w:space="0" w:color="auto"/>
                              <w:right w:val="single" w:sz="4" w:space="0" w:color="auto"/>
                            </w:tcBorders>
                            <w:shd w:val="clear" w:color="auto" w:fill="auto"/>
                            <w:vAlign w:val="center"/>
                            <w:hideMark/>
                          </w:tcPr>
                          <w:p w14:paraId="74CB2C58"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金融業運用AI指引</w:t>
                            </w:r>
                          </w:p>
                        </w:tc>
                      </w:tr>
                      <w:tr w:rsidR="00A0212B" w:rsidRPr="00A618CA" w14:paraId="05051E19"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5BAA5D52"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vMerge/>
                            <w:tcBorders>
                              <w:top w:val="nil"/>
                              <w:left w:val="single" w:sz="4" w:space="0" w:color="auto"/>
                              <w:bottom w:val="single" w:sz="4" w:space="0" w:color="auto"/>
                              <w:right w:val="single" w:sz="4" w:space="0" w:color="auto"/>
                            </w:tcBorders>
                            <w:vAlign w:val="center"/>
                            <w:hideMark/>
                          </w:tcPr>
                          <w:p w14:paraId="31CB056E"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p>
                        </w:tc>
                        <w:tc>
                          <w:tcPr>
                            <w:tcW w:w="7371" w:type="dxa"/>
                            <w:tcBorders>
                              <w:top w:val="nil"/>
                              <w:left w:val="nil"/>
                              <w:bottom w:val="single" w:sz="4" w:space="0" w:color="auto"/>
                              <w:right w:val="single" w:sz="4" w:space="0" w:color="auto"/>
                            </w:tcBorders>
                            <w:shd w:val="clear" w:color="auto" w:fill="auto"/>
                            <w:vAlign w:val="center"/>
                            <w:hideMark/>
                          </w:tcPr>
                          <w:p w14:paraId="549C235A"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銀行公會提報「金融機構運用人工智慧技術自律規範」</w:t>
                            </w:r>
                          </w:p>
                        </w:tc>
                      </w:tr>
                      <w:tr w:rsidR="00A0212B" w:rsidRPr="00A618CA" w14:paraId="4860672B"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306055DD"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vMerge/>
                            <w:tcBorders>
                              <w:top w:val="nil"/>
                              <w:left w:val="single" w:sz="4" w:space="0" w:color="auto"/>
                              <w:bottom w:val="single" w:sz="4" w:space="0" w:color="auto"/>
                              <w:right w:val="single" w:sz="4" w:space="0" w:color="auto"/>
                            </w:tcBorders>
                            <w:vAlign w:val="center"/>
                            <w:hideMark/>
                          </w:tcPr>
                          <w:p w14:paraId="7ACABC46"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p>
                        </w:tc>
                        <w:tc>
                          <w:tcPr>
                            <w:tcW w:w="7371" w:type="dxa"/>
                            <w:tcBorders>
                              <w:top w:val="nil"/>
                              <w:left w:val="nil"/>
                              <w:bottom w:val="single" w:sz="4" w:space="0" w:color="auto"/>
                              <w:right w:val="single" w:sz="4" w:space="0" w:color="auto"/>
                            </w:tcBorders>
                            <w:shd w:val="clear" w:color="auto" w:fill="auto"/>
                            <w:vAlign w:val="center"/>
                            <w:hideMark/>
                          </w:tcPr>
                          <w:p w14:paraId="4EA5C416"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期交所及期貨公會完成修正「證券期貨市場相關公會新興科技資通安全管控指引」及「新興科技資通安全自律規範」</w:t>
                            </w:r>
                          </w:p>
                        </w:tc>
                      </w:tr>
                      <w:tr w:rsidR="00A0212B" w:rsidRPr="00A618CA" w14:paraId="34181846" w14:textId="77777777" w:rsidTr="000554CC">
                        <w:trPr>
                          <w:trHeight w:val="20"/>
                        </w:trPr>
                        <w:tc>
                          <w:tcPr>
                            <w:tcW w:w="127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62BB08"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衛生福利部</w:t>
                            </w:r>
                          </w:p>
                        </w:tc>
                        <w:tc>
                          <w:tcPr>
                            <w:tcW w:w="1134" w:type="dxa"/>
                            <w:tcBorders>
                              <w:top w:val="nil"/>
                              <w:left w:val="nil"/>
                              <w:bottom w:val="single" w:sz="4" w:space="0" w:color="auto"/>
                              <w:right w:val="single" w:sz="4" w:space="0" w:color="auto"/>
                            </w:tcBorders>
                            <w:shd w:val="clear" w:color="auto" w:fill="auto"/>
                            <w:noWrap/>
                            <w:vAlign w:val="center"/>
                            <w:hideMark/>
                          </w:tcPr>
                          <w:p w14:paraId="27ADF6A7"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110.08</w:t>
                            </w:r>
                          </w:p>
                        </w:tc>
                        <w:tc>
                          <w:tcPr>
                            <w:tcW w:w="7371" w:type="dxa"/>
                            <w:tcBorders>
                              <w:top w:val="nil"/>
                              <w:left w:val="nil"/>
                              <w:bottom w:val="single" w:sz="4" w:space="0" w:color="auto"/>
                              <w:right w:val="single" w:sz="4" w:space="0" w:color="auto"/>
                            </w:tcBorders>
                            <w:shd w:val="clear" w:color="auto" w:fill="auto"/>
                            <w:vAlign w:val="center"/>
                            <w:hideMark/>
                          </w:tcPr>
                          <w:p w14:paraId="57DC28DA"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人工智慧</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機器學習技術之醫療器材軟體查驗登記技術指引</w:t>
                            </w:r>
                          </w:p>
                        </w:tc>
                      </w:tr>
                      <w:tr w:rsidR="00A0212B" w:rsidRPr="00A618CA" w14:paraId="3513C366"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1B68108C"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24F798B"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111.02</w:t>
                            </w:r>
                          </w:p>
                        </w:tc>
                        <w:tc>
                          <w:tcPr>
                            <w:tcW w:w="7371" w:type="dxa"/>
                            <w:tcBorders>
                              <w:top w:val="nil"/>
                              <w:left w:val="nil"/>
                              <w:bottom w:val="single" w:sz="4" w:space="0" w:color="auto"/>
                              <w:right w:val="single" w:sz="4" w:space="0" w:color="auto"/>
                            </w:tcBorders>
                            <w:shd w:val="clear" w:color="auto" w:fill="auto"/>
                            <w:vAlign w:val="center"/>
                            <w:hideMark/>
                          </w:tcPr>
                          <w:p w14:paraId="3DF68331"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無顯著風險之人工智慧</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機器學習技術醫療器材軟體臨床試驗態樣說明及示例</w:t>
                            </w:r>
                          </w:p>
                        </w:tc>
                      </w:tr>
                      <w:tr w:rsidR="00A0212B" w:rsidRPr="00A618CA" w14:paraId="563E6302"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523BED4E"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600BAD97"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111.09</w:t>
                            </w:r>
                          </w:p>
                        </w:tc>
                        <w:tc>
                          <w:tcPr>
                            <w:tcW w:w="7371" w:type="dxa"/>
                            <w:tcBorders>
                              <w:top w:val="nil"/>
                              <w:left w:val="nil"/>
                              <w:bottom w:val="single" w:sz="4" w:space="0" w:color="auto"/>
                              <w:right w:val="single" w:sz="4" w:space="0" w:color="auto"/>
                            </w:tcBorders>
                            <w:shd w:val="clear" w:color="auto" w:fill="auto"/>
                            <w:vAlign w:val="center"/>
                            <w:hideMark/>
                          </w:tcPr>
                          <w:p w14:paraId="3B0F550B"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人工智慧</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機器學習技術之電腦輔助偵測</w:t>
                            </w:r>
                            <w:r>
                              <w:rPr>
                                <w:rFonts w:ascii="標楷體" w:eastAsia="標楷體" w:hAnsi="標楷體" w:cs="新細明體" w:hint="eastAsia"/>
                                <w:color w:val="000000"/>
                                <w:kern w:val="0"/>
                                <w:sz w:val="20"/>
                              </w:rPr>
                              <w:t>（CADe）</w:t>
                            </w:r>
                            <w:r w:rsidRPr="005B3F3E">
                              <w:rPr>
                                <w:rFonts w:ascii="標楷體" w:eastAsia="標楷體" w:hAnsi="標楷體" w:cs="新細明體" w:hint="eastAsia"/>
                                <w:color w:val="000000"/>
                                <w:kern w:val="0"/>
                                <w:sz w:val="20"/>
                              </w:rPr>
                              <w:t>及電腦輔助診斷</w:t>
                            </w:r>
                            <w:r>
                              <w:rPr>
                                <w:rFonts w:ascii="標楷體" w:eastAsia="標楷體" w:hAnsi="標楷體" w:cs="新細明體" w:hint="eastAsia"/>
                                <w:color w:val="000000"/>
                                <w:kern w:val="0"/>
                                <w:sz w:val="20"/>
                              </w:rPr>
                              <w:t>（CADx）</w:t>
                            </w:r>
                            <w:r w:rsidRPr="005B3F3E">
                              <w:rPr>
                                <w:rFonts w:ascii="標楷體" w:eastAsia="標楷體" w:hAnsi="標楷體" w:cs="新細明體" w:hint="eastAsia"/>
                                <w:color w:val="000000"/>
                                <w:kern w:val="0"/>
                                <w:sz w:val="20"/>
                              </w:rPr>
                              <w:t>醫療器材查驗</w:t>
                            </w:r>
                            <w:r>
                              <w:rPr>
                                <w:rFonts w:ascii="標楷體" w:eastAsia="標楷體" w:hAnsi="標楷體" w:cs="新細明體" w:hint="eastAsia"/>
                                <w:color w:val="000000"/>
                                <w:kern w:val="0"/>
                                <w:sz w:val="20"/>
                              </w:rPr>
                              <w:t>登</w:t>
                            </w:r>
                            <w:r w:rsidRPr="005B3F3E">
                              <w:rPr>
                                <w:rFonts w:ascii="標楷體" w:eastAsia="標楷體" w:hAnsi="標楷體" w:cs="新細明體" w:hint="eastAsia"/>
                                <w:color w:val="000000"/>
                                <w:kern w:val="0"/>
                                <w:sz w:val="20"/>
                              </w:rPr>
                              <w:t>記技術指引</w:t>
                            </w:r>
                          </w:p>
                        </w:tc>
                      </w:tr>
                      <w:tr w:rsidR="00A0212B" w:rsidRPr="00A618CA" w14:paraId="782FDD1B"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32691FAA"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5F091BB"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112.09</w:t>
                            </w:r>
                          </w:p>
                        </w:tc>
                        <w:tc>
                          <w:tcPr>
                            <w:tcW w:w="7371" w:type="dxa"/>
                            <w:tcBorders>
                              <w:top w:val="nil"/>
                              <w:left w:val="nil"/>
                              <w:bottom w:val="single" w:sz="4" w:space="0" w:color="auto"/>
                              <w:right w:val="single" w:sz="4" w:space="0" w:color="auto"/>
                            </w:tcBorders>
                            <w:shd w:val="clear" w:color="auto" w:fill="auto"/>
                            <w:vAlign w:val="center"/>
                            <w:hideMark/>
                          </w:tcPr>
                          <w:p w14:paraId="791365A8"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人工智慧</w:t>
                            </w:r>
                            <w:r>
                              <w:rPr>
                                <w:rFonts w:ascii="標楷體" w:eastAsia="標楷體" w:hAnsi="標楷體" w:cs="新細明體" w:hint="eastAsia"/>
                                <w:color w:val="000000"/>
                                <w:kern w:val="0"/>
                                <w:sz w:val="20"/>
                              </w:rPr>
                              <w:t>／</w:t>
                            </w:r>
                            <w:r w:rsidRPr="005B3F3E">
                              <w:rPr>
                                <w:rFonts w:ascii="標楷體" w:eastAsia="標楷體" w:hAnsi="標楷體" w:cs="新細明體" w:hint="eastAsia"/>
                                <w:color w:val="000000"/>
                                <w:kern w:val="0"/>
                                <w:sz w:val="20"/>
                              </w:rPr>
                              <w:t>機器學習技術之電腦輔助分流</w:t>
                            </w:r>
                            <w:r>
                              <w:rPr>
                                <w:rFonts w:ascii="標楷體" w:eastAsia="標楷體" w:hAnsi="標楷體" w:cs="新細明體" w:hint="eastAsia"/>
                                <w:color w:val="000000"/>
                                <w:kern w:val="0"/>
                                <w:sz w:val="20"/>
                              </w:rPr>
                              <w:t>（Computer Aided Triage）</w:t>
                            </w:r>
                            <w:r w:rsidRPr="005B3F3E">
                              <w:rPr>
                                <w:rFonts w:ascii="標楷體" w:eastAsia="標楷體" w:hAnsi="標楷體" w:cs="新細明體" w:hint="eastAsia"/>
                                <w:color w:val="000000"/>
                                <w:kern w:val="0"/>
                                <w:sz w:val="20"/>
                              </w:rPr>
                              <w:t>醫療器材軟體查驗登記技術指引</w:t>
                            </w:r>
                          </w:p>
                        </w:tc>
                      </w:tr>
                      <w:tr w:rsidR="00A0212B" w:rsidRPr="00A618CA" w14:paraId="122CAD0B" w14:textId="77777777" w:rsidTr="000554CC">
                        <w:trPr>
                          <w:trHeight w:val="20"/>
                        </w:trPr>
                        <w:tc>
                          <w:tcPr>
                            <w:tcW w:w="1276" w:type="dxa"/>
                            <w:vMerge/>
                            <w:tcBorders>
                              <w:top w:val="nil"/>
                              <w:left w:val="single" w:sz="4" w:space="0" w:color="auto"/>
                              <w:bottom w:val="single" w:sz="4" w:space="0" w:color="auto"/>
                              <w:right w:val="single" w:sz="4" w:space="0" w:color="auto"/>
                            </w:tcBorders>
                            <w:vAlign w:val="center"/>
                            <w:hideMark/>
                          </w:tcPr>
                          <w:p w14:paraId="5F425768" w14:textId="77777777" w:rsidR="00A0212B" w:rsidRPr="005B3F3E" w:rsidRDefault="00A0212B" w:rsidP="000554CC">
                            <w:pPr>
                              <w:widowControl/>
                              <w:spacing w:line="240" w:lineRule="exact"/>
                              <w:rPr>
                                <w:rFonts w:ascii="標楷體" w:eastAsia="標楷體" w:hAnsi="標楷體" w:cs="新細明體"/>
                                <w:color w:val="000000"/>
                                <w:kern w:val="0"/>
                                <w:sz w:val="20"/>
                              </w:rPr>
                            </w:pPr>
                          </w:p>
                        </w:tc>
                        <w:tc>
                          <w:tcPr>
                            <w:tcW w:w="1134" w:type="dxa"/>
                            <w:tcBorders>
                              <w:top w:val="nil"/>
                              <w:left w:val="nil"/>
                              <w:bottom w:val="single" w:sz="4" w:space="0" w:color="auto"/>
                              <w:right w:val="single" w:sz="4" w:space="0" w:color="auto"/>
                            </w:tcBorders>
                            <w:shd w:val="clear" w:color="auto" w:fill="auto"/>
                            <w:noWrap/>
                            <w:vAlign w:val="center"/>
                            <w:hideMark/>
                          </w:tcPr>
                          <w:p w14:paraId="0F2021B4" w14:textId="77777777" w:rsidR="00A0212B" w:rsidRPr="005B3F3E" w:rsidRDefault="00A0212B" w:rsidP="000554CC">
                            <w:pPr>
                              <w:widowControl/>
                              <w:spacing w:line="240" w:lineRule="exact"/>
                              <w:jc w:val="center"/>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113.01</w:t>
                            </w:r>
                          </w:p>
                        </w:tc>
                        <w:tc>
                          <w:tcPr>
                            <w:tcW w:w="7371" w:type="dxa"/>
                            <w:tcBorders>
                              <w:top w:val="nil"/>
                              <w:left w:val="nil"/>
                              <w:bottom w:val="single" w:sz="4" w:space="0" w:color="auto"/>
                              <w:right w:val="single" w:sz="4" w:space="0" w:color="auto"/>
                            </w:tcBorders>
                            <w:shd w:val="clear" w:color="auto" w:fill="auto"/>
                            <w:vAlign w:val="center"/>
                            <w:hideMark/>
                          </w:tcPr>
                          <w:p w14:paraId="5EB99F9A" w14:textId="77777777" w:rsidR="00A0212B" w:rsidRPr="005B3F3E" w:rsidRDefault="00A0212B" w:rsidP="000554CC">
                            <w:pPr>
                              <w:widowControl/>
                              <w:spacing w:line="240" w:lineRule="exact"/>
                              <w:jc w:val="both"/>
                              <w:rPr>
                                <w:rFonts w:ascii="標楷體" w:eastAsia="標楷體" w:hAnsi="標楷體" w:cs="新細明體"/>
                                <w:color w:val="000000"/>
                                <w:kern w:val="0"/>
                                <w:sz w:val="20"/>
                              </w:rPr>
                            </w:pPr>
                            <w:r w:rsidRPr="005B3F3E">
                              <w:rPr>
                                <w:rFonts w:ascii="標楷體" w:eastAsia="標楷體" w:hAnsi="標楷體" w:cs="新細明體" w:hint="eastAsia"/>
                                <w:color w:val="000000"/>
                                <w:kern w:val="0"/>
                                <w:sz w:val="20"/>
                              </w:rPr>
                              <w:t>通訊診察治療辦法</w:t>
                            </w:r>
                          </w:p>
                        </w:tc>
                      </w:tr>
                    </w:tbl>
                    <w:p w14:paraId="56F72728" w14:textId="77777777" w:rsidR="00A0212B" w:rsidRDefault="00A0212B" w:rsidP="003140FD">
                      <w:pPr>
                        <w:spacing w:line="240" w:lineRule="exact"/>
                      </w:pPr>
                      <w:r w:rsidRPr="005B3F3E">
                        <w:rPr>
                          <w:rFonts w:ascii="標楷體" w:eastAsia="標楷體" w:hAnsi="標楷體" w:hint="eastAsia"/>
                          <w:sz w:val="18"/>
                          <w:szCs w:val="18"/>
                        </w:rPr>
                        <w:t>資料來源：整理自國家科學及技術委員會提供資料。</w:t>
                      </w:r>
                    </w:p>
                  </w:txbxContent>
                </v:textbox>
                <w10:wrap type="topAndBottom" anchorx="margin" anchory="margin"/>
              </v:shape>
            </w:pict>
          </mc:Fallback>
        </mc:AlternateContent>
      </w:r>
      <w:r w:rsidR="00546FBC" w:rsidRPr="004D7C92">
        <w:rPr>
          <w:rFonts w:ascii="標楷體" w:eastAsia="標楷體" w:hAnsi="標楷體"/>
          <w:bCs/>
          <w:color w:val="000000" w:themeColor="text1"/>
          <w:szCs w:val="24"/>
        </w:rPr>
        <w:t>編修。</w:t>
      </w:r>
      <w:bookmarkEnd w:id="12"/>
      <w:r w:rsidR="00CB7CDB">
        <w:rPr>
          <w:rFonts w:hAnsi="標楷體"/>
          <w:color w:val="000000" w:themeColor="text1"/>
          <w:szCs w:val="24"/>
        </w:rPr>
        <w:br w:type="page"/>
      </w:r>
    </w:p>
    <w:p w14:paraId="7A2B1A65" w14:textId="66737AD1" w:rsidR="00A03E51" w:rsidRPr="006F2D26" w:rsidRDefault="00A03E51" w:rsidP="00A03E51">
      <w:pPr>
        <w:pStyle w:val="2"/>
        <w:overflowPunct w:val="0"/>
        <w:spacing w:beforeLines="20" w:before="72" w:afterLines="20" w:after="72" w:line="430" w:lineRule="exact"/>
        <w:ind w:left="0" w:firstLineChars="200" w:firstLine="577"/>
        <w:rPr>
          <w:rFonts w:hAnsi="標楷體"/>
          <w:b/>
          <w:color w:val="000000" w:themeColor="text1"/>
          <w:sz w:val="28"/>
          <w:szCs w:val="28"/>
        </w:rPr>
      </w:pPr>
      <w:r w:rsidRPr="004D7C92">
        <w:rPr>
          <w:rFonts w:hAnsi="標楷體" w:hint="eastAsia"/>
          <w:b/>
          <w:color w:val="000000" w:themeColor="text1"/>
          <w:spacing w:val="4"/>
          <w:sz w:val="28"/>
          <w:szCs w:val="28"/>
        </w:rPr>
        <w:lastRenderedPageBreak/>
        <w:t>（十</w:t>
      </w:r>
      <w:r w:rsidR="00781889">
        <w:rPr>
          <w:rFonts w:hAnsi="標楷體" w:hint="eastAsia"/>
          <w:b/>
          <w:color w:val="000000" w:themeColor="text1"/>
          <w:spacing w:val="4"/>
          <w:sz w:val="28"/>
          <w:szCs w:val="28"/>
        </w:rPr>
        <w:t>五</w:t>
      </w:r>
      <w:r w:rsidRPr="004D7C92">
        <w:rPr>
          <w:rFonts w:hAnsi="標楷體" w:hint="eastAsia"/>
          <w:b/>
          <w:color w:val="000000" w:themeColor="text1"/>
          <w:spacing w:val="4"/>
          <w:sz w:val="28"/>
          <w:szCs w:val="28"/>
        </w:rPr>
        <w:t xml:space="preserve">）　</w:t>
      </w:r>
      <w:r w:rsidRPr="006F2D26">
        <w:rPr>
          <w:rFonts w:hAnsi="標楷體" w:hint="eastAsia"/>
          <w:b/>
          <w:color w:val="000000" w:themeColor="text1"/>
          <w:sz w:val="28"/>
          <w:szCs w:val="28"/>
        </w:rPr>
        <w:t>政府致力推動性別主流化工作，整體性別預算經費規模及執行率均創新高，惟部分機關（構）</w:t>
      </w:r>
      <w:r w:rsidR="006F2D26" w:rsidRPr="006F2D26">
        <w:rPr>
          <w:rFonts w:hAnsi="標楷體" w:hint="eastAsia"/>
          <w:b/>
          <w:color w:val="000000" w:themeColor="text1"/>
          <w:sz w:val="28"/>
          <w:szCs w:val="28"/>
        </w:rPr>
        <w:t>、基金</w:t>
      </w:r>
      <w:r w:rsidRPr="006F2D26">
        <w:rPr>
          <w:rFonts w:hAnsi="標楷體" w:hint="eastAsia"/>
          <w:b/>
          <w:color w:val="000000" w:themeColor="text1"/>
          <w:sz w:val="28"/>
          <w:szCs w:val="28"/>
        </w:rPr>
        <w:t>性別預算執行率或業務推動情形未盡理想，部分性別平等重要議題執行成效尚待提升或妥為追蹤揭露等，均待研謀改善。</w:t>
      </w:r>
    </w:p>
    <w:p w14:paraId="62A07F8A" w14:textId="77777777" w:rsidR="00A03E51" w:rsidRPr="004D7C92" w:rsidRDefault="00A03E51" w:rsidP="00A03E51">
      <w:pPr>
        <w:overflowPunct w:val="0"/>
        <w:snapToGrid w:val="0"/>
        <w:spacing w:line="430" w:lineRule="exact"/>
        <w:ind w:firstLineChars="200" w:firstLine="496"/>
        <w:jc w:val="both"/>
        <w:rPr>
          <w:rFonts w:ascii="標楷體" w:eastAsia="標楷體" w:hAnsi="標楷體"/>
          <w:noProof/>
          <w:spacing w:val="4"/>
          <w:szCs w:val="24"/>
        </w:rPr>
      </w:pPr>
      <w:r w:rsidRPr="004D7C92">
        <w:rPr>
          <w:rFonts w:ascii="標楷體" w:eastAsia="標楷體" w:hAnsi="標楷體" w:hint="eastAsia"/>
          <w:noProof/>
          <w:spacing w:val="4"/>
          <w:szCs w:val="24"/>
        </w:rPr>
        <w:t>行政院自</w:t>
      </w:r>
      <w:r w:rsidRPr="004D7C92">
        <w:rPr>
          <w:rFonts w:ascii="標楷體" w:eastAsia="標楷體" w:hAnsi="標楷體"/>
          <w:noProof/>
          <w:spacing w:val="4"/>
          <w:szCs w:val="24"/>
        </w:rPr>
        <w:t>94年度起開始積極推動性別主流化工作，以性別統計、性別預算、性別影響評估、性別分析、性別意識培力、性別平等專案小組等，作為主要推動工具，督導各部會分階段推動促進性別平等工作，嗣於101年度成立性別平等處，並將「行政院婦女權益促進委員會」擴大為「行政院性別平等會」（由性別平等處負責幕僚工作），統合跨部會各項性別平等政策，持續督導落實性別主流化。經查，行政院及所屬各部會112年度編列及執行性別預算，及推動性別平等重要議題情形，核有下列事項：</w:t>
      </w:r>
    </w:p>
    <w:p w14:paraId="4249ABDF" w14:textId="4738484D" w:rsidR="00A03E51" w:rsidRPr="00126AE4" w:rsidRDefault="00A03E51" w:rsidP="006F2D26">
      <w:pPr>
        <w:overflowPunct w:val="0"/>
        <w:snapToGrid w:val="0"/>
        <w:spacing w:line="460" w:lineRule="exact"/>
        <w:ind w:firstLineChars="350" w:firstLine="1121"/>
        <w:jc w:val="both"/>
        <w:rPr>
          <w:rFonts w:hAnsi="標楷體"/>
          <w:noProof/>
          <w:szCs w:val="24"/>
        </w:rPr>
      </w:pPr>
      <w:r w:rsidRPr="004D7C92">
        <w:rPr>
          <w:rFonts w:ascii="標楷體" w:eastAsia="標楷體" w:hAnsi="標楷體"/>
          <w:b/>
          <w:noProof/>
          <w:spacing w:val="6"/>
          <w:sz w:val="32"/>
          <w:szCs w:val="32"/>
        </w:rPr>
        <mc:AlternateContent>
          <mc:Choice Requires="wps">
            <w:drawing>
              <wp:anchor distT="45720" distB="45720" distL="114300" distR="114300" simplePos="0" relativeHeight="251645952" behindDoc="0" locked="0" layoutInCell="1" allowOverlap="1" wp14:anchorId="5CF99610" wp14:editId="7853A70A">
                <wp:simplePos x="0" y="0"/>
                <wp:positionH relativeFrom="margin">
                  <wp:posOffset>48895</wp:posOffset>
                </wp:positionH>
                <wp:positionV relativeFrom="paragraph">
                  <wp:posOffset>1596390</wp:posOffset>
                </wp:positionV>
                <wp:extent cx="6248400" cy="2801620"/>
                <wp:effectExtent l="0" t="0" r="0" b="0"/>
                <wp:wrapSquare wrapText="bothSides"/>
                <wp:docPr id="8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2801620"/>
                        </a:xfrm>
                        <a:prstGeom prst="rect">
                          <a:avLst/>
                        </a:prstGeom>
                        <a:solidFill>
                          <a:srgbClr val="FFFFFF"/>
                        </a:solidFill>
                        <a:ln w="9525">
                          <a:noFill/>
                          <a:miter lim="800000"/>
                          <a:headEnd/>
                          <a:tailEnd/>
                        </a:ln>
                      </wps:spPr>
                      <wps:txbx>
                        <w:txbxContent>
                          <w:tbl>
                            <w:tblPr>
                              <w:tblW w:w="9581" w:type="dxa"/>
                              <w:jc w:val="center"/>
                              <w:tblLayout w:type="fixed"/>
                              <w:tblCellMar>
                                <w:left w:w="28" w:type="dxa"/>
                                <w:right w:w="28" w:type="dxa"/>
                              </w:tblCellMar>
                              <w:tblLook w:val="04A0" w:firstRow="1" w:lastRow="0" w:firstColumn="1" w:lastColumn="0" w:noHBand="0" w:noVBand="1"/>
                            </w:tblPr>
                            <w:tblGrid>
                              <w:gridCol w:w="737"/>
                              <w:gridCol w:w="737"/>
                              <w:gridCol w:w="737"/>
                              <w:gridCol w:w="737"/>
                              <w:gridCol w:w="737"/>
                              <w:gridCol w:w="737"/>
                              <w:gridCol w:w="737"/>
                              <w:gridCol w:w="737"/>
                              <w:gridCol w:w="737"/>
                              <w:gridCol w:w="737"/>
                              <w:gridCol w:w="737"/>
                              <w:gridCol w:w="737"/>
                              <w:gridCol w:w="737"/>
                            </w:tblGrid>
                            <w:tr w:rsidR="00A0212B" w:rsidRPr="006A3CE2" w14:paraId="7729D8CE" w14:textId="77777777" w:rsidTr="000131EC">
                              <w:trPr>
                                <w:trHeight w:val="330"/>
                                <w:jc w:val="center"/>
                              </w:trPr>
                              <w:tc>
                                <w:tcPr>
                                  <w:tcW w:w="9581" w:type="dxa"/>
                                  <w:gridSpan w:val="13"/>
                                  <w:tcBorders>
                                    <w:top w:val="nil"/>
                                    <w:left w:val="nil"/>
                                    <w:bottom w:val="nil"/>
                                    <w:right w:val="nil"/>
                                  </w:tcBorders>
                                  <w:shd w:val="clear" w:color="auto" w:fill="auto"/>
                                  <w:noWrap/>
                                  <w:vAlign w:val="center"/>
                                  <w:hideMark/>
                                </w:tcPr>
                                <w:p w14:paraId="7ED61D2A" w14:textId="2E71FDFC" w:rsidR="00A0212B" w:rsidRPr="006A3CE2" w:rsidRDefault="00A0212B">
                                  <w:pPr>
                                    <w:widowControl/>
                                    <w:jc w:val="center"/>
                                    <w:rPr>
                                      <w:rFonts w:ascii="標楷體" w:eastAsia="標楷體" w:hAnsi="標楷體" w:cs="新細明體"/>
                                      <w:b/>
                                      <w:bCs/>
                                      <w:color w:val="000000"/>
                                      <w:kern w:val="0"/>
                                      <w:szCs w:val="24"/>
                                    </w:rPr>
                                  </w:pPr>
                                  <w:r w:rsidRPr="00A61463">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22</w:t>
                                  </w:r>
                                  <w:r>
                                    <w:rPr>
                                      <w:rFonts w:ascii="標楷體" w:eastAsia="標楷體" w:hAnsi="標楷體" w:cs="新細明體" w:hint="eastAsia"/>
                                      <w:b/>
                                      <w:bCs/>
                                      <w:color w:val="000000"/>
                                      <w:kern w:val="0"/>
                                      <w:szCs w:val="24"/>
                                    </w:rPr>
                                    <w:t xml:space="preserve">　</w:t>
                                  </w:r>
                                  <w:r w:rsidRPr="006A3CE2">
                                    <w:rPr>
                                      <w:rFonts w:ascii="標楷體" w:eastAsia="標楷體" w:hAnsi="標楷體" w:cs="新細明體" w:hint="eastAsia"/>
                                      <w:b/>
                                      <w:bCs/>
                                      <w:color w:val="000000"/>
                                      <w:kern w:val="0"/>
                                      <w:szCs w:val="24"/>
                                    </w:rPr>
                                    <w:t>行政院及所屬各部會性別預算編列及執行情形</w:t>
                                  </w:r>
                                </w:p>
                              </w:tc>
                            </w:tr>
                            <w:tr w:rsidR="00A0212B" w:rsidRPr="006A3CE2" w14:paraId="15885921" w14:textId="77777777" w:rsidTr="000131EC">
                              <w:trPr>
                                <w:trHeight w:val="315"/>
                                <w:jc w:val="center"/>
                              </w:trPr>
                              <w:tc>
                                <w:tcPr>
                                  <w:tcW w:w="9581" w:type="dxa"/>
                                  <w:gridSpan w:val="13"/>
                                  <w:tcBorders>
                                    <w:top w:val="nil"/>
                                    <w:left w:val="nil"/>
                                    <w:bottom w:val="single" w:sz="4" w:space="0" w:color="auto"/>
                                    <w:right w:val="nil"/>
                                  </w:tcBorders>
                                  <w:shd w:val="clear" w:color="auto" w:fill="auto"/>
                                  <w:noWrap/>
                                  <w:vAlign w:val="center"/>
                                  <w:hideMark/>
                                </w:tcPr>
                                <w:p w14:paraId="1B6F3D1E" w14:textId="77777777" w:rsidR="00A0212B" w:rsidRPr="006A3CE2" w:rsidRDefault="00A0212B" w:rsidP="000131EC">
                                  <w:pPr>
                                    <w:widowControl/>
                                    <w:jc w:val="right"/>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單位：新臺幣</w:t>
                                  </w:r>
                                  <w:r>
                                    <w:rPr>
                                      <w:rFonts w:ascii="標楷體" w:eastAsia="標楷體" w:hAnsi="標楷體" w:cs="新細明體" w:hint="eastAsia"/>
                                      <w:color w:val="000000"/>
                                      <w:kern w:val="0"/>
                                      <w:sz w:val="20"/>
                                    </w:rPr>
                                    <w:t>百萬</w:t>
                                  </w:r>
                                  <w:r w:rsidRPr="006A3CE2">
                                    <w:rPr>
                                      <w:rFonts w:ascii="標楷體" w:eastAsia="標楷體" w:hAnsi="標楷體" w:cs="新細明體" w:hint="eastAsia"/>
                                      <w:color w:val="000000"/>
                                      <w:kern w:val="0"/>
                                      <w:sz w:val="20"/>
                                    </w:rPr>
                                    <w:t>元、％</w:t>
                                  </w:r>
                                </w:p>
                              </w:tc>
                            </w:tr>
                            <w:tr w:rsidR="00A0212B" w:rsidRPr="006A3CE2" w14:paraId="1CD36FFD" w14:textId="77777777" w:rsidTr="000131EC">
                              <w:trPr>
                                <w:trHeight w:val="315"/>
                                <w:jc w:val="center"/>
                              </w:trPr>
                              <w:tc>
                                <w:tcPr>
                                  <w:tcW w:w="737" w:type="dxa"/>
                                  <w:vMerge w:val="restart"/>
                                  <w:tcBorders>
                                    <w:top w:val="nil"/>
                                    <w:left w:val="single" w:sz="4" w:space="0" w:color="auto"/>
                                    <w:right w:val="single" w:sz="4" w:space="0" w:color="auto"/>
                                  </w:tcBorders>
                                  <w:shd w:val="clear" w:color="auto" w:fill="auto"/>
                                  <w:noWrap/>
                                  <w:vAlign w:val="center"/>
                                  <w:hideMark/>
                                </w:tcPr>
                                <w:p w14:paraId="2AD0076E"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年度</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09B9C288" w14:textId="77777777" w:rsidR="00A0212B" w:rsidRPr="006A3CE2" w:rsidRDefault="00A0212B" w:rsidP="000131EC">
                                  <w:pPr>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合計</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36689E65" w14:textId="77777777" w:rsidR="00A0212B" w:rsidRPr="006A3CE2" w:rsidRDefault="00A0212B" w:rsidP="000131EC">
                                  <w:pPr>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公務機關</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66914B00"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營業基金</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6EF735AF"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非營業基金</w:t>
                                  </w:r>
                                </w:p>
                              </w:tc>
                            </w:tr>
                            <w:tr w:rsidR="00A0212B" w:rsidRPr="006A3CE2" w14:paraId="4D75E526" w14:textId="77777777" w:rsidTr="000131EC">
                              <w:trPr>
                                <w:trHeight w:val="315"/>
                                <w:jc w:val="center"/>
                              </w:trPr>
                              <w:tc>
                                <w:tcPr>
                                  <w:tcW w:w="737" w:type="dxa"/>
                                  <w:vMerge/>
                                  <w:tcBorders>
                                    <w:left w:val="single" w:sz="4" w:space="0" w:color="auto"/>
                                    <w:bottom w:val="single" w:sz="4" w:space="0" w:color="auto"/>
                                    <w:right w:val="single" w:sz="4" w:space="0" w:color="auto"/>
                                  </w:tcBorders>
                                  <w:shd w:val="clear" w:color="auto" w:fill="auto"/>
                                  <w:vAlign w:val="center"/>
                                  <w:hideMark/>
                                </w:tcPr>
                                <w:p w14:paraId="767C08A9" w14:textId="77777777" w:rsidR="00A0212B" w:rsidRPr="006A3CE2" w:rsidRDefault="00A0212B" w:rsidP="000131EC">
                                  <w:pPr>
                                    <w:widowControl/>
                                    <w:snapToGrid w:val="0"/>
                                    <w:spacing w:line="200" w:lineRule="atLeast"/>
                                    <w:rPr>
                                      <w:rFonts w:ascii="標楷體" w:eastAsia="標楷體" w:hAnsi="標楷體" w:cs="新細明體"/>
                                      <w:color w:val="000000"/>
                                      <w:kern w:val="0"/>
                                      <w:sz w:val="20"/>
                                    </w:rPr>
                                  </w:pPr>
                                </w:p>
                              </w:tc>
                              <w:tc>
                                <w:tcPr>
                                  <w:tcW w:w="737" w:type="dxa"/>
                                  <w:tcBorders>
                                    <w:top w:val="nil"/>
                                    <w:left w:val="nil"/>
                                    <w:bottom w:val="single" w:sz="4" w:space="0" w:color="auto"/>
                                    <w:right w:val="single" w:sz="4" w:space="0" w:color="auto"/>
                                  </w:tcBorders>
                                  <w:shd w:val="clear" w:color="auto" w:fill="auto"/>
                                  <w:noWrap/>
                                  <w:vAlign w:val="center"/>
                                  <w:hideMark/>
                                </w:tcPr>
                                <w:p w14:paraId="0F652DBD"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預算數</w:t>
                                  </w:r>
                                </w:p>
                              </w:tc>
                              <w:tc>
                                <w:tcPr>
                                  <w:tcW w:w="737" w:type="dxa"/>
                                  <w:tcBorders>
                                    <w:top w:val="nil"/>
                                    <w:left w:val="nil"/>
                                    <w:bottom w:val="single" w:sz="4" w:space="0" w:color="auto"/>
                                    <w:right w:val="single" w:sz="4" w:space="0" w:color="auto"/>
                                  </w:tcBorders>
                                  <w:shd w:val="clear" w:color="auto" w:fill="auto"/>
                                  <w:noWrap/>
                                  <w:vAlign w:val="center"/>
                                  <w:hideMark/>
                                </w:tcPr>
                                <w:p w14:paraId="37986654"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執行數</w:t>
                                  </w:r>
                                </w:p>
                                <w:p w14:paraId="6C9A86F8"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(註2)</w:t>
                                  </w:r>
                                </w:p>
                              </w:tc>
                              <w:tc>
                                <w:tcPr>
                                  <w:tcW w:w="737" w:type="dxa"/>
                                  <w:tcBorders>
                                    <w:top w:val="nil"/>
                                    <w:left w:val="nil"/>
                                    <w:bottom w:val="single" w:sz="4" w:space="0" w:color="auto"/>
                                    <w:right w:val="single" w:sz="4" w:space="0" w:color="auto"/>
                                  </w:tcBorders>
                                  <w:shd w:val="clear" w:color="auto" w:fill="auto"/>
                                  <w:noWrap/>
                                  <w:vAlign w:val="center"/>
                                  <w:hideMark/>
                                </w:tcPr>
                                <w:p w14:paraId="7F38CBDB"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執行率</w:t>
                                  </w:r>
                                </w:p>
                              </w:tc>
                              <w:tc>
                                <w:tcPr>
                                  <w:tcW w:w="737" w:type="dxa"/>
                                  <w:tcBorders>
                                    <w:top w:val="nil"/>
                                    <w:left w:val="nil"/>
                                    <w:bottom w:val="single" w:sz="4" w:space="0" w:color="auto"/>
                                    <w:right w:val="single" w:sz="4" w:space="0" w:color="auto"/>
                                  </w:tcBorders>
                                  <w:shd w:val="clear" w:color="auto" w:fill="auto"/>
                                  <w:noWrap/>
                                  <w:vAlign w:val="center"/>
                                  <w:hideMark/>
                                </w:tcPr>
                                <w:p w14:paraId="40F182D3"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預算數</w:t>
                                  </w:r>
                                </w:p>
                              </w:tc>
                              <w:tc>
                                <w:tcPr>
                                  <w:tcW w:w="737" w:type="dxa"/>
                                  <w:tcBorders>
                                    <w:top w:val="nil"/>
                                    <w:left w:val="nil"/>
                                    <w:bottom w:val="single" w:sz="4" w:space="0" w:color="auto"/>
                                    <w:right w:val="single" w:sz="4" w:space="0" w:color="auto"/>
                                  </w:tcBorders>
                                  <w:shd w:val="clear" w:color="auto" w:fill="auto"/>
                                  <w:noWrap/>
                                  <w:vAlign w:val="center"/>
                                  <w:hideMark/>
                                </w:tcPr>
                                <w:p w14:paraId="0C34B2A5"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執行數</w:t>
                                  </w:r>
                                </w:p>
                              </w:tc>
                              <w:tc>
                                <w:tcPr>
                                  <w:tcW w:w="737" w:type="dxa"/>
                                  <w:tcBorders>
                                    <w:top w:val="nil"/>
                                    <w:left w:val="nil"/>
                                    <w:bottom w:val="single" w:sz="4" w:space="0" w:color="auto"/>
                                    <w:right w:val="single" w:sz="4" w:space="0" w:color="auto"/>
                                  </w:tcBorders>
                                  <w:shd w:val="clear" w:color="auto" w:fill="auto"/>
                                  <w:noWrap/>
                                  <w:vAlign w:val="center"/>
                                  <w:hideMark/>
                                </w:tcPr>
                                <w:p w14:paraId="5CB61D2F"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執行率</w:t>
                                  </w:r>
                                </w:p>
                              </w:tc>
                              <w:tc>
                                <w:tcPr>
                                  <w:tcW w:w="737" w:type="dxa"/>
                                  <w:tcBorders>
                                    <w:top w:val="nil"/>
                                    <w:left w:val="nil"/>
                                    <w:bottom w:val="single" w:sz="4" w:space="0" w:color="auto"/>
                                    <w:right w:val="single" w:sz="4" w:space="0" w:color="auto"/>
                                  </w:tcBorders>
                                  <w:shd w:val="clear" w:color="auto" w:fill="auto"/>
                                  <w:noWrap/>
                                  <w:vAlign w:val="center"/>
                                  <w:hideMark/>
                                </w:tcPr>
                                <w:p w14:paraId="518A8B96"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預算數</w:t>
                                  </w:r>
                                </w:p>
                              </w:tc>
                              <w:tc>
                                <w:tcPr>
                                  <w:tcW w:w="737" w:type="dxa"/>
                                  <w:tcBorders>
                                    <w:top w:val="nil"/>
                                    <w:left w:val="nil"/>
                                    <w:bottom w:val="single" w:sz="4" w:space="0" w:color="auto"/>
                                    <w:right w:val="single" w:sz="4" w:space="0" w:color="auto"/>
                                  </w:tcBorders>
                                  <w:shd w:val="clear" w:color="auto" w:fill="auto"/>
                                  <w:noWrap/>
                                  <w:vAlign w:val="center"/>
                                  <w:hideMark/>
                                </w:tcPr>
                                <w:p w14:paraId="4B19C877"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執行數</w:t>
                                  </w:r>
                                </w:p>
                              </w:tc>
                              <w:tc>
                                <w:tcPr>
                                  <w:tcW w:w="737" w:type="dxa"/>
                                  <w:tcBorders>
                                    <w:top w:val="nil"/>
                                    <w:left w:val="nil"/>
                                    <w:bottom w:val="single" w:sz="4" w:space="0" w:color="auto"/>
                                    <w:right w:val="single" w:sz="4" w:space="0" w:color="auto"/>
                                  </w:tcBorders>
                                  <w:shd w:val="clear" w:color="auto" w:fill="auto"/>
                                  <w:noWrap/>
                                  <w:vAlign w:val="center"/>
                                  <w:hideMark/>
                                </w:tcPr>
                                <w:p w14:paraId="372C684E"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執行率</w:t>
                                  </w:r>
                                </w:p>
                              </w:tc>
                              <w:tc>
                                <w:tcPr>
                                  <w:tcW w:w="737" w:type="dxa"/>
                                  <w:tcBorders>
                                    <w:top w:val="nil"/>
                                    <w:left w:val="nil"/>
                                    <w:bottom w:val="single" w:sz="4" w:space="0" w:color="auto"/>
                                    <w:right w:val="single" w:sz="4" w:space="0" w:color="auto"/>
                                  </w:tcBorders>
                                  <w:shd w:val="clear" w:color="auto" w:fill="auto"/>
                                  <w:noWrap/>
                                  <w:vAlign w:val="center"/>
                                  <w:hideMark/>
                                </w:tcPr>
                                <w:p w14:paraId="3DAA4177" w14:textId="77777777" w:rsidR="00A0212B" w:rsidRPr="004906F1" w:rsidRDefault="00A0212B" w:rsidP="000131EC">
                                  <w:pPr>
                                    <w:widowControl/>
                                    <w:snapToGrid w:val="0"/>
                                    <w:spacing w:line="200" w:lineRule="atLeast"/>
                                    <w:jc w:val="center"/>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預算數</w:t>
                                  </w:r>
                                </w:p>
                              </w:tc>
                              <w:tc>
                                <w:tcPr>
                                  <w:tcW w:w="737" w:type="dxa"/>
                                  <w:tcBorders>
                                    <w:top w:val="nil"/>
                                    <w:left w:val="nil"/>
                                    <w:bottom w:val="single" w:sz="4" w:space="0" w:color="auto"/>
                                    <w:right w:val="single" w:sz="4" w:space="0" w:color="auto"/>
                                  </w:tcBorders>
                                  <w:shd w:val="clear" w:color="auto" w:fill="auto"/>
                                  <w:noWrap/>
                                  <w:vAlign w:val="center"/>
                                  <w:hideMark/>
                                </w:tcPr>
                                <w:p w14:paraId="479E56DC" w14:textId="77777777" w:rsidR="00A0212B" w:rsidRPr="004906F1" w:rsidRDefault="00A0212B" w:rsidP="000131EC">
                                  <w:pPr>
                                    <w:widowControl/>
                                    <w:snapToGrid w:val="0"/>
                                    <w:spacing w:line="200" w:lineRule="atLeast"/>
                                    <w:jc w:val="center"/>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執行數</w:t>
                                  </w:r>
                                </w:p>
                                <w:p w14:paraId="20770D97" w14:textId="77777777" w:rsidR="00A0212B" w:rsidRPr="004906F1" w:rsidRDefault="00A0212B" w:rsidP="000131EC">
                                  <w:pPr>
                                    <w:widowControl/>
                                    <w:snapToGrid w:val="0"/>
                                    <w:spacing w:line="200" w:lineRule="atLeast"/>
                                    <w:jc w:val="center"/>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(註2)</w:t>
                                  </w:r>
                                </w:p>
                              </w:tc>
                              <w:tc>
                                <w:tcPr>
                                  <w:tcW w:w="737" w:type="dxa"/>
                                  <w:tcBorders>
                                    <w:top w:val="nil"/>
                                    <w:left w:val="nil"/>
                                    <w:bottom w:val="single" w:sz="4" w:space="0" w:color="auto"/>
                                    <w:right w:val="single" w:sz="4" w:space="0" w:color="auto"/>
                                  </w:tcBorders>
                                  <w:shd w:val="clear" w:color="auto" w:fill="auto"/>
                                  <w:noWrap/>
                                  <w:vAlign w:val="center"/>
                                  <w:hideMark/>
                                </w:tcPr>
                                <w:p w14:paraId="12512144" w14:textId="77777777" w:rsidR="00A0212B" w:rsidRPr="004906F1" w:rsidRDefault="00A0212B" w:rsidP="000131EC">
                                  <w:pPr>
                                    <w:widowControl/>
                                    <w:snapToGrid w:val="0"/>
                                    <w:spacing w:line="200" w:lineRule="atLeast"/>
                                    <w:jc w:val="center"/>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執行率</w:t>
                                  </w:r>
                                </w:p>
                              </w:tc>
                            </w:tr>
                            <w:tr w:rsidR="00A0212B" w:rsidRPr="006A3CE2" w14:paraId="2E9F6A6B" w14:textId="77777777" w:rsidTr="000131EC">
                              <w:trPr>
                                <w:trHeight w:val="315"/>
                                <w:jc w:val="center"/>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3EE4CC87" w14:textId="77777777" w:rsidR="00A0212B" w:rsidRPr="006A3CE2" w:rsidRDefault="00A0212B" w:rsidP="000131EC">
                                  <w:pPr>
                                    <w:widowControl/>
                                    <w:jc w:val="center"/>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112</w:t>
                                  </w:r>
                                </w:p>
                              </w:tc>
                              <w:tc>
                                <w:tcPr>
                                  <w:tcW w:w="737" w:type="dxa"/>
                                  <w:tcBorders>
                                    <w:top w:val="nil"/>
                                    <w:left w:val="nil"/>
                                    <w:bottom w:val="single" w:sz="4" w:space="0" w:color="auto"/>
                                    <w:right w:val="single" w:sz="4" w:space="0" w:color="auto"/>
                                  </w:tcBorders>
                                  <w:shd w:val="clear" w:color="auto" w:fill="auto"/>
                                  <w:noWrap/>
                                  <w:vAlign w:val="center"/>
                                  <w:hideMark/>
                                </w:tcPr>
                                <w:p w14:paraId="6A873C32"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155,541 </w:t>
                                  </w:r>
                                </w:p>
                              </w:tc>
                              <w:tc>
                                <w:tcPr>
                                  <w:tcW w:w="737" w:type="dxa"/>
                                  <w:tcBorders>
                                    <w:top w:val="nil"/>
                                    <w:left w:val="nil"/>
                                    <w:bottom w:val="single" w:sz="4" w:space="0" w:color="auto"/>
                                    <w:right w:val="single" w:sz="4" w:space="0" w:color="auto"/>
                                  </w:tcBorders>
                                  <w:shd w:val="clear" w:color="auto" w:fill="auto"/>
                                  <w:noWrap/>
                                  <w:vAlign w:val="center"/>
                                  <w:hideMark/>
                                </w:tcPr>
                                <w:p w14:paraId="611D2C3E"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159,814 </w:t>
                                  </w:r>
                                </w:p>
                              </w:tc>
                              <w:tc>
                                <w:tcPr>
                                  <w:tcW w:w="737" w:type="dxa"/>
                                  <w:tcBorders>
                                    <w:top w:val="nil"/>
                                    <w:left w:val="nil"/>
                                    <w:bottom w:val="single" w:sz="4" w:space="0" w:color="auto"/>
                                    <w:right w:val="single" w:sz="4" w:space="0" w:color="auto"/>
                                  </w:tcBorders>
                                  <w:shd w:val="clear" w:color="auto" w:fill="auto"/>
                                  <w:noWrap/>
                                  <w:vAlign w:val="center"/>
                                  <w:hideMark/>
                                </w:tcPr>
                                <w:p w14:paraId="37373DCF"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102.75 </w:t>
                                  </w:r>
                                </w:p>
                              </w:tc>
                              <w:tc>
                                <w:tcPr>
                                  <w:tcW w:w="737" w:type="dxa"/>
                                  <w:tcBorders>
                                    <w:top w:val="nil"/>
                                    <w:left w:val="nil"/>
                                    <w:bottom w:val="single" w:sz="4" w:space="0" w:color="auto"/>
                                    <w:right w:val="single" w:sz="4" w:space="0" w:color="auto"/>
                                  </w:tcBorders>
                                  <w:shd w:val="clear" w:color="auto" w:fill="auto"/>
                                  <w:noWrap/>
                                  <w:vAlign w:val="center"/>
                                  <w:hideMark/>
                                </w:tcPr>
                                <w:p w14:paraId="5D4B0EA1"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82,020 </w:t>
                                  </w:r>
                                </w:p>
                              </w:tc>
                              <w:tc>
                                <w:tcPr>
                                  <w:tcW w:w="737" w:type="dxa"/>
                                  <w:tcBorders>
                                    <w:top w:val="nil"/>
                                    <w:left w:val="nil"/>
                                    <w:bottom w:val="single" w:sz="4" w:space="0" w:color="auto"/>
                                    <w:right w:val="single" w:sz="4" w:space="0" w:color="auto"/>
                                  </w:tcBorders>
                                  <w:shd w:val="clear" w:color="auto" w:fill="auto"/>
                                  <w:noWrap/>
                                  <w:vAlign w:val="center"/>
                                  <w:hideMark/>
                                </w:tcPr>
                                <w:p w14:paraId="237D2DED"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79,810 </w:t>
                                  </w:r>
                                </w:p>
                              </w:tc>
                              <w:tc>
                                <w:tcPr>
                                  <w:tcW w:w="737" w:type="dxa"/>
                                  <w:tcBorders>
                                    <w:top w:val="nil"/>
                                    <w:left w:val="nil"/>
                                    <w:bottom w:val="single" w:sz="4" w:space="0" w:color="auto"/>
                                    <w:right w:val="single" w:sz="4" w:space="0" w:color="auto"/>
                                  </w:tcBorders>
                                  <w:shd w:val="clear" w:color="auto" w:fill="auto"/>
                                  <w:noWrap/>
                                  <w:vAlign w:val="center"/>
                                  <w:hideMark/>
                                </w:tcPr>
                                <w:p w14:paraId="1457A51B"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97.30 </w:t>
                                  </w:r>
                                </w:p>
                              </w:tc>
                              <w:tc>
                                <w:tcPr>
                                  <w:tcW w:w="737" w:type="dxa"/>
                                  <w:tcBorders>
                                    <w:top w:val="nil"/>
                                    <w:left w:val="nil"/>
                                    <w:bottom w:val="single" w:sz="4" w:space="0" w:color="auto"/>
                                    <w:right w:val="single" w:sz="4" w:space="0" w:color="auto"/>
                                  </w:tcBorders>
                                  <w:shd w:val="clear" w:color="auto" w:fill="auto"/>
                                  <w:noWrap/>
                                  <w:vAlign w:val="center"/>
                                  <w:hideMark/>
                                </w:tcPr>
                                <w:p w14:paraId="0165C5A5"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676 </w:t>
                                  </w:r>
                                </w:p>
                              </w:tc>
                              <w:tc>
                                <w:tcPr>
                                  <w:tcW w:w="737" w:type="dxa"/>
                                  <w:tcBorders>
                                    <w:top w:val="nil"/>
                                    <w:left w:val="nil"/>
                                    <w:bottom w:val="single" w:sz="4" w:space="0" w:color="auto"/>
                                    <w:right w:val="single" w:sz="4" w:space="0" w:color="auto"/>
                                  </w:tcBorders>
                                  <w:shd w:val="clear" w:color="auto" w:fill="auto"/>
                                  <w:noWrap/>
                                  <w:vAlign w:val="center"/>
                                  <w:hideMark/>
                                </w:tcPr>
                                <w:p w14:paraId="385BED56"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580 </w:t>
                                  </w:r>
                                </w:p>
                              </w:tc>
                              <w:tc>
                                <w:tcPr>
                                  <w:tcW w:w="737" w:type="dxa"/>
                                  <w:tcBorders>
                                    <w:top w:val="nil"/>
                                    <w:left w:val="nil"/>
                                    <w:bottom w:val="single" w:sz="4" w:space="0" w:color="auto"/>
                                    <w:right w:val="single" w:sz="4" w:space="0" w:color="auto"/>
                                  </w:tcBorders>
                                  <w:shd w:val="clear" w:color="auto" w:fill="auto"/>
                                  <w:noWrap/>
                                  <w:vAlign w:val="center"/>
                                  <w:hideMark/>
                                </w:tcPr>
                                <w:p w14:paraId="39ACBE08"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85.81 </w:t>
                                  </w:r>
                                </w:p>
                              </w:tc>
                              <w:tc>
                                <w:tcPr>
                                  <w:tcW w:w="737" w:type="dxa"/>
                                  <w:tcBorders>
                                    <w:top w:val="nil"/>
                                    <w:left w:val="nil"/>
                                    <w:bottom w:val="single" w:sz="4" w:space="0" w:color="auto"/>
                                    <w:right w:val="single" w:sz="4" w:space="0" w:color="auto"/>
                                  </w:tcBorders>
                                  <w:shd w:val="clear" w:color="auto" w:fill="auto"/>
                                  <w:noWrap/>
                                  <w:vAlign w:val="center"/>
                                  <w:hideMark/>
                                </w:tcPr>
                                <w:p w14:paraId="33030A48"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72,844 </w:t>
                                  </w:r>
                                </w:p>
                              </w:tc>
                              <w:tc>
                                <w:tcPr>
                                  <w:tcW w:w="737" w:type="dxa"/>
                                  <w:tcBorders>
                                    <w:top w:val="nil"/>
                                    <w:left w:val="nil"/>
                                    <w:bottom w:val="single" w:sz="4" w:space="0" w:color="auto"/>
                                    <w:right w:val="single" w:sz="4" w:space="0" w:color="auto"/>
                                  </w:tcBorders>
                                  <w:shd w:val="clear" w:color="auto" w:fill="auto"/>
                                  <w:noWrap/>
                                  <w:vAlign w:val="center"/>
                                  <w:hideMark/>
                                </w:tcPr>
                                <w:p w14:paraId="16AE29AD"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79,423 </w:t>
                                  </w:r>
                                </w:p>
                              </w:tc>
                              <w:tc>
                                <w:tcPr>
                                  <w:tcW w:w="737" w:type="dxa"/>
                                  <w:tcBorders>
                                    <w:top w:val="nil"/>
                                    <w:left w:val="nil"/>
                                    <w:bottom w:val="single" w:sz="4" w:space="0" w:color="auto"/>
                                    <w:right w:val="single" w:sz="4" w:space="0" w:color="auto"/>
                                  </w:tcBorders>
                                  <w:shd w:val="clear" w:color="auto" w:fill="auto"/>
                                  <w:noWrap/>
                                  <w:vAlign w:val="center"/>
                                  <w:hideMark/>
                                </w:tcPr>
                                <w:p w14:paraId="32818A32"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109.03 </w:t>
                                  </w:r>
                                </w:p>
                              </w:tc>
                            </w:tr>
                            <w:tr w:rsidR="00A0212B" w:rsidRPr="006A3CE2" w14:paraId="4E2A4696" w14:textId="77777777" w:rsidTr="000131EC">
                              <w:trPr>
                                <w:trHeight w:val="315"/>
                                <w:jc w:val="center"/>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34C264F0" w14:textId="77777777" w:rsidR="00A0212B" w:rsidRPr="006A3CE2" w:rsidRDefault="00A0212B" w:rsidP="000131EC">
                                  <w:pPr>
                                    <w:widowControl/>
                                    <w:jc w:val="center"/>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111</w:t>
                                  </w:r>
                                </w:p>
                              </w:tc>
                              <w:tc>
                                <w:tcPr>
                                  <w:tcW w:w="737" w:type="dxa"/>
                                  <w:tcBorders>
                                    <w:top w:val="nil"/>
                                    <w:left w:val="nil"/>
                                    <w:bottom w:val="single" w:sz="4" w:space="0" w:color="auto"/>
                                    <w:right w:val="single" w:sz="4" w:space="0" w:color="auto"/>
                                  </w:tcBorders>
                                  <w:shd w:val="clear" w:color="auto" w:fill="auto"/>
                                  <w:noWrap/>
                                  <w:vAlign w:val="center"/>
                                  <w:hideMark/>
                                </w:tcPr>
                                <w:p w14:paraId="20A70B67"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134,669 </w:t>
                                  </w:r>
                                </w:p>
                              </w:tc>
                              <w:tc>
                                <w:tcPr>
                                  <w:tcW w:w="737" w:type="dxa"/>
                                  <w:tcBorders>
                                    <w:top w:val="nil"/>
                                    <w:left w:val="nil"/>
                                    <w:bottom w:val="single" w:sz="4" w:space="0" w:color="auto"/>
                                    <w:right w:val="single" w:sz="4" w:space="0" w:color="auto"/>
                                  </w:tcBorders>
                                  <w:shd w:val="clear" w:color="auto" w:fill="auto"/>
                                  <w:noWrap/>
                                  <w:vAlign w:val="center"/>
                                  <w:hideMark/>
                                </w:tcPr>
                                <w:p w14:paraId="436D3B72"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131,454 </w:t>
                                  </w:r>
                                </w:p>
                              </w:tc>
                              <w:tc>
                                <w:tcPr>
                                  <w:tcW w:w="737" w:type="dxa"/>
                                  <w:tcBorders>
                                    <w:top w:val="nil"/>
                                    <w:left w:val="nil"/>
                                    <w:bottom w:val="single" w:sz="4" w:space="0" w:color="auto"/>
                                    <w:right w:val="single" w:sz="4" w:space="0" w:color="auto"/>
                                  </w:tcBorders>
                                  <w:shd w:val="clear" w:color="auto" w:fill="auto"/>
                                  <w:noWrap/>
                                  <w:vAlign w:val="center"/>
                                  <w:hideMark/>
                                </w:tcPr>
                                <w:p w14:paraId="508E53C3"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97.61 </w:t>
                                  </w:r>
                                </w:p>
                              </w:tc>
                              <w:tc>
                                <w:tcPr>
                                  <w:tcW w:w="737" w:type="dxa"/>
                                  <w:tcBorders>
                                    <w:top w:val="nil"/>
                                    <w:left w:val="nil"/>
                                    <w:bottom w:val="single" w:sz="4" w:space="0" w:color="auto"/>
                                    <w:right w:val="single" w:sz="4" w:space="0" w:color="auto"/>
                                  </w:tcBorders>
                                  <w:shd w:val="clear" w:color="auto" w:fill="auto"/>
                                  <w:noWrap/>
                                  <w:vAlign w:val="center"/>
                                  <w:hideMark/>
                                </w:tcPr>
                                <w:p w14:paraId="7F304763"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67,150 </w:t>
                                  </w:r>
                                </w:p>
                              </w:tc>
                              <w:tc>
                                <w:tcPr>
                                  <w:tcW w:w="737" w:type="dxa"/>
                                  <w:tcBorders>
                                    <w:top w:val="nil"/>
                                    <w:left w:val="nil"/>
                                    <w:bottom w:val="single" w:sz="4" w:space="0" w:color="auto"/>
                                    <w:right w:val="single" w:sz="4" w:space="0" w:color="auto"/>
                                  </w:tcBorders>
                                  <w:shd w:val="clear" w:color="auto" w:fill="auto"/>
                                  <w:noWrap/>
                                  <w:vAlign w:val="center"/>
                                  <w:hideMark/>
                                </w:tcPr>
                                <w:p w14:paraId="7A2FA237"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64,913 </w:t>
                                  </w:r>
                                </w:p>
                              </w:tc>
                              <w:tc>
                                <w:tcPr>
                                  <w:tcW w:w="737" w:type="dxa"/>
                                  <w:tcBorders>
                                    <w:top w:val="nil"/>
                                    <w:left w:val="nil"/>
                                    <w:bottom w:val="single" w:sz="4" w:space="0" w:color="auto"/>
                                    <w:right w:val="single" w:sz="4" w:space="0" w:color="auto"/>
                                  </w:tcBorders>
                                  <w:shd w:val="clear" w:color="auto" w:fill="auto"/>
                                  <w:noWrap/>
                                  <w:vAlign w:val="center"/>
                                  <w:hideMark/>
                                </w:tcPr>
                                <w:p w14:paraId="106EFE8F"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96.67 </w:t>
                                  </w:r>
                                </w:p>
                              </w:tc>
                              <w:tc>
                                <w:tcPr>
                                  <w:tcW w:w="737" w:type="dxa"/>
                                  <w:tcBorders>
                                    <w:top w:val="nil"/>
                                    <w:left w:val="nil"/>
                                    <w:bottom w:val="single" w:sz="4" w:space="0" w:color="auto"/>
                                    <w:right w:val="single" w:sz="4" w:space="0" w:color="auto"/>
                                  </w:tcBorders>
                                  <w:shd w:val="clear" w:color="auto" w:fill="auto"/>
                                  <w:noWrap/>
                                  <w:vAlign w:val="center"/>
                                  <w:hideMark/>
                                </w:tcPr>
                                <w:p w14:paraId="0D28810E"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860 </w:t>
                                  </w:r>
                                </w:p>
                              </w:tc>
                              <w:tc>
                                <w:tcPr>
                                  <w:tcW w:w="737" w:type="dxa"/>
                                  <w:tcBorders>
                                    <w:top w:val="nil"/>
                                    <w:left w:val="nil"/>
                                    <w:bottom w:val="single" w:sz="4" w:space="0" w:color="auto"/>
                                    <w:right w:val="single" w:sz="4" w:space="0" w:color="auto"/>
                                  </w:tcBorders>
                                  <w:shd w:val="clear" w:color="auto" w:fill="auto"/>
                                  <w:noWrap/>
                                  <w:vAlign w:val="center"/>
                                  <w:hideMark/>
                                </w:tcPr>
                                <w:p w14:paraId="65EBA60A"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525 </w:t>
                                  </w:r>
                                </w:p>
                              </w:tc>
                              <w:tc>
                                <w:tcPr>
                                  <w:tcW w:w="737" w:type="dxa"/>
                                  <w:tcBorders>
                                    <w:top w:val="nil"/>
                                    <w:left w:val="nil"/>
                                    <w:bottom w:val="single" w:sz="4" w:space="0" w:color="auto"/>
                                    <w:right w:val="single" w:sz="4" w:space="0" w:color="auto"/>
                                  </w:tcBorders>
                                  <w:shd w:val="clear" w:color="auto" w:fill="auto"/>
                                  <w:noWrap/>
                                  <w:vAlign w:val="center"/>
                                  <w:hideMark/>
                                </w:tcPr>
                                <w:p w14:paraId="1C4DB111"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61.09 </w:t>
                                  </w:r>
                                </w:p>
                              </w:tc>
                              <w:tc>
                                <w:tcPr>
                                  <w:tcW w:w="737" w:type="dxa"/>
                                  <w:tcBorders>
                                    <w:top w:val="nil"/>
                                    <w:left w:val="nil"/>
                                    <w:bottom w:val="single" w:sz="4" w:space="0" w:color="auto"/>
                                    <w:right w:val="single" w:sz="4" w:space="0" w:color="auto"/>
                                  </w:tcBorders>
                                  <w:shd w:val="clear" w:color="auto" w:fill="auto"/>
                                  <w:noWrap/>
                                  <w:vAlign w:val="center"/>
                                  <w:hideMark/>
                                </w:tcPr>
                                <w:p w14:paraId="6B8E8E13"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66,658 </w:t>
                                  </w:r>
                                </w:p>
                              </w:tc>
                              <w:tc>
                                <w:tcPr>
                                  <w:tcW w:w="737" w:type="dxa"/>
                                  <w:tcBorders>
                                    <w:top w:val="nil"/>
                                    <w:left w:val="nil"/>
                                    <w:bottom w:val="single" w:sz="4" w:space="0" w:color="auto"/>
                                    <w:right w:val="single" w:sz="4" w:space="0" w:color="auto"/>
                                  </w:tcBorders>
                                  <w:shd w:val="clear" w:color="auto" w:fill="auto"/>
                                  <w:noWrap/>
                                  <w:vAlign w:val="center"/>
                                  <w:hideMark/>
                                </w:tcPr>
                                <w:p w14:paraId="56ED51E2"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66,015 </w:t>
                                  </w:r>
                                </w:p>
                              </w:tc>
                              <w:tc>
                                <w:tcPr>
                                  <w:tcW w:w="737" w:type="dxa"/>
                                  <w:tcBorders>
                                    <w:top w:val="nil"/>
                                    <w:left w:val="nil"/>
                                    <w:bottom w:val="single" w:sz="4" w:space="0" w:color="auto"/>
                                    <w:right w:val="single" w:sz="4" w:space="0" w:color="auto"/>
                                  </w:tcBorders>
                                  <w:shd w:val="clear" w:color="auto" w:fill="auto"/>
                                  <w:noWrap/>
                                  <w:vAlign w:val="center"/>
                                  <w:hideMark/>
                                </w:tcPr>
                                <w:p w14:paraId="696B22FE"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99.03 </w:t>
                                  </w:r>
                                </w:p>
                              </w:tc>
                            </w:tr>
                            <w:tr w:rsidR="00A0212B" w:rsidRPr="006A3CE2" w14:paraId="2E3277D6" w14:textId="77777777" w:rsidTr="000131EC">
                              <w:trPr>
                                <w:trHeight w:val="315"/>
                                <w:jc w:val="center"/>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46E2B9F0" w14:textId="77777777" w:rsidR="00A0212B" w:rsidRPr="006A3CE2" w:rsidRDefault="00A0212B" w:rsidP="000131EC">
                                  <w:pPr>
                                    <w:widowControl/>
                                    <w:jc w:val="center"/>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110</w:t>
                                  </w:r>
                                </w:p>
                              </w:tc>
                              <w:tc>
                                <w:tcPr>
                                  <w:tcW w:w="737" w:type="dxa"/>
                                  <w:tcBorders>
                                    <w:top w:val="nil"/>
                                    <w:left w:val="nil"/>
                                    <w:bottom w:val="single" w:sz="4" w:space="0" w:color="auto"/>
                                    <w:right w:val="single" w:sz="4" w:space="0" w:color="auto"/>
                                  </w:tcBorders>
                                  <w:shd w:val="clear" w:color="auto" w:fill="auto"/>
                                  <w:noWrap/>
                                  <w:vAlign w:val="center"/>
                                  <w:hideMark/>
                                </w:tcPr>
                                <w:p w14:paraId="0304170A"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106,294 </w:t>
                                  </w:r>
                                </w:p>
                              </w:tc>
                              <w:tc>
                                <w:tcPr>
                                  <w:tcW w:w="737" w:type="dxa"/>
                                  <w:tcBorders>
                                    <w:top w:val="nil"/>
                                    <w:left w:val="nil"/>
                                    <w:bottom w:val="single" w:sz="4" w:space="0" w:color="auto"/>
                                    <w:right w:val="single" w:sz="4" w:space="0" w:color="auto"/>
                                  </w:tcBorders>
                                  <w:shd w:val="clear" w:color="auto" w:fill="auto"/>
                                  <w:noWrap/>
                                  <w:vAlign w:val="center"/>
                                  <w:hideMark/>
                                </w:tcPr>
                                <w:p w14:paraId="4EF48EDB"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100,340 </w:t>
                                  </w:r>
                                </w:p>
                              </w:tc>
                              <w:tc>
                                <w:tcPr>
                                  <w:tcW w:w="737" w:type="dxa"/>
                                  <w:tcBorders>
                                    <w:top w:val="nil"/>
                                    <w:left w:val="nil"/>
                                    <w:bottom w:val="single" w:sz="4" w:space="0" w:color="auto"/>
                                    <w:right w:val="single" w:sz="4" w:space="0" w:color="auto"/>
                                  </w:tcBorders>
                                  <w:shd w:val="clear" w:color="auto" w:fill="auto"/>
                                  <w:noWrap/>
                                  <w:vAlign w:val="center"/>
                                  <w:hideMark/>
                                </w:tcPr>
                                <w:p w14:paraId="1719588E"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94.40 </w:t>
                                  </w:r>
                                </w:p>
                              </w:tc>
                              <w:tc>
                                <w:tcPr>
                                  <w:tcW w:w="737" w:type="dxa"/>
                                  <w:tcBorders>
                                    <w:top w:val="nil"/>
                                    <w:left w:val="nil"/>
                                    <w:bottom w:val="single" w:sz="4" w:space="0" w:color="auto"/>
                                    <w:right w:val="single" w:sz="4" w:space="0" w:color="auto"/>
                                  </w:tcBorders>
                                  <w:shd w:val="clear" w:color="auto" w:fill="auto"/>
                                  <w:noWrap/>
                                  <w:vAlign w:val="center"/>
                                  <w:hideMark/>
                                </w:tcPr>
                                <w:p w14:paraId="426706C5"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46,042 </w:t>
                                  </w:r>
                                </w:p>
                              </w:tc>
                              <w:tc>
                                <w:tcPr>
                                  <w:tcW w:w="737" w:type="dxa"/>
                                  <w:tcBorders>
                                    <w:top w:val="nil"/>
                                    <w:left w:val="nil"/>
                                    <w:bottom w:val="single" w:sz="4" w:space="0" w:color="auto"/>
                                    <w:right w:val="single" w:sz="4" w:space="0" w:color="auto"/>
                                  </w:tcBorders>
                                  <w:shd w:val="clear" w:color="auto" w:fill="auto"/>
                                  <w:noWrap/>
                                  <w:vAlign w:val="center"/>
                                  <w:hideMark/>
                                </w:tcPr>
                                <w:p w14:paraId="057B7C7A"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44,370 </w:t>
                                  </w:r>
                                </w:p>
                              </w:tc>
                              <w:tc>
                                <w:tcPr>
                                  <w:tcW w:w="737" w:type="dxa"/>
                                  <w:tcBorders>
                                    <w:top w:val="nil"/>
                                    <w:left w:val="nil"/>
                                    <w:bottom w:val="single" w:sz="4" w:space="0" w:color="auto"/>
                                    <w:right w:val="single" w:sz="4" w:space="0" w:color="auto"/>
                                  </w:tcBorders>
                                  <w:shd w:val="clear" w:color="auto" w:fill="auto"/>
                                  <w:noWrap/>
                                  <w:vAlign w:val="center"/>
                                  <w:hideMark/>
                                </w:tcPr>
                                <w:p w14:paraId="6D62FDAE"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96.37 </w:t>
                                  </w:r>
                                </w:p>
                              </w:tc>
                              <w:tc>
                                <w:tcPr>
                                  <w:tcW w:w="737" w:type="dxa"/>
                                  <w:tcBorders>
                                    <w:top w:val="nil"/>
                                    <w:left w:val="nil"/>
                                    <w:bottom w:val="single" w:sz="4" w:space="0" w:color="auto"/>
                                    <w:right w:val="single" w:sz="4" w:space="0" w:color="auto"/>
                                  </w:tcBorders>
                                  <w:shd w:val="clear" w:color="auto" w:fill="auto"/>
                                  <w:noWrap/>
                                  <w:vAlign w:val="center"/>
                                  <w:hideMark/>
                                </w:tcPr>
                                <w:p w14:paraId="09AAE03E"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871 </w:t>
                                  </w:r>
                                </w:p>
                              </w:tc>
                              <w:tc>
                                <w:tcPr>
                                  <w:tcW w:w="737" w:type="dxa"/>
                                  <w:tcBorders>
                                    <w:top w:val="nil"/>
                                    <w:left w:val="nil"/>
                                    <w:bottom w:val="single" w:sz="4" w:space="0" w:color="auto"/>
                                    <w:right w:val="single" w:sz="4" w:space="0" w:color="auto"/>
                                  </w:tcBorders>
                                  <w:shd w:val="clear" w:color="auto" w:fill="auto"/>
                                  <w:noWrap/>
                                  <w:vAlign w:val="center"/>
                                  <w:hideMark/>
                                </w:tcPr>
                                <w:p w14:paraId="7B6970E1"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515 </w:t>
                                  </w:r>
                                </w:p>
                              </w:tc>
                              <w:tc>
                                <w:tcPr>
                                  <w:tcW w:w="737" w:type="dxa"/>
                                  <w:tcBorders>
                                    <w:top w:val="nil"/>
                                    <w:left w:val="nil"/>
                                    <w:bottom w:val="single" w:sz="4" w:space="0" w:color="auto"/>
                                    <w:right w:val="single" w:sz="4" w:space="0" w:color="auto"/>
                                  </w:tcBorders>
                                  <w:shd w:val="clear" w:color="auto" w:fill="auto"/>
                                  <w:noWrap/>
                                  <w:vAlign w:val="center"/>
                                  <w:hideMark/>
                                </w:tcPr>
                                <w:p w14:paraId="171C5716"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59.17 </w:t>
                                  </w:r>
                                </w:p>
                              </w:tc>
                              <w:tc>
                                <w:tcPr>
                                  <w:tcW w:w="737" w:type="dxa"/>
                                  <w:tcBorders>
                                    <w:top w:val="nil"/>
                                    <w:left w:val="nil"/>
                                    <w:bottom w:val="single" w:sz="4" w:space="0" w:color="auto"/>
                                    <w:right w:val="single" w:sz="4" w:space="0" w:color="auto"/>
                                  </w:tcBorders>
                                  <w:shd w:val="clear" w:color="auto" w:fill="auto"/>
                                  <w:noWrap/>
                                  <w:vAlign w:val="center"/>
                                  <w:hideMark/>
                                </w:tcPr>
                                <w:p w14:paraId="35459779"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59,380 </w:t>
                                  </w:r>
                                </w:p>
                              </w:tc>
                              <w:tc>
                                <w:tcPr>
                                  <w:tcW w:w="737" w:type="dxa"/>
                                  <w:tcBorders>
                                    <w:top w:val="nil"/>
                                    <w:left w:val="nil"/>
                                    <w:bottom w:val="single" w:sz="4" w:space="0" w:color="auto"/>
                                    <w:right w:val="single" w:sz="4" w:space="0" w:color="auto"/>
                                  </w:tcBorders>
                                  <w:shd w:val="clear" w:color="auto" w:fill="auto"/>
                                  <w:noWrap/>
                                  <w:vAlign w:val="center"/>
                                  <w:hideMark/>
                                </w:tcPr>
                                <w:p w14:paraId="49D0C470"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55,454 </w:t>
                                  </w:r>
                                </w:p>
                              </w:tc>
                              <w:tc>
                                <w:tcPr>
                                  <w:tcW w:w="737" w:type="dxa"/>
                                  <w:tcBorders>
                                    <w:top w:val="nil"/>
                                    <w:left w:val="nil"/>
                                    <w:bottom w:val="single" w:sz="4" w:space="0" w:color="auto"/>
                                    <w:right w:val="single" w:sz="4" w:space="0" w:color="auto"/>
                                  </w:tcBorders>
                                  <w:shd w:val="clear" w:color="auto" w:fill="auto"/>
                                  <w:noWrap/>
                                  <w:vAlign w:val="center"/>
                                  <w:hideMark/>
                                </w:tcPr>
                                <w:p w14:paraId="690CE177"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93.39 </w:t>
                                  </w:r>
                                </w:p>
                              </w:tc>
                            </w:tr>
                            <w:tr w:rsidR="00A0212B" w:rsidRPr="006A3CE2" w14:paraId="1736A6C6" w14:textId="77777777" w:rsidTr="000131EC">
                              <w:trPr>
                                <w:trHeight w:val="315"/>
                                <w:jc w:val="center"/>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612C0BE8" w14:textId="77777777" w:rsidR="00A0212B" w:rsidRPr="006A3CE2" w:rsidRDefault="00A0212B" w:rsidP="000131EC">
                                  <w:pPr>
                                    <w:widowControl/>
                                    <w:jc w:val="center"/>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109</w:t>
                                  </w:r>
                                </w:p>
                              </w:tc>
                              <w:tc>
                                <w:tcPr>
                                  <w:tcW w:w="737" w:type="dxa"/>
                                  <w:tcBorders>
                                    <w:top w:val="nil"/>
                                    <w:left w:val="nil"/>
                                    <w:bottom w:val="single" w:sz="4" w:space="0" w:color="auto"/>
                                    <w:right w:val="single" w:sz="4" w:space="0" w:color="auto"/>
                                  </w:tcBorders>
                                  <w:shd w:val="clear" w:color="auto" w:fill="auto"/>
                                  <w:noWrap/>
                                  <w:vAlign w:val="center"/>
                                  <w:hideMark/>
                                </w:tcPr>
                                <w:p w14:paraId="71D1A1D7"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92,756 </w:t>
                                  </w:r>
                                </w:p>
                              </w:tc>
                              <w:tc>
                                <w:tcPr>
                                  <w:tcW w:w="737" w:type="dxa"/>
                                  <w:tcBorders>
                                    <w:top w:val="nil"/>
                                    <w:left w:val="nil"/>
                                    <w:bottom w:val="single" w:sz="4" w:space="0" w:color="auto"/>
                                    <w:right w:val="single" w:sz="4" w:space="0" w:color="auto"/>
                                  </w:tcBorders>
                                  <w:shd w:val="clear" w:color="auto" w:fill="auto"/>
                                  <w:noWrap/>
                                  <w:vAlign w:val="center"/>
                                  <w:hideMark/>
                                </w:tcPr>
                                <w:p w14:paraId="123A97CA"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91,765 </w:t>
                                  </w:r>
                                </w:p>
                              </w:tc>
                              <w:tc>
                                <w:tcPr>
                                  <w:tcW w:w="737" w:type="dxa"/>
                                  <w:tcBorders>
                                    <w:top w:val="nil"/>
                                    <w:left w:val="nil"/>
                                    <w:bottom w:val="single" w:sz="4" w:space="0" w:color="auto"/>
                                    <w:right w:val="single" w:sz="4" w:space="0" w:color="auto"/>
                                  </w:tcBorders>
                                  <w:shd w:val="clear" w:color="auto" w:fill="auto"/>
                                  <w:noWrap/>
                                  <w:vAlign w:val="center"/>
                                  <w:hideMark/>
                                </w:tcPr>
                                <w:p w14:paraId="6CDDDC66"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98.93 </w:t>
                                  </w:r>
                                </w:p>
                              </w:tc>
                              <w:tc>
                                <w:tcPr>
                                  <w:tcW w:w="737" w:type="dxa"/>
                                  <w:tcBorders>
                                    <w:top w:val="nil"/>
                                    <w:left w:val="nil"/>
                                    <w:bottom w:val="single" w:sz="4" w:space="0" w:color="auto"/>
                                    <w:right w:val="single" w:sz="4" w:space="0" w:color="auto"/>
                                  </w:tcBorders>
                                  <w:shd w:val="clear" w:color="auto" w:fill="auto"/>
                                  <w:noWrap/>
                                  <w:vAlign w:val="center"/>
                                  <w:hideMark/>
                                </w:tcPr>
                                <w:p w14:paraId="165D21DA"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43,585 </w:t>
                                  </w:r>
                                </w:p>
                              </w:tc>
                              <w:tc>
                                <w:tcPr>
                                  <w:tcW w:w="737" w:type="dxa"/>
                                  <w:tcBorders>
                                    <w:top w:val="nil"/>
                                    <w:left w:val="nil"/>
                                    <w:bottom w:val="single" w:sz="4" w:space="0" w:color="auto"/>
                                    <w:right w:val="single" w:sz="4" w:space="0" w:color="auto"/>
                                  </w:tcBorders>
                                  <w:shd w:val="clear" w:color="auto" w:fill="auto"/>
                                  <w:noWrap/>
                                  <w:vAlign w:val="center"/>
                                  <w:hideMark/>
                                </w:tcPr>
                                <w:p w14:paraId="0DE87826"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40,558 </w:t>
                                  </w:r>
                                </w:p>
                              </w:tc>
                              <w:tc>
                                <w:tcPr>
                                  <w:tcW w:w="737" w:type="dxa"/>
                                  <w:tcBorders>
                                    <w:top w:val="nil"/>
                                    <w:left w:val="nil"/>
                                    <w:bottom w:val="single" w:sz="4" w:space="0" w:color="auto"/>
                                    <w:right w:val="single" w:sz="4" w:space="0" w:color="auto"/>
                                  </w:tcBorders>
                                  <w:shd w:val="clear" w:color="auto" w:fill="auto"/>
                                  <w:noWrap/>
                                  <w:vAlign w:val="center"/>
                                  <w:hideMark/>
                                </w:tcPr>
                                <w:p w14:paraId="2A55F604"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93.06 </w:t>
                                  </w:r>
                                </w:p>
                              </w:tc>
                              <w:tc>
                                <w:tcPr>
                                  <w:tcW w:w="737" w:type="dxa"/>
                                  <w:tcBorders>
                                    <w:top w:val="nil"/>
                                    <w:left w:val="nil"/>
                                    <w:bottom w:val="single" w:sz="4" w:space="0" w:color="auto"/>
                                    <w:right w:val="single" w:sz="4" w:space="0" w:color="auto"/>
                                  </w:tcBorders>
                                  <w:shd w:val="clear" w:color="auto" w:fill="auto"/>
                                  <w:noWrap/>
                                  <w:vAlign w:val="center"/>
                                  <w:hideMark/>
                                </w:tcPr>
                                <w:p w14:paraId="3ECBB160"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1,173 </w:t>
                                  </w:r>
                                </w:p>
                              </w:tc>
                              <w:tc>
                                <w:tcPr>
                                  <w:tcW w:w="737" w:type="dxa"/>
                                  <w:tcBorders>
                                    <w:top w:val="nil"/>
                                    <w:left w:val="nil"/>
                                    <w:bottom w:val="single" w:sz="4" w:space="0" w:color="auto"/>
                                    <w:right w:val="single" w:sz="4" w:space="0" w:color="auto"/>
                                  </w:tcBorders>
                                  <w:shd w:val="clear" w:color="auto" w:fill="auto"/>
                                  <w:noWrap/>
                                  <w:vAlign w:val="center"/>
                                  <w:hideMark/>
                                </w:tcPr>
                                <w:p w14:paraId="27607303"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960 </w:t>
                                  </w:r>
                                </w:p>
                              </w:tc>
                              <w:tc>
                                <w:tcPr>
                                  <w:tcW w:w="737" w:type="dxa"/>
                                  <w:tcBorders>
                                    <w:top w:val="nil"/>
                                    <w:left w:val="nil"/>
                                    <w:bottom w:val="single" w:sz="4" w:space="0" w:color="auto"/>
                                    <w:right w:val="single" w:sz="4" w:space="0" w:color="auto"/>
                                  </w:tcBorders>
                                  <w:shd w:val="clear" w:color="auto" w:fill="auto"/>
                                  <w:noWrap/>
                                  <w:vAlign w:val="center"/>
                                  <w:hideMark/>
                                </w:tcPr>
                                <w:p w14:paraId="3A290A57"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81.91 </w:t>
                                  </w:r>
                                </w:p>
                              </w:tc>
                              <w:tc>
                                <w:tcPr>
                                  <w:tcW w:w="737" w:type="dxa"/>
                                  <w:tcBorders>
                                    <w:top w:val="nil"/>
                                    <w:left w:val="nil"/>
                                    <w:bottom w:val="single" w:sz="4" w:space="0" w:color="auto"/>
                                    <w:right w:val="single" w:sz="4" w:space="0" w:color="auto"/>
                                  </w:tcBorders>
                                  <w:shd w:val="clear" w:color="auto" w:fill="auto"/>
                                  <w:noWrap/>
                                  <w:vAlign w:val="center"/>
                                  <w:hideMark/>
                                </w:tcPr>
                                <w:p w14:paraId="537E73B0"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47,997 </w:t>
                                  </w:r>
                                </w:p>
                              </w:tc>
                              <w:tc>
                                <w:tcPr>
                                  <w:tcW w:w="737" w:type="dxa"/>
                                  <w:tcBorders>
                                    <w:top w:val="nil"/>
                                    <w:left w:val="nil"/>
                                    <w:bottom w:val="single" w:sz="4" w:space="0" w:color="auto"/>
                                    <w:right w:val="single" w:sz="4" w:space="0" w:color="auto"/>
                                  </w:tcBorders>
                                  <w:shd w:val="clear" w:color="auto" w:fill="auto"/>
                                  <w:noWrap/>
                                  <w:vAlign w:val="center"/>
                                  <w:hideMark/>
                                </w:tcPr>
                                <w:p w14:paraId="3528F6BD"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50,245 </w:t>
                                  </w:r>
                                </w:p>
                              </w:tc>
                              <w:tc>
                                <w:tcPr>
                                  <w:tcW w:w="737" w:type="dxa"/>
                                  <w:tcBorders>
                                    <w:top w:val="nil"/>
                                    <w:left w:val="nil"/>
                                    <w:bottom w:val="single" w:sz="4" w:space="0" w:color="auto"/>
                                    <w:right w:val="single" w:sz="4" w:space="0" w:color="auto"/>
                                  </w:tcBorders>
                                  <w:shd w:val="clear" w:color="auto" w:fill="auto"/>
                                  <w:noWrap/>
                                  <w:vAlign w:val="center"/>
                                  <w:hideMark/>
                                </w:tcPr>
                                <w:p w14:paraId="7F8E754A"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104.69 </w:t>
                                  </w:r>
                                </w:p>
                              </w:tc>
                            </w:tr>
                            <w:tr w:rsidR="00A0212B" w:rsidRPr="006A3CE2" w14:paraId="32502697" w14:textId="77777777" w:rsidTr="000131EC">
                              <w:trPr>
                                <w:trHeight w:val="300"/>
                                <w:jc w:val="center"/>
                              </w:trPr>
                              <w:tc>
                                <w:tcPr>
                                  <w:tcW w:w="9581" w:type="dxa"/>
                                  <w:gridSpan w:val="13"/>
                                  <w:tcBorders>
                                    <w:top w:val="single" w:sz="4" w:space="0" w:color="auto"/>
                                    <w:left w:val="nil"/>
                                    <w:bottom w:val="nil"/>
                                    <w:right w:val="nil"/>
                                  </w:tcBorders>
                                  <w:shd w:val="clear" w:color="auto" w:fill="auto"/>
                                  <w:vAlign w:val="center"/>
                                  <w:hideMark/>
                                </w:tcPr>
                                <w:p w14:paraId="26A8BC65" w14:textId="77777777" w:rsidR="00A0212B" w:rsidRPr="006A3CE2" w:rsidRDefault="00A0212B" w:rsidP="000131EC">
                                  <w:pPr>
                                    <w:widowControl/>
                                    <w:snapToGrid w:val="0"/>
                                    <w:spacing w:line="200" w:lineRule="atLeast"/>
                                    <w:ind w:left="540" w:hangingChars="300" w:hanging="540"/>
                                    <w:jc w:val="both"/>
                                    <w:rPr>
                                      <w:rFonts w:ascii="標楷體" w:eastAsia="標楷體" w:hAnsi="標楷體" w:cs="新細明體"/>
                                      <w:color w:val="000000"/>
                                      <w:kern w:val="0"/>
                                      <w:sz w:val="18"/>
                                      <w:szCs w:val="18"/>
                                    </w:rPr>
                                  </w:pPr>
                                  <w:r w:rsidRPr="006A3CE2">
                                    <w:rPr>
                                      <w:rFonts w:ascii="標楷體" w:eastAsia="標楷體" w:hAnsi="標楷體" w:cs="新細明體" w:hint="eastAsia"/>
                                      <w:color w:val="000000"/>
                                      <w:kern w:val="0"/>
                                      <w:sz w:val="18"/>
                                      <w:szCs w:val="18"/>
                                    </w:rPr>
                                    <w:t>註：1.截至113年4</w:t>
                                  </w:r>
                                  <w:r>
                                    <w:rPr>
                                      <w:rFonts w:ascii="標楷體" w:eastAsia="標楷體" w:hAnsi="標楷體" w:cs="新細明體" w:hint="eastAsia"/>
                                      <w:color w:val="000000"/>
                                      <w:kern w:val="0"/>
                                      <w:sz w:val="18"/>
                                      <w:szCs w:val="18"/>
                                    </w:rPr>
                                    <w:t>月底止，行政</w:t>
                                  </w:r>
                                  <w:r w:rsidRPr="006A3CE2">
                                    <w:rPr>
                                      <w:rFonts w:ascii="標楷體" w:eastAsia="標楷體" w:hAnsi="標楷體" w:cs="新細明體" w:hint="eastAsia"/>
                                      <w:color w:val="000000"/>
                                      <w:kern w:val="0"/>
                                      <w:sz w:val="18"/>
                                      <w:szCs w:val="18"/>
                                    </w:rPr>
                                    <w:t>院已公開109至111</w:t>
                                  </w:r>
                                  <w:r>
                                    <w:rPr>
                                      <w:rFonts w:ascii="標楷體" w:eastAsia="標楷體" w:hAnsi="標楷體" w:cs="新細明體" w:hint="eastAsia"/>
                                      <w:color w:val="000000"/>
                                      <w:kern w:val="0"/>
                                      <w:sz w:val="18"/>
                                      <w:szCs w:val="18"/>
                                    </w:rPr>
                                    <w:t>年度行政院及所屬各部會性別預算執行情形整體說明，又各部會已向行政</w:t>
                                  </w:r>
                                  <w:r w:rsidRPr="006A3CE2">
                                    <w:rPr>
                                      <w:rFonts w:ascii="標楷體" w:eastAsia="標楷體" w:hAnsi="標楷體" w:cs="新細明體" w:hint="eastAsia"/>
                                      <w:color w:val="000000"/>
                                      <w:kern w:val="0"/>
                                      <w:sz w:val="18"/>
                                      <w:szCs w:val="18"/>
                                    </w:rPr>
                                    <w:t>院提出112</w:t>
                                  </w:r>
                                  <w:r>
                                    <w:rPr>
                                      <w:rFonts w:ascii="標楷體" w:eastAsia="標楷體" w:hAnsi="標楷體" w:cs="新細明體" w:hint="eastAsia"/>
                                      <w:color w:val="000000"/>
                                      <w:kern w:val="0"/>
                                      <w:sz w:val="18"/>
                                      <w:szCs w:val="18"/>
                                    </w:rPr>
                                    <w:t>年度性別預算執行情形，行政</w:t>
                                  </w:r>
                                  <w:r w:rsidRPr="006A3CE2">
                                    <w:rPr>
                                      <w:rFonts w:ascii="標楷體" w:eastAsia="標楷體" w:hAnsi="標楷體" w:cs="新細明體" w:hint="eastAsia"/>
                                      <w:color w:val="000000"/>
                                      <w:kern w:val="0"/>
                                      <w:sz w:val="18"/>
                                      <w:szCs w:val="18"/>
                                    </w:rPr>
                                    <w:t>院尚在彙整中。</w:t>
                                  </w:r>
                                </w:p>
                              </w:tc>
                            </w:tr>
                            <w:tr w:rsidR="00A0212B" w:rsidRPr="006A3CE2" w14:paraId="3F48872F" w14:textId="77777777" w:rsidTr="000131EC">
                              <w:trPr>
                                <w:trHeight w:val="510"/>
                                <w:jc w:val="center"/>
                              </w:trPr>
                              <w:tc>
                                <w:tcPr>
                                  <w:tcW w:w="9581" w:type="dxa"/>
                                  <w:gridSpan w:val="13"/>
                                  <w:tcBorders>
                                    <w:top w:val="nil"/>
                                    <w:left w:val="nil"/>
                                    <w:bottom w:val="nil"/>
                                    <w:right w:val="nil"/>
                                  </w:tcBorders>
                                  <w:shd w:val="clear" w:color="auto" w:fill="auto"/>
                                  <w:vAlign w:val="center"/>
                                  <w:hideMark/>
                                </w:tcPr>
                                <w:p w14:paraId="47E535AA" w14:textId="685A9720" w:rsidR="00A0212B" w:rsidRPr="006A3CE2" w:rsidRDefault="00A0212B" w:rsidP="00E13A27">
                                  <w:pPr>
                                    <w:widowControl/>
                                    <w:snapToGrid w:val="0"/>
                                    <w:spacing w:line="200" w:lineRule="atLeast"/>
                                    <w:ind w:leftChars="150" w:left="540" w:hangingChars="100" w:hanging="180"/>
                                    <w:jc w:val="both"/>
                                    <w:rPr>
                                      <w:rFonts w:ascii="標楷體" w:eastAsia="標楷體" w:hAnsi="標楷體" w:cs="新細明體"/>
                                      <w:color w:val="000000"/>
                                      <w:kern w:val="0"/>
                                      <w:sz w:val="18"/>
                                      <w:szCs w:val="18"/>
                                    </w:rPr>
                                  </w:pPr>
                                  <w:r w:rsidRPr="006A3CE2">
                                    <w:rPr>
                                      <w:rFonts w:ascii="標楷體" w:eastAsia="標楷體" w:hAnsi="標楷體" w:cs="新細明體" w:hint="eastAsia"/>
                                      <w:color w:val="000000"/>
                                      <w:kern w:val="0"/>
                                      <w:sz w:val="18"/>
                                      <w:szCs w:val="18"/>
                                    </w:rPr>
                                    <w:t>2.性別預算為行政院及所屬各部會於編列年度預算時，就其中涉及促進性別平等相關業務經費予以匡列註記或按比例計算之結果，執行時可能視需要於相關預算科目勻用列支，或按實際比</w:t>
                                  </w:r>
                                  <w:r>
                                    <w:rPr>
                                      <w:rFonts w:ascii="標楷體" w:eastAsia="標楷體" w:hAnsi="標楷體" w:cs="新細明體" w:hint="eastAsia"/>
                                      <w:color w:val="000000"/>
                                      <w:kern w:val="0"/>
                                      <w:sz w:val="18"/>
                                      <w:szCs w:val="18"/>
                                    </w:rPr>
                                    <w:t>率</w:t>
                                  </w:r>
                                  <w:r w:rsidRPr="006A3CE2">
                                    <w:rPr>
                                      <w:rFonts w:ascii="標楷體" w:eastAsia="標楷體" w:hAnsi="標楷體" w:cs="新細明體" w:hint="eastAsia"/>
                                      <w:color w:val="000000"/>
                                      <w:kern w:val="0"/>
                                      <w:sz w:val="18"/>
                                      <w:szCs w:val="18"/>
                                    </w:rPr>
                                    <w:t>計算，故有執行數超逾預算數情形。</w:t>
                                  </w:r>
                                </w:p>
                              </w:tc>
                            </w:tr>
                            <w:tr w:rsidR="00A0212B" w:rsidRPr="006A3CE2" w14:paraId="5B712393" w14:textId="77777777" w:rsidTr="000131EC">
                              <w:trPr>
                                <w:trHeight w:val="315"/>
                                <w:jc w:val="center"/>
                              </w:trPr>
                              <w:tc>
                                <w:tcPr>
                                  <w:tcW w:w="9581" w:type="dxa"/>
                                  <w:gridSpan w:val="13"/>
                                  <w:tcBorders>
                                    <w:top w:val="nil"/>
                                    <w:left w:val="nil"/>
                                    <w:bottom w:val="nil"/>
                                    <w:right w:val="nil"/>
                                  </w:tcBorders>
                                  <w:shd w:val="clear" w:color="auto" w:fill="auto"/>
                                  <w:noWrap/>
                                  <w:vAlign w:val="center"/>
                                  <w:hideMark/>
                                </w:tcPr>
                                <w:p w14:paraId="5C76FA67" w14:textId="77777777" w:rsidR="00A0212B" w:rsidRPr="006A3CE2" w:rsidRDefault="00A0212B" w:rsidP="000131EC">
                                  <w:pPr>
                                    <w:widowControl/>
                                    <w:snapToGrid w:val="0"/>
                                    <w:spacing w:line="200" w:lineRule="atLeast"/>
                                    <w:ind w:leftChars="150" w:left="540" w:hangingChars="100" w:hanging="180"/>
                                    <w:jc w:val="both"/>
                                    <w:rPr>
                                      <w:rFonts w:ascii="標楷體" w:eastAsia="標楷體" w:hAnsi="標楷體" w:cs="新細明體"/>
                                      <w:color w:val="000000"/>
                                      <w:kern w:val="0"/>
                                      <w:sz w:val="18"/>
                                      <w:szCs w:val="18"/>
                                    </w:rPr>
                                  </w:pPr>
                                  <w:r w:rsidRPr="006A3CE2">
                                    <w:rPr>
                                      <w:rFonts w:ascii="標楷體" w:eastAsia="標楷體" w:hAnsi="標楷體" w:cs="新細明體" w:hint="eastAsia"/>
                                      <w:color w:val="000000"/>
                                      <w:kern w:val="0"/>
                                      <w:sz w:val="18"/>
                                      <w:szCs w:val="18"/>
                                    </w:rPr>
                                    <w:t>3.資料來源：109至111年度整理自行政院性別平等會網站公布各該年度「行政院及所屬各部會性別預算執行情形整體說明」；112年度整理自行政院及所屬各部會提供資料。</w:t>
                                  </w:r>
                                </w:p>
                              </w:tc>
                            </w:tr>
                          </w:tbl>
                          <w:p w14:paraId="1E6E964C" w14:textId="77777777" w:rsidR="00A0212B" w:rsidRPr="006A3CE2" w:rsidRDefault="00A0212B" w:rsidP="00A03E5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F99610" id="_x0000_s1086" type="#_x0000_t202" style="position:absolute;left:0;text-align:left;margin-left:3.85pt;margin-top:125.7pt;width:492pt;height:220.6pt;z-index:251645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" stroked="f">
                <v:textbox>
                  <w:txbxContent>
                    <w:tbl>
                      <w:tblPr>
                        <w:tblW w:w="9581" w:type="dxa"/>
                        <w:jc w:val="center"/>
                        <w:tblLayout w:type="fixed"/>
                        <w:tblCellMar>
                          <w:left w:w="28" w:type="dxa"/>
                          <w:right w:w="28" w:type="dxa"/>
                        </w:tblCellMar>
                        <w:tblLook w:val="04A0" w:firstRow="1" w:lastRow="0" w:firstColumn="1" w:lastColumn="0" w:noHBand="0" w:noVBand="1"/>
                      </w:tblPr>
                      <w:tblGrid>
                        <w:gridCol w:w="737"/>
                        <w:gridCol w:w="737"/>
                        <w:gridCol w:w="737"/>
                        <w:gridCol w:w="737"/>
                        <w:gridCol w:w="737"/>
                        <w:gridCol w:w="737"/>
                        <w:gridCol w:w="737"/>
                        <w:gridCol w:w="737"/>
                        <w:gridCol w:w="737"/>
                        <w:gridCol w:w="737"/>
                        <w:gridCol w:w="737"/>
                        <w:gridCol w:w="737"/>
                        <w:gridCol w:w="737"/>
                      </w:tblGrid>
                      <w:tr w:rsidR="00A0212B" w:rsidRPr="006A3CE2" w14:paraId="7729D8CE" w14:textId="77777777" w:rsidTr="000131EC">
                        <w:trPr>
                          <w:trHeight w:val="330"/>
                          <w:jc w:val="center"/>
                        </w:trPr>
                        <w:tc>
                          <w:tcPr>
                            <w:tcW w:w="9581" w:type="dxa"/>
                            <w:gridSpan w:val="13"/>
                            <w:tcBorders>
                              <w:top w:val="nil"/>
                              <w:left w:val="nil"/>
                              <w:bottom w:val="nil"/>
                              <w:right w:val="nil"/>
                            </w:tcBorders>
                            <w:shd w:val="clear" w:color="auto" w:fill="auto"/>
                            <w:noWrap/>
                            <w:vAlign w:val="center"/>
                            <w:hideMark/>
                          </w:tcPr>
                          <w:p w14:paraId="7ED61D2A" w14:textId="2E71FDFC" w:rsidR="00A0212B" w:rsidRPr="006A3CE2" w:rsidRDefault="00A0212B">
                            <w:pPr>
                              <w:widowControl/>
                              <w:jc w:val="center"/>
                              <w:rPr>
                                <w:rFonts w:ascii="標楷體" w:eastAsia="標楷體" w:hAnsi="標楷體" w:cs="新細明體"/>
                                <w:b/>
                                <w:bCs/>
                                <w:color w:val="000000"/>
                                <w:kern w:val="0"/>
                                <w:szCs w:val="24"/>
                              </w:rPr>
                            </w:pPr>
                            <w:r w:rsidRPr="00A61463">
                              <w:rPr>
                                <w:rFonts w:ascii="標楷體" w:eastAsia="標楷體" w:hAnsi="標楷體" w:cs="新細明體" w:hint="eastAsia"/>
                                <w:b/>
                                <w:bCs/>
                                <w:color w:val="000000"/>
                                <w:kern w:val="0"/>
                                <w:szCs w:val="24"/>
                              </w:rPr>
                              <w:t>表</w:t>
                            </w:r>
                            <w:r>
                              <w:rPr>
                                <w:rFonts w:ascii="標楷體" w:eastAsia="標楷體" w:hAnsi="標楷體" w:cs="新細明體"/>
                                <w:b/>
                                <w:bCs/>
                                <w:color w:val="000000"/>
                                <w:kern w:val="0"/>
                                <w:szCs w:val="24"/>
                              </w:rPr>
                              <w:t>22</w:t>
                            </w:r>
                            <w:r>
                              <w:rPr>
                                <w:rFonts w:ascii="標楷體" w:eastAsia="標楷體" w:hAnsi="標楷體" w:cs="新細明體" w:hint="eastAsia"/>
                                <w:b/>
                                <w:bCs/>
                                <w:color w:val="000000"/>
                                <w:kern w:val="0"/>
                                <w:szCs w:val="24"/>
                              </w:rPr>
                              <w:t xml:space="preserve">　</w:t>
                            </w:r>
                            <w:r w:rsidRPr="006A3CE2">
                              <w:rPr>
                                <w:rFonts w:ascii="標楷體" w:eastAsia="標楷體" w:hAnsi="標楷體" w:cs="新細明體" w:hint="eastAsia"/>
                                <w:b/>
                                <w:bCs/>
                                <w:color w:val="000000"/>
                                <w:kern w:val="0"/>
                                <w:szCs w:val="24"/>
                              </w:rPr>
                              <w:t>行政院及所屬各部會性別預算編列及執行情形</w:t>
                            </w:r>
                          </w:p>
                        </w:tc>
                      </w:tr>
                      <w:tr w:rsidR="00A0212B" w:rsidRPr="006A3CE2" w14:paraId="15885921" w14:textId="77777777" w:rsidTr="000131EC">
                        <w:trPr>
                          <w:trHeight w:val="315"/>
                          <w:jc w:val="center"/>
                        </w:trPr>
                        <w:tc>
                          <w:tcPr>
                            <w:tcW w:w="9581" w:type="dxa"/>
                            <w:gridSpan w:val="13"/>
                            <w:tcBorders>
                              <w:top w:val="nil"/>
                              <w:left w:val="nil"/>
                              <w:bottom w:val="single" w:sz="4" w:space="0" w:color="auto"/>
                              <w:right w:val="nil"/>
                            </w:tcBorders>
                            <w:shd w:val="clear" w:color="auto" w:fill="auto"/>
                            <w:noWrap/>
                            <w:vAlign w:val="center"/>
                            <w:hideMark/>
                          </w:tcPr>
                          <w:p w14:paraId="1B6F3D1E" w14:textId="77777777" w:rsidR="00A0212B" w:rsidRPr="006A3CE2" w:rsidRDefault="00A0212B" w:rsidP="000131EC">
                            <w:pPr>
                              <w:widowControl/>
                              <w:jc w:val="right"/>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單位：新臺幣</w:t>
                            </w:r>
                            <w:r>
                              <w:rPr>
                                <w:rFonts w:ascii="標楷體" w:eastAsia="標楷體" w:hAnsi="標楷體" w:cs="新細明體" w:hint="eastAsia"/>
                                <w:color w:val="000000"/>
                                <w:kern w:val="0"/>
                                <w:sz w:val="20"/>
                              </w:rPr>
                              <w:t>百萬</w:t>
                            </w:r>
                            <w:r w:rsidRPr="006A3CE2">
                              <w:rPr>
                                <w:rFonts w:ascii="標楷體" w:eastAsia="標楷體" w:hAnsi="標楷體" w:cs="新細明體" w:hint="eastAsia"/>
                                <w:color w:val="000000"/>
                                <w:kern w:val="0"/>
                                <w:sz w:val="20"/>
                              </w:rPr>
                              <w:t>元、％</w:t>
                            </w:r>
                          </w:p>
                        </w:tc>
                      </w:tr>
                      <w:tr w:rsidR="00A0212B" w:rsidRPr="006A3CE2" w14:paraId="1CD36FFD" w14:textId="77777777" w:rsidTr="000131EC">
                        <w:trPr>
                          <w:trHeight w:val="315"/>
                          <w:jc w:val="center"/>
                        </w:trPr>
                        <w:tc>
                          <w:tcPr>
                            <w:tcW w:w="737" w:type="dxa"/>
                            <w:vMerge w:val="restart"/>
                            <w:tcBorders>
                              <w:top w:val="nil"/>
                              <w:left w:val="single" w:sz="4" w:space="0" w:color="auto"/>
                              <w:right w:val="single" w:sz="4" w:space="0" w:color="auto"/>
                            </w:tcBorders>
                            <w:shd w:val="clear" w:color="auto" w:fill="auto"/>
                            <w:noWrap/>
                            <w:vAlign w:val="center"/>
                            <w:hideMark/>
                          </w:tcPr>
                          <w:p w14:paraId="2AD0076E"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年度</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09B9C288" w14:textId="77777777" w:rsidR="00A0212B" w:rsidRPr="006A3CE2" w:rsidRDefault="00A0212B" w:rsidP="000131EC">
                            <w:pPr>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合計</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36689E65" w14:textId="77777777" w:rsidR="00A0212B" w:rsidRPr="006A3CE2" w:rsidRDefault="00A0212B" w:rsidP="000131EC">
                            <w:pPr>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公務機關</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66914B00"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營業基金</w:t>
                            </w:r>
                          </w:p>
                        </w:tc>
                        <w:tc>
                          <w:tcPr>
                            <w:tcW w:w="2211" w:type="dxa"/>
                            <w:gridSpan w:val="3"/>
                            <w:tcBorders>
                              <w:top w:val="single" w:sz="4" w:space="0" w:color="auto"/>
                              <w:left w:val="nil"/>
                              <w:bottom w:val="single" w:sz="4" w:space="0" w:color="auto"/>
                              <w:right w:val="single" w:sz="4" w:space="0" w:color="auto"/>
                            </w:tcBorders>
                            <w:shd w:val="clear" w:color="auto" w:fill="auto"/>
                            <w:noWrap/>
                            <w:vAlign w:val="center"/>
                            <w:hideMark/>
                          </w:tcPr>
                          <w:p w14:paraId="6EF735AF"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非營業基金</w:t>
                            </w:r>
                          </w:p>
                        </w:tc>
                      </w:tr>
                      <w:tr w:rsidR="00A0212B" w:rsidRPr="006A3CE2" w14:paraId="4D75E526" w14:textId="77777777" w:rsidTr="000131EC">
                        <w:trPr>
                          <w:trHeight w:val="315"/>
                          <w:jc w:val="center"/>
                        </w:trPr>
                        <w:tc>
                          <w:tcPr>
                            <w:tcW w:w="737" w:type="dxa"/>
                            <w:vMerge/>
                            <w:tcBorders>
                              <w:left w:val="single" w:sz="4" w:space="0" w:color="auto"/>
                              <w:bottom w:val="single" w:sz="4" w:space="0" w:color="auto"/>
                              <w:right w:val="single" w:sz="4" w:space="0" w:color="auto"/>
                            </w:tcBorders>
                            <w:shd w:val="clear" w:color="auto" w:fill="auto"/>
                            <w:vAlign w:val="center"/>
                            <w:hideMark/>
                          </w:tcPr>
                          <w:p w14:paraId="767C08A9" w14:textId="77777777" w:rsidR="00A0212B" w:rsidRPr="006A3CE2" w:rsidRDefault="00A0212B" w:rsidP="000131EC">
                            <w:pPr>
                              <w:widowControl/>
                              <w:snapToGrid w:val="0"/>
                              <w:spacing w:line="200" w:lineRule="atLeast"/>
                              <w:rPr>
                                <w:rFonts w:ascii="標楷體" w:eastAsia="標楷體" w:hAnsi="標楷體" w:cs="新細明體"/>
                                <w:color w:val="000000"/>
                                <w:kern w:val="0"/>
                                <w:sz w:val="20"/>
                              </w:rPr>
                            </w:pPr>
                          </w:p>
                        </w:tc>
                        <w:tc>
                          <w:tcPr>
                            <w:tcW w:w="737" w:type="dxa"/>
                            <w:tcBorders>
                              <w:top w:val="nil"/>
                              <w:left w:val="nil"/>
                              <w:bottom w:val="single" w:sz="4" w:space="0" w:color="auto"/>
                              <w:right w:val="single" w:sz="4" w:space="0" w:color="auto"/>
                            </w:tcBorders>
                            <w:shd w:val="clear" w:color="auto" w:fill="auto"/>
                            <w:noWrap/>
                            <w:vAlign w:val="center"/>
                            <w:hideMark/>
                          </w:tcPr>
                          <w:p w14:paraId="0F652DBD"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預算數</w:t>
                            </w:r>
                          </w:p>
                        </w:tc>
                        <w:tc>
                          <w:tcPr>
                            <w:tcW w:w="737" w:type="dxa"/>
                            <w:tcBorders>
                              <w:top w:val="nil"/>
                              <w:left w:val="nil"/>
                              <w:bottom w:val="single" w:sz="4" w:space="0" w:color="auto"/>
                              <w:right w:val="single" w:sz="4" w:space="0" w:color="auto"/>
                            </w:tcBorders>
                            <w:shd w:val="clear" w:color="auto" w:fill="auto"/>
                            <w:noWrap/>
                            <w:vAlign w:val="center"/>
                            <w:hideMark/>
                          </w:tcPr>
                          <w:p w14:paraId="37986654"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執行數</w:t>
                            </w:r>
                          </w:p>
                          <w:p w14:paraId="6C9A86F8"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(註2)</w:t>
                            </w:r>
                          </w:p>
                        </w:tc>
                        <w:tc>
                          <w:tcPr>
                            <w:tcW w:w="737" w:type="dxa"/>
                            <w:tcBorders>
                              <w:top w:val="nil"/>
                              <w:left w:val="nil"/>
                              <w:bottom w:val="single" w:sz="4" w:space="0" w:color="auto"/>
                              <w:right w:val="single" w:sz="4" w:space="0" w:color="auto"/>
                            </w:tcBorders>
                            <w:shd w:val="clear" w:color="auto" w:fill="auto"/>
                            <w:noWrap/>
                            <w:vAlign w:val="center"/>
                            <w:hideMark/>
                          </w:tcPr>
                          <w:p w14:paraId="7F38CBDB"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執行率</w:t>
                            </w:r>
                          </w:p>
                        </w:tc>
                        <w:tc>
                          <w:tcPr>
                            <w:tcW w:w="737" w:type="dxa"/>
                            <w:tcBorders>
                              <w:top w:val="nil"/>
                              <w:left w:val="nil"/>
                              <w:bottom w:val="single" w:sz="4" w:space="0" w:color="auto"/>
                              <w:right w:val="single" w:sz="4" w:space="0" w:color="auto"/>
                            </w:tcBorders>
                            <w:shd w:val="clear" w:color="auto" w:fill="auto"/>
                            <w:noWrap/>
                            <w:vAlign w:val="center"/>
                            <w:hideMark/>
                          </w:tcPr>
                          <w:p w14:paraId="40F182D3"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預算數</w:t>
                            </w:r>
                          </w:p>
                        </w:tc>
                        <w:tc>
                          <w:tcPr>
                            <w:tcW w:w="737" w:type="dxa"/>
                            <w:tcBorders>
                              <w:top w:val="nil"/>
                              <w:left w:val="nil"/>
                              <w:bottom w:val="single" w:sz="4" w:space="0" w:color="auto"/>
                              <w:right w:val="single" w:sz="4" w:space="0" w:color="auto"/>
                            </w:tcBorders>
                            <w:shd w:val="clear" w:color="auto" w:fill="auto"/>
                            <w:noWrap/>
                            <w:vAlign w:val="center"/>
                            <w:hideMark/>
                          </w:tcPr>
                          <w:p w14:paraId="0C34B2A5"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執行數</w:t>
                            </w:r>
                          </w:p>
                        </w:tc>
                        <w:tc>
                          <w:tcPr>
                            <w:tcW w:w="737" w:type="dxa"/>
                            <w:tcBorders>
                              <w:top w:val="nil"/>
                              <w:left w:val="nil"/>
                              <w:bottom w:val="single" w:sz="4" w:space="0" w:color="auto"/>
                              <w:right w:val="single" w:sz="4" w:space="0" w:color="auto"/>
                            </w:tcBorders>
                            <w:shd w:val="clear" w:color="auto" w:fill="auto"/>
                            <w:noWrap/>
                            <w:vAlign w:val="center"/>
                            <w:hideMark/>
                          </w:tcPr>
                          <w:p w14:paraId="5CB61D2F"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執行率</w:t>
                            </w:r>
                          </w:p>
                        </w:tc>
                        <w:tc>
                          <w:tcPr>
                            <w:tcW w:w="737" w:type="dxa"/>
                            <w:tcBorders>
                              <w:top w:val="nil"/>
                              <w:left w:val="nil"/>
                              <w:bottom w:val="single" w:sz="4" w:space="0" w:color="auto"/>
                              <w:right w:val="single" w:sz="4" w:space="0" w:color="auto"/>
                            </w:tcBorders>
                            <w:shd w:val="clear" w:color="auto" w:fill="auto"/>
                            <w:noWrap/>
                            <w:vAlign w:val="center"/>
                            <w:hideMark/>
                          </w:tcPr>
                          <w:p w14:paraId="518A8B96"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預算數</w:t>
                            </w:r>
                          </w:p>
                        </w:tc>
                        <w:tc>
                          <w:tcPr>
                            <w:tcW w:w="737" w:type="dxa"/>
                            <w:tcBorders>
                              <w:top w:val="nil"/>
                              <w:left w:val="nil"/>
                              <w:bottom w:val="single" w:sz="4" w:space="0" w:color="auto"/>
                              <w:right w:val="single" w:sz="4" w:space="0" w:color="auto"/>
                            </w:tcBorders>
                            <w:shd w:val="clear" w:color="auto" w:fill="auto"/>
                            <w:noWrap/>
                            <w:vAlign w:val="center"/>
                            <w:hideMark/>
                          </w:tcPr>
                          <w:p w14:paraId="4B19C877"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執行數</w:t>
                            </w:r>
                          </w:p>
                        </w:tc>
                        <w:tc>
                          <w:tcPr>
                            <w:tcW w:w="737" w:type="dxa"/>
                            <w:tcBorders>
                              <w:top w:val="nil"/>
                              <w:left w:val="nil"/>
                              <w:bottom w:val="single" w:sz="4" w:space="0" w:color="auto"/>
                              <w:right w:val="single" w:sz="4" w:space="0" w:color="auto"/>
                            </w:tcBorders>
                            <w:shd w:val="clear" w:color="auto" w:fill="auto"/>
                            <w:noWrap/>
                            <w:vAlign w:val="center"/>
                            <w:hideMark/>
                          </w:tcPr>
                          <w:p w14:paraId="372C684E" w14:textId="77777777" w:rsidR="00A0212B" w:rsidRPr="006A3CE2" w:rsidRDefault="00A0212B" w:rsidP="000131EC">
                            <w:pPr>
                              <w:widowControl/>
                              <w:snapToGrid w:val="0"/>
                              <w:spacing w:line="200" w:lineRule="atLeast"/>
                              <w:jc w:val="center"/>
                              <w:rPr>
                                <w:rFonts w:ascii="標楷體" w:eastAsia="標楷體" w:hAnsi="標楷體" w:cs="新細明體"/>
                                <w:color w:val="000000"/>
                                <w:kern w:val="0"/>
                                <w:sz w:val="20"/>
                              </w:rPr>
                            </w:pPr>
                            <w:r w:rsidRPr="006A3CE2">
                              <w:rPr>
                                <w:rFonts w:ascii="標楷體" w:eastAsia="標楷體" w:hAnsi="標楷體" w:cs="新細明體" w:hint="eastAsia"/>
                                <w:color w:val="000000"/>
                                <w:kern w:val="0"/>
                                <w:sz w:val="20"/>
                              </w:rPr>
                              <w:t>執行率</w:t>
                            </w:r>
                          </w:p>
                        </w:tc>
                        <w:tc>
                          <w:tcPr>
                            <w:tcW w:w="737" w:type="dxa"/>
                            <w:tcBorders>
                              <w:top w:val="nil"/>
                              <w:left w:val="nil"/>
                              <w:bottom w:val="single" w:sz="4" w:space="0" w:color="auto"/>
                              <w:right w:val="single" w:sz="4" w:space="0" w:color="auto"/>
                            </w:tcBorders>
                            <w:shd w:val="clear" w:color="auto" w:fill="auto"/>
                            <w:noWrap/>
                            <w:vAlign w:val="center"/>
                            <w:hideMark/>
                          </w:tcPr>
                          <w:p w14:paraId="3DAA4177" w14:textId="77777777" w:rsidR="00A0212B" w:rsidRPr="004906F1" w:rsidRDefault="00A0212B" w:rsidP="000131EC">
                            <w:pPr>
                              <w:widowControl/>
                              <w:snapToGrid w:val="0"/>
                              <w:spacing w:line="200" w:lineRule="atLeast"/>
                              <w:jc w:val="center"/>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預算數</w:t>
                            </w:r>
                          </w:p>
                        </w:tc>
                        <w:tc>
                          <w:tcPr>
                            <w:tcW w:w="737" w:type="dxa"/>
                            <w:tcBorders>
                              <w:top w:val="nil"/>
                              <w:left w:val="nil"/>
                              <w:bottom w:val="single" w:sz="4" w:space="0" w:color="auto"/>
                              <w:right w:val="single" w:sz="4" w:space="0" w:color="auto"/>
                            </w:tcBorders>
                            <w:shd w:val="clear" w:color="auto" w:fill="auto"/>
                            <w:noWrap/>
                            <w:vAlign w:val="center"/>
                            <w:hideMark/>
                          </w:tcPr>
                          <w:p w14:paraId="479E56DC" w14:textId="77777777" w:rsidR="00A0212B" w:rsidRPr="004906F1" w:rsidRDefault="00A0212B" w:rsidP="000131EC">
                            <w:pPr>
                              <w:widowControl/>
                              <w:snapToGrid w:val="0"/>
                              <w:spacing w:line="200" w:lineRule="atLeast"/>
                              <w:jc w:val="center"/>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執行數</w:t>
                            </w:r>
                          </w:p>
                          <w:p w14:paraId="20770D97" w14:textId="77777777" w:rsidR="00A0212B" w:rsidRPr="004906F1" w:rsidRDefault="00A0212B" w:rsidP="000131EC">
                            <w:pPr>
                              <w:widowControl/>
                              <w:snapToGrid w:val="0"/>
                              <w:spacing w:line="200" w:lineRule="atLeast"/>
                              <w:jc w:val="center"/>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(註2)</w:t>
                            </w:r>
                          </w:p>
                        </w:tc>
                        <w:tc>
                          <w:tcPr>
                            <w:tcW w:w="737" w:type="dxa"/>
                            <w:tcBorders>
                              <w:top w:val="nil"/>
                              <w:left w:val="nil"/>
                              <w:bottom w:val="single" w:sz="4" w:space="0" w:color="auto"/>
                              <w:right w:val="single" w:sz="4" w:space="0" w:color="auto"/>
                            </w:tcBorders>
                            <w:shd w:val="clear" w:color="auto" w:fill="auto"/>
                            <w:noWrap/>
                            <w:vAlign w:val="center"/>
                            <w:hideMark/>
                          </w:tcPr>
                          <w:p w14:paraId="12512144" w14:textId="77777777" w:rsidR="00A0212B" w:rsidRPr="004906F1" w:rsidRDefault="00A0212B" w:rsidP="000131EC">
                            <w:pPr>
                              <w:widowControl/>
                              <w:snapToGrid w:val="0"/>
                              <w:spacing w:line="200" w:lineRule="atLeast"/>
                              <w:jc w:val="center"/>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執行率</w:t>
                            </w:r>
                          </w:p>
                        </w:tc>
                      </w:tr>
                      <w:tr w:rsidR="00A0212B" w:rsidRPr="006A3CE2" w14:paraId="2E9F6A6B" w14:textId="77777777" w:rsidTr="000131EC">
                        <w:trPr>
                          <w:trHeight w:val="315"/>
                          <w:jc w:val="center"/>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3EE4CC87" w14:textId="77777777" w:rsidR="00A0212B" w:rsidRPr="006A3CE2" w:rsidRDefault="00A0212B" w:rsidP="000131EC">
                            <w:pPr>
                              <w:widowControl/>
                              <w:jc w:val="center"/>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112</w:t>
                            </w:r>
                          </w:p>
                        </w:tc>
                        <w:tc>
                          <w:tcPr>
                            <w:tcW w:w="737" w:type="dxa"/>
                            <w:tcBorders>
                              <w:top w:val="nil"/>
                              <w:left w:val="nil"/>
                              <w:bottom w:val="single" w:sz="4" w:space="0" w:color="auto"/>
                              <w:right w:val="single" w:sz="4" w:space="0" w:color="auto"/>
                            </w:tcBorders>
                            <w:shd w:val="clear" w:color="auto" w:fill="auto"/>
                            <w:noWrap/>
                            <w:vAlign w:val="center"/>
                            <w:hideMark/>
                          </w:tcPr>
                          <w:p w14:paraId="6A873C32"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155,541 </w:t>
                            </w:r>
                          </w:p>
                        </w:tc>
                        <w:tc>
                          <w:tcPr>
                            <w:tcW w:w="737" w:type="dxa"/>
                            <w:tcBorders>
                              <w:top w:val="nil"/>
                              <w:left w:val="nil"/>
                              <w:bottom w:val="single" w:sz="4" w:space="0" w:color="auto"/>
                              <w:right w:val="single" w:sz="4" w:space="0" w:color="auto"/>
                            </w:tcBorders>
                            <w:shd w:val="clear" w:color="auto" w:fill="auto"/>
                            <w:noWrap/>
                            <w:vAlign w:val="center"/>
                            <w:hideMark/>
                          </w:tcPr>
                          <w:p w14:paraId="611D2C3E"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159,814 </w:t>
                            </w:r>
                          </w:p>
                        </w:tc>
                        <w:tc>
                          <w:tcPr>
                            <w:tcW w:w="737" w:type="dxa"/>
                            <w:tcBorders>
                              <w:top w:val="nil"/>
                              <w:left w:val="nil"/>
                              <w:bottom w:val="single" w:sz="4" w:space="0" w:color="auto"/>
                              <w:right w:val="single" w:sz="4" w:space="0" w:color="auto"/>
                            </w:tcBorders>
                            <w:shd w:val="clear" w:color="auto" w:fill="auto"/>
                            <w:noWrap/>
                            <w:vAlign w:val="center"/>
                            <w:hideMark/>
                          </w:tcPr>
                          <w:p w14:paraId="37373DCF"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102.75 </w:t>
                            </w:r>
                          </w:p>
                        </w:tc>
                        <w:tc>
                          <w:tcPr>
                            <w:tcW w:w="737" w:type="dxa"/>
                            <w:tcBorders>
                              <w:top w:val="nil"/>
                              <w:left w:val="nil"/>
                              <w:bottom w:val="single" w:sz="4" w:space="0" w:color="auto"/>
                              <w:right w:val="single" w:sz="4" w:space="0" w:color="auto"/>
                            </w:tcBorders>
                            <w:shd w:val="clear" w:color="auto" w:fill="auto"/>
                            <w:noWrap/>
                            <w:vAlign w:val="center"/>
                            <w:hideMark/>
                          </w:tcPr>
                          <w:p w14:paraId="5D4B0EA1"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82,020 </w:t>
                            </w:r>
                          </w:p>
                        </w:tc>
                        <w:tc>
                          <w:tcPr>
                            <w:tcW w:w="737" w:type="dxa"/>
                            <w:tcBorders>
                              <w:top w:val="nil"/>
                              <w:left w:val="nil"/>
                              <w:bottom w:val="single" w:sz="4" w:space="0" w:color="auto"/>
                              <w:right w:val="single" w:sz="4" w:space="0" w:color="auto"/>
                            </w:tcBorders>
                            <w:shd w:val="clear" w:color="auto" w:fill="auto"/>
                            <w:noWrap/>
                            <w:vAlign w:val="center"/>
                            <w:hideMark/>
                          </w:tcPr>
                          <w:p w14:paraId="237D2DED"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79,810 </w:t>
                            </w:r>
                          </w:p>
                        </w:tc>
                        <w:tc>
                          <w:tcPr>
                            <w:tcW w:w="737" w:type="dxa"/>
                            <w:tcBorders>
                              <w:top w:val="nil"/>
                              <w:left w:val="nil"/>
                              <w:bottom w:val="single" w:sz="4" w:space="0" w:color="auto"/>
                              <w:right w:val="single" w:sz="4" w:space="0" w:color="auto"/>
                            </w:tcBorders>
                            <w:shd w:val="clear" w:color="auto" w:fill="auto"/>
                            <w:noWrap/>
                            <w:vAlign w:val="center"/>
                            <w:hideMark/>
                          </w:tcPr>
                          <w:p w14:paraId="1457A51B"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97.30 </w:t>
                            </w:r>
                          </w:p>
                        </w:tc>
                        <w:tc>
                          <w:tcPr>
                            <w:tcW w:w="737" w:type="dxa"/>
                            <w:tcBorders>
                              <w:top w:val="nil"/>
                              <w:left w:val="nil"/>
                              <w:bottom w:val="single" w:sz="4" w:space="0" w:color="auto"/>
                              <w:right w:val="single" w:sz="4" w:space="0" w:color="auto"/>
                            </w:tcBorders>
                            <w:shd w:val="clear" w:color="auto" w:fill="auto"/>
                            <w:noWrap/>
                            <w:vAlign w:val="center"/>
                            <w:hideMark/>
                          </w:tcPr>
                          <w:p w14:paraId="0165C5A5"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676 </w:t>
                            </w:r>
                          </w:p>
                        </w:tc>
                        <w:tc>
                          <w:tcPr>
                            <w:tcW w:w="737" w:type="dxa"/>
                            <w:tcBorders>
                              <w:top w:val="nil"/>
                              <w:left w:val="nil"/>
                              <w:bottom w:val="single" w:sz="4" w:space="0" w:color="auto"/>
                              <w:right w:val="single" w:sz="4" w:space="0" w:color="auto"/>
                            </w:tcBorders>
                            <w:shd w:val="clear" w:color="auto" w:fill="auto"/>
                            <w:noWrap/>
                            <w:vAlign w:val="center"/>
                            <w:hideMark/>
                          </w:tcPr>
                          <w:p w14:paraId="385BED56"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580 </w:t>
                            </w:r>
                          </w:p>
                        </w:tc>
                        <w:tc>
                          <w:tcPr>
                            <w:tcW w:w="737" w:type="dxa"/>
                            <w:tcBorders>
                              <w:top w:val="nil"/>
                              <w:left w:val="nil"/>
                              <w:bottom w:val="single" w:sz="4" w:space="0" w:color="auto"/>
                              <w:right w:val="single" w:sz="4" w:space="0" w:color="auto"/>
                            </w:tcBorders>
                            <w:shd w:val="clear" w:color="auto" w:fill="auto"/>
                            <w:noWrap/>
                            <w:vAlign w:val="center"/>
                            <w:hideMark/>
                          </w:tcPr>
                          <w:p w14:paraId="39ACBE08"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85.81 </w:t>
                            </w:r>
                          </w:p>
                        </w:tc>
                        <w:tc>
                          <w:tcPr>
                            <w:tcW w:w="737" w:type="dxa"/>
                            <w:tcBorders>
                              <w:top w:val="nil"/>
                              <w:left w:val="nil"/>
                              <w:bottom w:val="single" w:sz="4" w:space="0" w:color="auto"/>
                              <w:right w:val="single" w:sz="4" w:space="0" w:color="auto"/>
                            </w:tcBorders>
                            <w:shd w:val="clear" w:color="auto" w:fill="auto"/>
                            <w:noWrap/>
                            <w:vAlign w:val="center"/>
                            <w:hideMark/>
                          </w:tcPr>
                          <w:p w14:paraId="33030A48"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72,844 </w:t>
                            </w:r>
                          </w:p>
                        </w:tc>
                        <w:tc>
                          <w:tcPr>
                            <w:tcW w:w="737" w:type="dxa"/>
                            <w:tcBorders>
                              <w:top w:val="nil"/>
                              <w:left w:val="nil"/>
                              <w:bottom w:val="single" w:sz="4" w:space="0" w:color="auto"/>
                              <w:right w:val="single" w:sz="4" w:space="0" w:color="auto"/>
                            </w:tcBorders>
                            <w:shd w:val="clear" w:color="auto" w:fill="auto"/>
                            <w:noWrap/>
                            <w:vAlign w:val="center"/>
                            <w:hideMark/>
                          </w:tcPr>
                          <w:p w14:paraId="16AE29AD"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79,423 </w:t>
                            </w:r>
                          </w:p>
                        </w:tc>
                        <w:tc>
                          <w:tcPr>
                            <w:tcW w:w="737" w:type="dxa"/>
                            <w:tcBorders>
                              <w:top w:val="nil"/>
                              <w:left w:val="nil"/>
                              <w:bottom w:val="single" w:sz="4" w:space="0" w:color="auto"/>
                              <w:right w:val="single" w:sz="4" w:space="0" w:color="auto"/>
                            </w:tcBorders>
                            <w:shd w:val="clear" w:color="auto" w:fill="auto"/>
                            <w:noWrap/>
                            <w:vAlign w:val="center"/>
                            <w:hideMark/>
                          </w:tcPr>
                          <w:p w14:paraId="32818A32"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109.03 </w:t>
                            </w:r>
                          </w:p>
                        </w:tc>
                      </w:tr>
                      <w:tr w:rsidR="00A0212B" w:rsidRPr="006A3CE2" w14:paraId="4E2A4696" w14:textId="77777777" w:rsidTr="000131EC">
                        <w:trPr>
                          <w:trHeight w:val="315"/>
                          <w:jc w:val="center"/>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34C264F0" w14:textId="77777777" w:rsidR="00A0212B" w:rsidRPr="006A3CE2" w:rsidRDefault="00A0212B" w:rsidP="000131EC">
                            <w:pPr>
                              <w:widowControl/>
                              <w:jc w:val="center"/>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111</w:t>
                            </w:r>
                          </w:p>
                        </w:tc>
                        <w:tc>
                          <w:tcPr>
                            <w:tcW w:w="737" w:type="dxa"/>
                            <w:tcBorders>
                              <w:top w:val="nil"/>
                              <w:left w:val="nil"/>
                              <w:bottom w:val="single" w:sz="4" w:space="0" w:color="auto"/>
                              <w:right w:val="single" w:sz="4" w:space="0" w:color="auto"/>
                            </w:tcBorders>
                            <w:shd w:val="clear" w:color="auto" w:fill="auto"/>
                            <w:noWrap/>
                            <w:vAlign w:val="center"/>
                            <w:hideMark/>
                          </w:tcPr>
                          <w:p w14:paraId="20A70B67"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134,669 </w:t>
                            </w:r>
                          </w:p>
                        </w:tc>
                        <w:tc>
                          <w:tcPr>
                            <w:tcW w:w="737" w:type="dxa"/>
                            <w:tcBorders>
                              <w:top w:val="nil"/>
                              <w:left w:val="nil"/>
                              <w:bottom w:val="single" w:sz="4" w:space="0" w:color="auto"/>
                              <w:right w:val="single" w:sz="4" w:space="0" w:color="auto"/>
                            </w:tcBorders>
                            <w:shd w:val="clear" w:color="auto" w:fill="auto"/>
                            <w:noWrap/>
                            <w:vAlign w:val="center"/>
                            <w:hideMark/>
                          </w:tcPr>
                          <w:p w14:paraId="436D3B72"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131,454 </w:t>
                            </w:r>
                          </w:p>
                        </w:tc>
                        <w:tc>
                          <w:tcPr>
                            <w:tcW w:w="737" w:type="dxa"/>
                            <w:tcBorders>
                              <w:top w:val="nil"/>
                              <w:left w:val="nil"/>
                              <w:bottom w:val="single" w:sz="4" w:space="0" w:color="auto"/>
                              <w:right w:val="single" w:sz="4" w:space="0" w:color="auto"/>
                            </w:tcBorders>
                            <w:shd w:val="clear" w:color="auto" w:fill="auto"/>
                            <w:noWrap/>
                            <w:vAlign w:val="center"/>
                            <w:hideMark/>
                          </w:tcPr>
                          <w:p w14:paraId="508E53C3"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97.61 </w:t>
                            </w:r>
                          </w:p>
                        </w:tc>
                        <w:tc>
                          <w:tcPr>
                            <w:tcW w:w="737" w:type="dxa"/>
                            <w:tcBorders>
                              <w:top w:val="nil"/>
                              <w:left w:val="nil"/>
                              <w:bottom w:val="single" w:sz="4" w:space="0" w:color="auto"/>
                              <w:right w:val="single" w:sz="4" w:space="0" w:color="auto"/>
                            </w:tcBorders>
                            <w:shd w:val="clear" w:color="auto" w:fill="auto"/>
                            <w:noWrap/>
                            <w:vAlign w:val="center"/>
                            <w:hideMark/>
                          </w:tcPr>
                          <w:p w14:paraId="7F304763"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67,150 </w:t>
                            </w:r>
                          </w:p>
                        </w:tc>
                        <w:tc>
                          <w:tcPr>
                            <w:tcW w:w="737" w:type="dxa"/>
                            <w:tcBorders>
                              <w:top w:val="nil"/>
                              <w:left w:val="nil"/>
                              <w:bottom w:val="single" w:sz="4" w:space="0" w:color="auto"/>
                              <w:right w:val="single" w:sz="4" w:space="0" w:color="auto"/>
                            </w:tcBorders>
                            <w:shd w:val="clear" w:color="auto" w:fill="auto"/>
                            <w:noWrap/>
                            <w:vAlign w:val="center"/>
                            <w:hideMark/>
                          </w:tcPr>
                          <w:p w14:paraId="7A2FA237"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64,913 </w:t>
                            </w:r>
                          </w:p>
                        </w:tc>
                        <w:tc>
                          <w:tcPr>
                            <w:tcW w:w="737" w:type="dxa"/>
                            <w:tcBorders>
                              <w:top w:val="nil"/>
                              <w:left w:val="nil"/>
                              <w:bottom w:val="single" w:sz="4" w:space="0" w:color="auto"/>
                              <w:right w:val="single" w:sz="4" w:space="0" w:color="auto"/>
                            </w:tcBorders>
                            <w:shd w:val="clear" w:color="auto" w:fill="auto"/>
                            <w:noWrap/>
                            <w:vAlign w:val="center"/>
                            <w:hideMark/>
                          </w:tcPr>
                          <w:p w14:paraId="106EFE8F"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96.67 </w:t>
                            </w:r>
                          </w:p>
                        </w:tc>
                        <w:tc>
                          <w:tcPr>
                            <w:tcW w:w="737" w:type="dxa"/>
                            <w:tcBorders>
                              <w:top w:val="nil"/>
                              <w:left w:val="nil"/>
                              <w:bottom w:val="single" w:sz="4" w:space="0" w:color="auto"/>
                              <w:right w:val="single" w:sz="4" w:space="0" w:color="auto"/>
                            </w:tcBorders>
                            <w:shd w:val="clear" w:color="auto" w:fill="auto"/>
                            <w:noWrap/>
                            <w:vAlign w:val="center"/>
                            <w:hideMark/>
                          </w:tcPr>
                          <w:p w14:paraId="0D28810E"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860 </w:t>
                            </w:r>
                          </w:p>
                        </w:tc>
                        <w:tc>
                          <w:tcPr>
                            <w:tcW w:w="737" w:type="dxa"/>
                            <w:tcBorders>
                              <w:top w:val="nil"/>
                              <w:left w:val="nil"/>
                              <w:bottom w:val="single" w:sz="4" w:space="0" w:color="auto"/>
                              <w:right w:val="single" w:sz="4" w:space="0" w:color="auto"/>
                            </w:tcBorders>
                            <w:shd w:val="clear" w:color="auto" w:fill="auto"/>
                            <w:noWrap/>
                            <w:vAlign w:val="center"/>
                            <w:hideMark/>
                          </w:tcPr>
                          <w:p w14:paraId="65EBA60A"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525 </w:t>
                            </w:r>
                          </w:p>
                        </w:tc>
                        <w:tc>
                          <w:tcPr>
                            <w:tcW w:w="737" w:type="dxa"/>
                            <w:tcBorders>
                              <w:top w:val="nil"/>
                              <w:left w:val="nil"/>
                              <w:bottom w:val="single" w:sz="4" w:space="0" w:color="auto"/>
                              <w:right w:val="single" w:sz="4" w:space="0" w:color="auto"/>
                            </w:tcBorders>
                            <w:shd w:val="clear" w:color="auto" w:fill="auto"/>
                            <w:noWrap/>
                            <w:vAlign w:val="center"/>
                            <w:hideMark/>
                          </w:tcPr>
                          <w:p w14:paraId="1C4DB111"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61.09 </w:t>
                            </w:r>
                          </w:p>
                        </w:tc>
                        <w:tc>
                          <w:tcPr>
                            <w:tcW w:w="737" w:type="dxa"/>
                            <w:tcBorders>
                              <w:top w:val="nil"/>
                              <w:left w:val="nil"/>
                              <w:bottom w:val="single" w:sz="4" w:space="0" w:color="auto"/>
                              <w:right w:val="single" w:sz="4" w:space="0" w:color="auto"/>
                            </w:tcBorders>
                            <w:shd w:val="clear" w:color="auto" w:fill="auto"/>
                            <w:noWrap/>
                            <w:vAlign w:val="center"/>
                            <w:hideMark/>
                          </w:tcPr>
                          <w:p w14:paraId="6B8E8E13"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66,658 </w:t>
                            </w:r>
                          </w:p>
                        </w:tc>
                        <w:tc>
                          <w:tcPr>
                            <w:tcW w:w="737" w:type="dxa"/>
                            <w:tcBorders>
                              <w:top w:val="nil"/>
                              <w:left w:val="nil"/>
                              <w:bottom w:val="single" w:sz="4" w:space="0" w:color="auto"/>
                              <w:right w:val="single" w:sz="4" w:space="0" w:color="auto"/>
                            </w:tcBorders>
                            <w:shd w:val="clear" w:color="auto" w:fill="auto"/>
                            <w:noWrap/>
                            <w:vAlign w:val="center"/>
                            <w:hideMark/>
                          </w:tcPr>
                          <w:p w14:paraId="56ED51E2"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66,015 </w:t>
                            </w:r>
                          </w:p>
                        </w:tc>
                        <w:tc>
                          <w:tcPr>
                            <w:tcW w:w="737" w:type="dxa"/>
                            <w:tcBorders>
                              <w:top w:val="nil"/>
                              <w:left w:val="nil"/>
                              <w:bottom w:val="single" w:sz="4" w:space="0" w:color="auto"/>
                              <w:right w:val="single" w:sz="4" w:space="0" w:color="auto"/>
                            </w:tcBorders>
                            <w:shd w:val="clear" w:color="auto" w:fill="auto"/>
                            <w:noWrap/>
                            <w:vAlign w:val="center"/>
                            <w:hideMark/>
                          </w:tcPr>
                          <w:p w14:paraId="696B22FE"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99.03 </w:t>
                            </w:r>
                          </w:p>
                        </w:tc>
                      </w:tr>
                      <w:tr w:rsidR="00A0212B" w:rsidRPr="006A3CE2" w14:paraId="2E3277D6" w14:textId="77777777" w:rsidTr="000131EC">
                        <w:trPr>
                          <w:trHeight w:val="315"/>
                          <w:jc w:val="center"/>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46E2B9F0" w14:textId="77777777" w:rsidR="00A0212B" w:rsidRPr="006A3CE2" w:rsidRDefault="00A0212B" w:rsidP="000131EC">
                            <w:pPr>
                              <w:widowControl/>
                              <w:jc w:val="center"/>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110</w:t>
                            </w:r>
                          </w:p>
                        </w:tc>
                        <w:tc>
                          <w:tcPr>
                            <w:tcW w:w="737" w:type="dxa"/>
                            <w:tcBorders>
                              <w:top w:val="nil"/>
                              <w:left w:val="nil"/>
                              <w:bottom w:val="single" w:sz="4" w:space="0" w:color="auto"/>
                              <w:right w:val="single" w:sz="4" w:space="0" w:color="auto"/>
                            </w:tcBorders>
                            <w:shd w:val="clear" w:color="auto" w:fill="auto"/>
                            <w:noWrap/>
                            <w:vAlign w:val="center"/>
                            <w:hideMark/>
                          </w:tcPr>
                          <w:p w14:paraId="0304170A"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106,294 </w:t>
                            </w:r>
                          </w:p>
                        </w:tc>
                        <w:tc>
                          <w:tcPr>
                            <w:tcW w:w="737" w:type="dxa"/>
                            <w:tcBorders>
                              <w:top w:val="nil"/>
                              <w:left w:val="nil"/>
                              <w:bottom w:val="single" w:sz="4" w:space="0" w:color="auto"/>
                              <w:right w:val="single" w:sz="4" w:space="0" w:color="auto"/>
                            </w:tcBorders>
                            <w:shd w:val="clear" w:color="auto" w:fill="auto"/>
                            <w:noWrap/>
                            <w:vAlign w:val="center"/>
                            <w:hideMark/>
                          </w:tcPr>
                          <w:p w14:paraId="4EF48EDB"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100,340 </w:t>
                            </w:r>
                          </w:p>
                        </w:tc>
                        <w:tc>
                          <w:tcPr>
                            <w:tcW w:w="737" w:type="dxa"/>
                            <w:tcBorders>
                              <w:top w:val="nil"/>
                              <w:left w:val="nil"/>
                              <w:bottom w:val="single" w:sz="4" w:space="0" w:color="auto"/>
                              <w:right w:val="single" w:sz="4" w:space="0" w:color="auto"/>
                            </w:tcBorders>
                            <w:shd w:val="clear" w:color="auto" w:fill="auto"/>
                            <w:noWrap/>
                            <w:vAlign w:val="center"/>
                            <w:hideMark/>
                          </w:tcPr>
                          <w:p w14:paraId="1719588E"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94.40 </w:t>
                            </w:r>
                          </w:p>
                        </w:tc>
                        <w:tc>
                          <w:tcPr>
                            <w:tcW w:w="737" w:type="dxa"/>
                            <w:tcBorders>
                              <w:top w:val="nil"/>
                              <w:left w:val="nil"/>
                              <w:bottom w:val="single" w:sz="4" w:space="0" w:color="auto"/>
                              <w:right w:val="single" w:sz="4" w:space="0" w:color="auto"/>
                            </w:tcBorders>
                            <w:shd w:val="clear" w:color="auto" w:fill="auto"/>
                            <w:noWrap/>
                            <w:vAlign w:val="center"/>
                            <w:hideMark/>
                          </w:tcPr>
                          <w:p w14:paraId="426706C5"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46,042 </w:t>
                            </w:r>
                          </w:p>
                        </w:tc>
                        <w:tc>
                          <w:tcPr>
                            <w:tcW w:w="737" w:type="dxa"/>
                            <w:tcBorders>
                              <w:top w:val="nil"/>
                              <w:left w:val="nil"/>
                              <w:bottom w:val="single" w:sz="4" w:space="0" w:color="auto"/>
                              <w:right w:val="single" w:sz="4" w:space="0" w:color="auto"/>
                            </w:tcBorders>
                            <w:shd w:val="clear" w:color="auto" w:fill="auto"/>
                            <w:noWrap/>
                            <w:vAlign w:val="center"/>
                            <w:hideMark/>
                          </w:tcPr>
                          <w:p w14:paraId="057B7C7A"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44,370 </w:t>
                            </w:r>
                          </w:p>
                        </w:tc>
                        <w:tc>
                          <w:tcPr>
                            <w:tcW w:w="737" w:type="dxa"/>
                            <w:tcBorders>
                              <w:top w:val="nil"/>
                              <w:left w:val="nil"/>
                              <w:bottom w:val="single" w:sz="4" w:space="0" w:color="auto"/>
                              <w:right w:val="single" w:sz="4" w:space="0" w:color="auto"/>
                            </w:tcBorders>
                            <w:shd w:val="clear" w:color="auto" w:fill="auto"/>
                            <w:noWrap/>
                            <w:vAlign w:val="center"/>
                            <w:hideMark/>
                          </w:tcPr>
                          <w:p w14:paraId="6D62FDAE"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96.37 </w:t>
                            </w:r>
                          </w:p>
                        </w:tc>
                        <w:tc>
                          <w:tcPr>
                            <w:tcW w:w="737" w:type="dxa"/>
                            <w:tcBorders>
                              <w:top w:val="nil"/>
                              <w:left w:val="nil"/>
                              <w:bottom w:val="single" w:sz="4" w:space="0" w:color="auto"/>
                              <w:right w:val="single" w:sz="4" w:space="0" w:color="auto"/>
                            </w:tcBorders>
                            <w:shd w:val="clear" w:color="auto" w:fill="auto"/>
                            <w:noWrap/>
                            <w:vAlign w:val="center"/>
                            <w:hideMark/>
                          </w:tcPr>
                          <w:p w14:paraId="09AAE03E"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871 </w:t>
                            </w:r>
                          </w:p>
                        </w:tc>
                        <w:tc>
                          <w:tcPr>
                            <w:tcW w:w="737" w:type="dxa"/>
                            <w:tcBorders>
                              <w:top w:val="nil"/>
                              <w:left w:val="nil"/>
                              <w:bottom w:val="single" w:sz="4" w:space="0" w:color="auto"/>
                              <w:right w:val="single" w:sz="4" w:space="0" w:color="auto"/>
                            </w:tcBorders>
                            <w:shd w:val="clear" w:color="auto" w:fill="auto"/>
                            <w:noWrap/>
                            <w:vAlign w:val="center"/>
                            <w:hideMark/>
                          </w:tcPr>
                          <w:p w14:paraId="7B6970E1"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515 </w:t>
                            </w:r>
                          </w:p>
                        </w:tc>
                        <w:tc>
                          <w:tcPr>
                            <w:tcW w:w="737" w:type="dxa"/>
                            <w:tcBorders>
                              <w:top w:val="nil"/>
                              <w:left w:val="nil"/>
                              <w:bottom w:val="single" w:sz="4" w:space="0" w:color="auto"/>
                              <w:right w:val="single" w:sz="4" w:space="0" w:color="auto"/>
                            </w:tcBorders>
                            <w:shd w:val="clear" w:color="auto" w:fill="auto"/>
                            <w:noWrap/>
                            <w:vAlign w:val="center"/>
                            <w:hideMark/>
                          </w:tcPr>
                          <w:p w14:paraId="171C5716"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59.17 </w:t>
                            </w:r>
                          </w:p>
                        </w:tc>
                        <w:tc>
                          <w:tcPr>
                            <w:tcW w:w="737" w:type="dxa"/>
                            <w:tcBorders>
                              <w:top w:val="nil"/>
                              <w:left w:val="nil"/>
                              <w:bottom w:val="single" w:sz="4" w:space="0" w:color="auto"/>
                              <w:right w:val="single" w:sz="4" w:space="0" w:color="auto"/>
                            </w:tcBorders>
                            <w:shd w:val="clear" w:color="auto" w:fill="auto"/>
                            <w:noWrap/>
                            <w:vAlign w:val="center"/>
                            <w:hideMark/>
                          </w:tcPr>
                          <w:p w14:paraId="35459779"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59,380 </w:t>
                            </w:r>
                          </w:p>
                        </w:tc>
                        <w:tc>
                          <w:tcPr>
                            <w:tcW w:w="737" w:type="dxa"/>
                            <w:tcBorders>
                              <w:top w:val="nil"/>
                              <w:left w:val="nil"/>
                              <w:bottom w:val="single" w:sz="4" w:space="0" w:color="auto"/>
                              <w:right w:val="single" w:sz="4" w:space="0" w:color="auto"/>
                            </w:tcBorders>
                            <w:shd w:val="clear" w:color="auto" w:fill="auto"/>
                            <w:noWrap/>
                            <w:vAlign w:val="center"/>
                            <w:hideMark/>
                          </w:tcPr>
                          <w:p w14:paraId="49D0C470"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55,454 </w:t>
                            </w:r>
                          </w:p>
                        </w:tc>
                        <w:tc>
                          <w:tcPr>
                            <w:tcW w:w="737" w:type="dxa"/>
                            <w:tcBorders>
                              <w:top w:val="nil"/>
                              <w:left w:val="nil"/>
                              <w:bottom w:val="single" w:sz="4" w:space="0" w:color="auto"/>
                              <w:right w:val="single" w:sz="4" w:space="0" w:color="auto"/>
                            </w:tcBorders>
                            <w:shd w:val="clear" w:color="auto" w:fill="auto"/>
                            <w:noWrap/>
                            <w:vAlign w:val="center"/>
                            <w:hideMark/>
                          </w:tcPr>
                          <w:p w14:paraId="690CE177"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93.39 </w:t>
                            </w:r>
                          </w:p>
                        </w:tc>
                      </w:tr>
                      <w:tr w:rsidR="00A0212B" w:rsidRPr="006A3CE2" w14:paraId="1736A6C6" w14:textId="77777777" w:rsidTr="000131EC">
                        <w:trPr>
                          <w:trHeight w:val="315"/>
                          <w:jc w:val="center"/>
                        </w:trPr>
                        <w:tc>
                          <w:tcPr>
                            <w:tcW w:w="737" w:type="dxa"/>
                            <w:tcBorders>
                              <w:top w:val="nil"/>
                              <w:left w:val="single" w:sz="4" w:space="0" w:color="auto"/>
                              <w:bottom w:val="single" w:sz="4" w:space="0" w:color="auto"/>
                              <w:right w:val="single" w:sz="4" w:space="0" w:color="auto"/>
                            </w:tcBorders>
                            <w:shd w:val="clear" w:color="auto" w:fill="auto"/>
                            <w:noWrap/>
                            <w:vAlign w:val="center"/>
                            <w:hideMark/>
                          </w:tcPr>
                          <w:p w14:paraId="612C0BE8" w14:textId="77777777" w:rsidR="00A0212B" w:rsidRPr="006A3CE2" w:rsidRDefault="00A0212B" w:rsidP="000131EC">
                            <w:pPr>
                              <w:widowControl/>
                              <w:jc w:val="center"/>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109</w:t>
                            </w:r>
                          </w:p>
                        </w:tc>
                        <w:tc>
                          <w:tcPr>
                            <w:tcW w:w="737" w:type="dxa"/>
                            <w:tcBorders>
                              <w:top w:val="nil"/>
                              <w:left w:val="nil"/>
                              <w:bottom w:val="single" w:sz="4" w:space="0" w:color="auto"/>
                              <w:right w:val="single" w:sz="4" w:space="0" w:color="auto"/>
                            </w:tcBorders>
                            <w:shd w:val="clear" w:color="auto" w:fill="auto"/>
                            <w:noWrap/>
                            <w:vAlign w:val="center"/>
                            <w:hideMark/>
                          </w:tcPr>
                          <w:p w14:paraId="71D1A1D7"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92,756 </w:t>
                            </w:r>
                          </w:p>
                        </w:tc>
                        <w:tc>
                          <w:tcPr>
                            <w:tcW w:w="737" w:type="dxa"/>
                            <w:tcBorders>
                              <w:top w:val="nil"/>
                              <w:left w:val="nil"/>
                              <w:bottom w:val="single" w:sz="4" w:space="0" w:color="auto"/>
                              <w:right w:val="single" w:sz="4" w:space="0" w:color="auto"/>
                            </w:tcBorders>
                            <w:shd w:val="clear" w:color="auto" w:fill="auto"/>
                            <w:noWrap/>
                            <w:vAlign w:val="center"/>
                            <w:hideMark/>
                          </w:tcPr>
                          <w:p w14:paraId="123A97CA"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91,765 </w:t>
                            </w:r>
                          </w:p>
                        </w:tc>
                        <w:tc>
                          <w:tcPr>
                            <w:tcW w:w="737" w:type="dxa"/>
                            <w:tcBorders>
                              <w:top w:val="nil"/>
                              <w:left w:val="nil"/>
                              <w:bottom w:val="single" w:sz="4" w:space="0" w:color="auto"/>
                              <w:right w:val="single" w:sz="4" w:space="0" w:color="auto"/>
                            </w:tcBorders>
                            <w:shd w:val="clear" w:color="auto" w:fill="auto"/>
                            <w:noWrap/>
                            <w:vAlign w:val="center"/>
                            <w:hideMark/>
                          </w:tcPr>
                          <w:p w14:paraId="6CDDDC66" w14:textId="77777777" w:rsidR="00A0212B" w:rsidRPr="00E31547" w:rsidRDefault="00A0212B" w:rsidP="000131EC">
                            <w:pPr>
                              <w:widowControl/>
                              <w:jc w:val="right"/>
                              <w:rPr>
                                <w:rFonts w:ascii="標楷體" w:eastAsia="標楷體" w:hAnsi="標楷體" w:cs="新細明體"/>
                                <w:b/>
                                <w:color w:val="000000"/>
                                <w:spacing w:val="-6"/>
                                <w:kern w:val="0"/>
                                <w:sz w:val="20"/>
                              </w:rPr>
                            </w:pPr>
                            <w:r w:rsidRPr="00E31547">
                              <w:rPr>
                                <w:rFonts w:ascii="標楷體" w:eastAsia="標楷體" w:hAnsi="標楷體" w:cs="新細明體"/>
                                <w:b/>
                                <w:color w:val="000000"/>
                                <w:spacing w:val="-6"/>
                                <w:kern w:val="0"/>
                                <w:sz w:val="20"/>
                              </w:rPr>
                              <w:t xml:space="preserve">98.93 </w:t>
                            </w:r>
                          </w:p>
                        </w:tc>
                        <w:tc>
                          <w:tcPr>
                            <w:tcW w:w="737" w:type="dxa"/>
                            <w:tcBorders>
                              <w:top w:val="nil"/>
                              <w:left w:val="nil"/>
                              <w:bottom w:val="single" w:sz="4" w:space="0" w:color="auto"/>
                              <w:right w:val="single" w:sz="4" w:space="0" w:color="auto"/>
                            </w:tcBorders>
                            <w:shd w:val="clear" w:color="auto" w:fill="auto"/>
                            <w:noWrap/>
                            <w:vAlign w:val="center"/>
                            <w:hideMark/>
                          </w:tcPr>
                          <w:p w14:paraId="165D21DA"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43,585 </w:t>
                            </w:r>
                          </w:p>
                        </w:tc>
                        <w:tc>
                          <w:tcPr>
                            <w:tcW w:w="737" w:type="dxa"/>
                            <w:tcBorders>
                              <w:top w:val="nil"/>
                              <w:left w:val="nil"/>
                              <w:bottom w:val="single" w:sz="4" w:space="0" w:color="auto"/>
                              <w:right w:val="single" w:sz="4" w:space="0" w:color="auto"/>
                            </w:tcBorders>
                            <w:shd w:val="clear" w:color="auto" w:fill="auto"/>
                            <w:noWrap/>
                            <w:vAlign w:val="center"/>
                            <w:hideMark/>
                          </w:tcPr>
                          <w:p w14:paraId="0DE87826"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40,558 </w:t>
                            </w:r>
                          </w:p>
                        </w:tc>
                        <w:tc>
                          <w:tcPr>
                            <w:tcW w:w="737" w:type="dxa"/>
                            <w:tcBorders>
                              <w:top w:val="nil"/>
                              <w:left w:val="nil"/>
                              <w:bottom w:val="single" w:sz="4" w:space="0" w:color="auto"/>
                              <w:right w:val="single" w:sz="4" w:space="0" w:color="auto"/>
                            </w:tcBorders>
                            <w:shd w:val="clear" w:color="auto" w:fill="auto"/>
                            <w:noWrap/>
                            <w:vAlign w:val="center"/>
                            <w:hideMark/>
                          </w:tcPr>
                          <w:p w14:paraId="2A55F604"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93.06 </w:t>
                            </w:r>
                          </w:p>
                        </w:tc>
                        <w:tc>
                          <w:tcPr>
                            <w:tcW w:w="737" w:type="dxa"/>
                            <w:tcBorders>
                              <w:top w:val="nil"/>
                              <w:left w:val="nil"/>
                              <w:bottom w:val="single" w:sz="4" w:space="0" w:color="auto"/>
                              <w:right w:val="single" w:sz="4" w:space="0" w:color="auto"/>
                            </w:tcBorders>
                            <w:shd w:val="clear" w:color="auto" w:fill="auto"/>
                            <w:noWrap/>
                            <w:vAlign w:val="center"/>
                            <w:hideMark/>
                          </w:tcPr>
                          <w:p w14:paraId="3ECBB160"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1,173 </w:t>
                            </w:r>
                          </w:p>
                        </w:tc>
                        <w:tc>
                          <w:tcPr>
                            <w:tcW w:w="737" w:type="dxa"/>
                            <w:tcBorders>
                              <w:top w:val="nil"/>
                              <w:left w:val="nil"/>
                              <w:bottom w:val="single" w:sz="4" w:space="0" w:color="auto"/>
                              <w:right w:val="single" w:sz="4" w:space="0" w:color="auto"/>
                            </w:tcBorders>
                            <w:shd w:val="clear" w:color="auto" w:fill="auto"/>
                            <w:noWrap/>
                            <w:vAlign w:val="center"/>
                            <w:hideMark/>
                          </w:tcPr>
                          <w:p w14:paraId="27607303"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960 </w:t>
                            </w:r>
                          </w:p>
                        </w:tc>
                        <w:tc>
                          <w:tcPr>
                            <w:tcW w:w="737" w:type="dxa"/>
                            <w:tcBorders>
                              <w:top w:val="nil"/>
                              <w:left w:val="nil"/>
                              <w:bottom w:val="single" w:sz="4" w:space="0" w:color="auto"/>
                              <w:right w:val="single" w:sz="4" w:space="0" w:color="auto"/>
                            </w:tcBorders>
                            <w:shd w:val="clear" w:color="auto" w:fill="auto"/>
                            <w:noWrap/>
                            <w:vAlign w:val="center"/>
                            <w:hideMark/>
                          </w:tcPr>
                          <w:p w14:paraId="3A290A57" w14:textId="77777777" w:rsidR="00A0212B" w:rsidRPr="006A3CE2" w:rsidRDefault="00A0212B" w:rsidP="000131EC">
                            <w:pPr>
                              <w:widowControl/>
                              <w:jc w:val="right"/>
                              <w:rPr>
                                <w:rFonts w:ascii="標楷體" w:eastAsia="標楷體" w:hAnsi="標楷體" w:cs="新細明體"/>
                                <w:color w:val="000000"/>
                                <w:spacing w:val="-6"/>
                                <w:kern w:val="0"/>
                                <w:sz w:val="20"/>
                              </w:rPr>
                            </w:pPr>
                            <w:r w:rsidRPr="006A3CE2">
                              <w:rPr>
                                <w:rFonts w:ascii="標楷體" w:eastAsia="標楷體" w:hAnsi="標楷體" w:cs="新細明體" w:hint="eastAsia"/>
                                <w:color w:val="000000"/>
                                <w:spacing w:val="-6"/>
                                <w:kern w:val="0"/>
                                <w:sz w:val="20"/>
                              </w:rPr>
                              <w:t xml:space="preserve">81.91 </w:t>
                            </w:r>
                          </w:p>
                        </w:tc>
                        <w:tc>
                          <w:tcPr>
                            <w:tcW w:w="737" w:type="dxa"/>
                            <w:tcBorders>
                              <w:top w:val="nil"/>
                              <w:left w:val="nil"/>
                              <w:bottom w:val="single" w:sz="4" w:space="0" w:color="auto"/>
                              <w:right w:val="single" w:sz="4" w:space="0" w:color="auto"/>
                            </w:tcBorders>
                            <w:shd w:val="clear" w:color="auto" w:fill="auto"/>
                            <w:noWrap/>
                            <w:vAlign w:val="center"/>
                            <w:hideMark/>
                          </w:tcPr>
                          <w:p w14:paraId="537E73B0"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47,997 </w:t>
                            </w:r>
                          </w:p>
                        </w:tc>
                        <w:tc>
                          <w:tcPr>
                            <w:tcW w:w="737" w:type="dxa"/>
                            <w:tcBorders>
                              <w:top w:val="nil"/>
                              <w:left w:val="nil"/>
                              <w:bottom w:val="single" w:sz="4" w:space="0" w:color="auto"/>
                              <w:right w:val="single" w:sz="4" w:space="0" w:color="auto"/>
                            </w:tcBorders>
                            <w:shd w:val="clear" w:color="auto" w:fill="auto"/>
                            <w:noWrap/>
                            <w:vAlign w:val="center"/>
                            <w:hideMark/>
                          </w:tcPr>
                          <w:p w14:paraId="3528F6BD"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50,245 </w:t>
                            </w:r>
                          </w:p>
                        </w:tc>
                        <w:tc>
                          <w:tcPr>
                            <w:tcW w:w="737" w:type="dxa"/>
                            <w:tcBorders>
                              <w:top w:val="nil"/>
                              <w:left w:val="nil"/>
                              <w:bottom w:val="single" w:sz="4" w:space="0" w:color="auto"/>
                              <w:right w:val="single" w:sz="4" w:space="0" w:color="auto"/>
                            </w:tcBorders>
                            <w:shd w:val="clear" w:color="auto" w:fill="auto"/>
                            <w:noWrap/>
                            <w:vAlign w:val="center"/>
                            <w:hideMark/>
                          </w:tcPr>
                          <w:p w14:paraId="7F8E754A" w14:textId="77777777" w:rsidR="00A0212B" w:rsidRPr="004906F1" w:rsidRDefault="00A0212B" w:rsidP="000131EC">
                            <w:pPr>
                              <w:widowControl/>
                              <w:jc w:val="right"/>
                              <w:rPr>
                                <w:rFonts w:ascii="標楷體" w:eastAsia="標楷體" w:hAnsi="標楷體" w:cs="新細明體"/>
                                <w:color w:val="000000"/>
                                <w:spacing w:val="-8"/>
                                <w:kern w:val="0"/>
                                <w:sz w:val="20"/>
                              </w:rPr>
                            </w:pPr>
                            <w:r w:rsidRPr="004906F1">
                              <w:rPr>
                                <w:rFonts w:ascii="標楷體" w:eastAsia="標楷體" w:hAnsi="標楷體" w:cs="新細明體" w:hint="eastAsia"/>
                                <w:color w:val="000000"/>
                                <w:spacing w:val="-8"/>
                                <w:kern w:val="0"/>
                                <w:sz w:val="20"/>
                              </w:rPr>
                              <w:t xml:space="preserve">104.69 </w:t>
                            </w:r>
                          </w:p>
                        </w:tc>
                      </w:tr>
                      <w:tr w:rsidR="00A0212B" w:rsidRPr="006A3CE2" w14:paraId="32502697" w14:textId="77777777" w:rsidTr="000131EC">
                        <w:trPr>
                          <w:trHeight w:val="300"/>
                          <w:jc w:val="center"/>
                        </w:trPr>
                        <w:tc>
                          <w:tcPr>
                            <w:tcW w:w="9581" w:type="dxa"/>
                            <w:gridSpan w:val="13"/>
                            <w:tcBorders>
                              <w:top w:val="single" w:sz="4" w:space="0" w:color="auto"/>
                              <w:left w:val="nil"/>
                              <w:bottom w:val="nil"/>
                              <w:right w:val="nil"/>
                            </w:tcBorders>
                            <w:shd w:val="clear" w:color="auto" w:fill="auto"/>
                            <w:vAlign w:val="center"/>
                            <w:hideMark/>
                          </w:tcPr>
                          <w:p w14:paraId="26A8BC65" w14:textId="77777777" w:rsidR="00A0212B" w:rsidRPr="006A3CE2" w:rsidRDefault="00A0212B" w:rsidP="000131EC">
                            <w:pPr>
                              <w:widowControl/>
                              <w:snapToGrid w:val="0"/>
                              <w:spacing w:line="200" w:lineRule="atLeast"/>
                              <w:ind w:left="540" w:hangingChars="300" w:hanging="540"/>
                              <w:jc w:val="both"/>
                              <w:rPr>
                                <w:rFonts w:ascii="標楷體" w:eastAsia="標楷體" w:hAnsi="標楷體" w:cs="新細明體"/>
                                <w:color w:val="000000"/>
                                <w:kern w:val="0"/>
                                <w:sz w:val="18"/>
                                <w:szCs w:val="18"/>
                              </w:rPr>
                            </w:pPr>
                            <w:r w:rsidRPr="006A3CE2">
                              <w:rPr>
                                <w:rFonts w:ascii="標楷體" w:eastAsia="標楷體" w:hAnsi="標楷體" w:cs="新細明體" w:hint="eastAsia"/>
                                <w:color w:val="000000"/>
                                <w:kern w:val="0"/>
                                <w:sz w:val="18"/>
                                <w:szCs w:val="18"/>
                              </w:rPr>
                              <w:t>註：1.截至113年4</w:t>
                            </w:r>
                            <w:r>
                              <w:rPr>
                                <w:rFonts w:ascii="標楷體" w:eastAsia="標楷體" w:hAnsi="標楷體" w:cs="新細明體" w:hint="eastAsia"/>
                                <w:color w:val="000000"/>
                                <w:kern w:val="0"/>
                                <w:sz w:val="18"/>
                                <w:szCs w:val="18"/>
                              </w:rPr>
                              <w:t>月底止，行政</w:t>
                            </w:r>
                            <w:r w:rsidRPr="006A3CE2">
                              <w:rPr>
                                <w:rFonts w:ascii="標楷體" w:eastAsia="標楷體" w:hAnsi="標楷體" w:cs="新細明體" w:hint="eastAsia"/>
                                <w:color w:val="000000"/>
                                <w:kern w:val="0"/>
                                <w:sz w:val="18"/>
                                <w:szCs w:val="18"/>
                              </w:rPr>
                              <w:t>院已公開109至111</w:t>
                            </w:r>
                            <w:r>
                              <w:rPr>
                                <w:rFonts w:ascii="標楷體" w:eastAsia="標楷體" w:hAnsi="標楷體" w:cs="新細明體" w:hint="eastAsia"/>
                                <w:color w:val="000000"/>
                                <w:kern w:val="0"/>
                                <w:sz w:val="18"/>
                                <w:szCs w:val="18"/>
                              </w:rPr>
                              <w:t>年度行政院及所屬各部會性別預算執行情形整體說明，又各部會已向行政</w:t>
                            </w:r>
                            <w:r w:rsidRPr="006A3CE2">
                              <w:rPr>
                                <w:rFonts w:ascii="標楷體" w:eastAsia="標楷體" w:hAnsi="標楷體" w:cs="新細明體" w:hint="eastAsia"/>
                                <w:color w:val="000000"/>
                                <w:kern w:val="0"/>
                                <w:sz w:val="18"/>
                                <w:szCs w:val="18"/>
                              </w:rPr>
                              <w:t>院提出112</w:t>
                            </w:r>
                            <w:r>
                              <w:rPr>
                                <w:rFonts w:ascii="標楷體" w:eastAsia="標楷體" w:hAnsi="標楷體" w:cs="新細明體" w:hint="eastAsia"/>
                                <w:color w:val="000000"/>
                                <w:kern w:val="0"/>
                                <w:sz w:val="18"/>
                                <w:szCs w:val="18"/>
                              </w:rPr>
                              <w:t>年度性別預算執行情形，行政</w:t>
                            </w:r>
                            <w:r w:rsidRPr="006A3CE2">
                              <w:rPr>
                                <w:rFonts w:ascii="標楷體" w:eastAsia="標楷體" w:hAnsi="標楷體" w:cs="新細明體" w:hint="eastAsia"/>
                                <w:color w:val="000000"/>
                                <w:kern w:val="0"/>
                                <w:sz w:val="18"/>
                                <w:szCs w:val="18"/>
                              </w:rPr>
                              <w:t>院尚在彙整中。</w:t>
                            </w:r>
                          </w:p>
                        </w:tc>
                      </w:tr>
                      <w:tr w:rsidR="00A0212B" w:rsidRPr="006A3CE2" w14:paraId="3F48872F" w14:textId="77777777" w:rsidTr="000131EC">
                        <w:trPr>
                          <w:trHeight w:val="510"/>
                          <w:jc w:val="center"/>
                        </w:trPr>
                        <w:tc>
                          <w:tcPr>
                            <w:tcW w:w="9581" w:type="dxa"/>
                            <w:gridSpan w:val="13"/>
                            <w:tcBorders>
                              <w:top w:val="nil"/>
                              <w:left w:val="nil"/>
                              <w:bottom w:val="nil"/>
                              <w:right w:val="nil"/>
                            </w:tcBorders>
                            <w:shd w:val="clear" w:color="auto" w:fill="auto"/>
                            <w:vAlign w:val="center"/>
                            <w:hideMark/>
                          </w:tcPr>
                          <w:p w14:paraId="47E535AA" w14:textId="685A9720" w:rsidR="00A0212B" w:rsidRPr="006A3CE2" w:rsidRDefault="00A0212B" w:rsidP="00E13A27">
                            <w:pPr>
                              <w:widowControl/>
                              <w:snapToGrid w:val="0"/>
                              <w:spacing w:line="200" w:lineRule="atLeast"/>
                              <w:ind w:leftChars="150" w:left="540" w:hangingChars="100" w:hanging="180"/>
                              <w:jc w:val="both"/>
                              <w:rPr>
                                <w:rFonts w:ascii="標楷體" w:eastAsia="標楷體" w:hAnsi="標楷體" w:cs="新細明體"/>
                                <w:color w:val="000000"/>
                                <w:kern w:val="0"/>
                                <w:sz w:val="18"/>
                                <w:szCs w:val="18"/>
                              </w:rPr>
                            </w:pPr>
                            <w:r w:rsidRPr="006A3CE2">
                              <w:rPr>
                                <w:rFonts w:ascii="標楷體" w:eastAsia="標楷體" w:hAnsi="標楷體" w:cs="新細明體" w:hint="eastAsia"/>
                                <w:color w:val="000000"/>
                                <w:kern w:val="0"/>
                                <w:sz w:val="18"/>
                                <w:szCs w:val="18"/>
                              </w:rPr>
                              <w:t>2.性別預算為行政院及所屬各部會於編列年度預算時，就其中涉及促進性別平等相關業務經費予以匡列註記或按比例計算之結果，執行時可能視需要於相關預算科目勻用列支，或按實際比</w:t>
                            </w:r>
                            <w:r>
                              <w:rPr>
                                <w:rFonts w:ascii="標楷體" w:eastAsia="標楷體" w:hAnsi="標楷體" w:cs="新細明體" w:hint="eastAsia"/>
                                <w:color w:val="000000"/>
                                <w:kern w:val="0"/>
                                <w:sz w:val="18"/>
                                <w:szCs w:val="18"/>
                              </w:rPr>
                              <w:t>率</w:t>
                            </w:r>
                            <w:r w:rsidRPr="006A3CE2">
                              <w:rPr>
                                <w:rFonts w:ascii="標楷體" w:eastAsia="標楷體" w:hAnsi="標楷體" w:cs="新細明體" w:hint="eastAsia"/>
                                <w:color w:val="000000"/>
                                <w:kern w:val="0"/>
                                <w:sz w:val="18"/>
                                <w:szCs w:val="18"/>
                              </w:rPr>
                              <w:t>計算，故有執行數超逾預算數情形。</w:t>
                            </w:r>
                          </w:p>
                        </w:tc>
                      </w:tr>
                      <w:tr w:rsidR="00A0212B" w:rsidRPr="006A3CE2" w14:paraId="5B712393" w14:textId="77777777" w:rsidTr="000131EC">
                        <w:trPr>
                          <w:trHeight w:val="315"/>
                          <w:jc w:val="center"/>
                        </w:trPr>
                        <w:tc>
                          <w:tcPr>
                            <w:tcW w:w="9581" w:type="dxa"/>
                            <w:gridSpan w:val="13"/>
                            <w:tcBorders>
                              <w:top w:val="nil"/>
                              <w:left w:val="nil"/>
                              <w:bottom w:val="nil"/>
                              <w:right w:val="nil"/>
                            </w:tcBorders>
                            <w:shd w:val="clear" w:color="auto" w:fill="auto"/>
                            <w:noWrap/>
                            <w:vAlign w:val="center"/>
                            <w:hideMark/>
                          </w:tcPr>
                          <w:p w14:paraId="5C76FA67" w14:textId="77777777" w:rsidR="00A0212B" w:rsidRPr="006A3CE2" w:rsidRDefault="00A0212B" w:rsidP="000131EC">
                            <w:pPr>
                              <w:widowControl/>
                              <w:snapToGrid w:val="0"/>
                              <w:spacing w:line="200" w:lineRule="atLeast"/>
                              <w:ind w:leftChars="150" w:left="540" w:hangingChars="100" w:hanging="180"/>
                              <w:jc w:val="both"/>
                              <w:rPr>
                                <w:rFonts w:ascii="標楷體" w:eastAsia="標楷體" w:hAnsi="標楷體" w:cs="新細明體"/>
                                <w:color w:val="000000"/>
                                <w:kern w:val="0"/>
                                <w:sz w:val="18"/>
                                <w:szCs w:val="18"/>
                              </w:rPr>
                            </w:pPr>
                            <w:r w:rsidRPr="006A3CE2">
                              <w:rPr>
                                <w:rFonts w:ascii="標楷體" w:eastAsia="標楷體" w:hAnsi="標楷體" w:cs="新細明體" w:hint="eastAsia"/>
                                <w:color w:val="000000"/>
                                <w:kern w:val="0"/>
                                <w:sz w:val="18"/>
                                <w:szCs w:val="18"/>
                              </w:rPr>
                              <w:t>3.資料來源：109至111年度整理自行政院性別平等會網站公布各該年度「行政院及所屬各部會性別預算執行情形整體說明」；112年度整理自行政院及所屬各部會提供資料。</w:t>
                            </w:r>
                          </w:p>
                        </w:tc>
                      </w:tr>
                    </w:tbl>
                    <w:p w14:paraId="1E6E964C" w14:textId="77777777" w:rsidR="00A0212B" w:rsidRPr="006A3CE2" w:rsidRDefault="00A0212B" w:rsidP="00A03E51"/>
                  </w:txbxContent>
                </v:textbox>
                <w10:wrap type="square" anchorx="margin"/>
              </v:shape>
            </w:pict>
          </mc:Fallback>
        </mc:AlternateContent>
      </w:r>
      <w:r w:rsidRPr="004D7C92">
        <w:rPr>
          <w:rFonts w:ascii="標楷體" w:eastAsia="標楷體" w:hAnsi="標楷體"/>
          <w:b/>
          <w:noProof/>
          <w:spacing w:val="6"/>
          <w:szCs w:val="24"/>
        </w:rPr>
        <w:t>1.　行政院及所屬各部會112年度整體性別預算經費規模及執行率為近4年度最高，惟仍有部分機關（構）</w:t>
      </w:r>
      <w:r w:rsidR="00E13A27">
        <w:rPr>
          <w:rFonts w:ascii="標楷體" w:eastAsia="標楷體" w:hAnsi="標楷體" w:hint="eastAsia"/>
          <w:b/>
          <w:noProof/>
          <w:spacing w:val="6"/>
          <w:szCs w:val="24"/>
        </w:rPr>
        <w:t>、基金</w:t>
      </w:r>
      <w:r w:rsidRPr="004D7C92">
        <w:rPr>
          <w:rFonts w:ascii="標楷體" w:eastAsia="標楷體" w:hAnsi="標楷體"/>
          <w:b/>
          <w:noProof/>
          <w:spacing w:val="6"/>
          <w:szCs w:val="24"/>
        </w:rPr>
        <w:t>性別預算執行率或業務推動情形未盡理想：</w:t>
      </w:r>
      <w:r w:rsidRPr="004D7C92">
        <w:rPr>
          <w:rFonts w:ascii="標楷體" w:eastAsia="標楷體" w:hAnsi="標楷體" w:hint="eastAsia"/>
          <w:noProof/>
          <w:spacing w:val="6"/>
          <w:szCs w:val="24"/>
        </w:rPr>
        <w:t>行政院及所屬各部會</w:t>
      </w:r>
      <w:r w:rsidRPr="004D7C92">
        <w:rPr>
          <w:rFonts w:ascii="標楷體" w:eastAsia="標楷體" w:hAnsi="標楷體"/>
          <w:noProof/>
          <w:spacing w:val="6"/>
          <w:szCs w:val="24"/>
        </w:rPr>
        <w:t>112年度編列公務機關、營業基金及非營業基金性別預算數合計達1,555億餘元、執行數1,598億餘元（102.75％），經費規模及執行率均為近4年度（109至112年度）新高</w:t>
      </w:r>
      <w:r w:rsidRPr="00A61463">
        <w:rPr>
          <w:rFonts w:ascii="標楷體" w:eastAsia="標楷體" w:hAnsi="標楷體" w:hint="eastAsia"/>
          <w:noProof/>
          <w:szCs w:val="24"/>
        </w:rPr>
        <w:t>（</w:t>
      </w:r>
      <w:r w:rsidRPr="006678C5">
        <w:rPr>
          <w:rFonts w:ascii="標楷體" w:eastAsia="標楷體" w:hAnsi="標楷體" w:hint="eastAsia"/>
          <w:noProof/>
          <w:szCs w:val="24"/>
        </w:rPr>
        <w:t>表</w:t>
      </w:r>
      <w:r w:rsidR="009C6827" w:rsidRPr="006678C5">
        <w:rPr>
          <w:rFonts w:ascii="標楷體" w:eastAsia="標楷體" w:hAnsi="標楷體" w:hint="eastAsia"/>
          <w:noProof/>
          <w:szCs w:val="24"/>
        </w:rPr>
        <w:t>2</w:t>
      </w:r>
      <w:r w:rsidR="00C6766F" w:rsidRPr="006678C5">
        <w:rPr>
          <w:rFonts w:ascii="標楷體" w:eastAsia="標楷體" w:hAnsi="標楷體" w:hint="eastAsia"/>
          <w:noProof/>
          <w:szCs w:val="24"/>
        </w:rPr>
        <w:t>2</w:t>
      </w:r>
      <w:r w:rsidRPr="00A61463">
        <w:rPr>
          <w:rFonts w:ascii="標楷體" w:eastAsia="標楷體" w:hAnsi="標楷體" w:hint="eastAsia"/>
          <w:noProof/>
          <w:szCs w:val="24"/>
        </w:rPr>
        <w:t>）</w:t>
      </w:r>
      <w:r w:rsidRPr="00780B49">
        <w:rPr>
          <w:rFonts w:ascii="標楷體" w:eastAsia="標楷體" w:hAnsi="標楷體" w:hint="eastAsia"/>
          <w:noProof/>
          <w:szCs w:val="24"/>
        </w:rPr>
        <w:t>，合共辦</w:t>
      </w:r>
      <w:r w:rsidRPr="004D7C92">
        <w:rPr>
          <w:rFonts w:ascii="標楷體" w:eastAsia="標楷體" w:hAnsi="標楷體" w:hint="eastAsia"/>
          <w:noProof/>
          <w:spacing w:val="6"/>
          <w:szCs w:val="24"/>
        </w:rPr>
        <w:t>理完成性別平等相關業務</w:t>
      </w:r>
      <w:r w:rsidRPr="004D7C92">
        <w:rPr>
          <w:rFonts w:ascii="標楷體" w:eastAsia="標楷體" w:hAnsi="標楷體"/>
          <w:noProof/>
          <w:spacing w:val="6"/>
          <w:szCs w:val="24"/>
        </w:rPr>
        <w:t>1,209項（達成率86.60％），主要係政府擴大投入少子女化對策計畫有關2至6歲幼兒教育與照顧，暨托育公共化及準公共化所需經費；長照服務發展基金增列長照服務給付，及獎助居家式、社區式長期照顧機構資源佈建；推動促進2度就業女性、新住民及身心障礙者之僱用及就業獎助、多元培力就業計畫；多個部會、醫療、學校機構、公共館舍增設性別友善或無障礙空間、設施等，持續促進我國性別平等。惟查，行政院及所屬各部會執行112年度性別預算結果，部分機關（構）、基金性</w:t>
      </w:r>
      <w:r w:rsidRPr="006F2D26">
        <w:rPr>
          <w:rFonts w:ascii="標楷體" w:eastAsia="標楷體" w:hAnsi="標楷體"/>
          <w:noProof/>
          <w:spacing w:val="6"/>
          <w:szCs w:val="24"/>
        </w:rPr>
        <w:t>別預算執行率未達8成，或預計辦理項目之達成率未達8成，主要係性別友善、無障礙、</w:t>
      </w:r>
      <w:r w:rsidRPr="004D7C92">
        <w:rPr>
          <w:rFonts w:ascii="標楷體" w:eastAsia="標楷體" w:hAnsi="標楷體" w:hint="eastAsia"/>
          <w:noProof/>
          <w:spacing w:val="6"/>
          <w:szCs w:val="24"/>
        </w:rPr>
        <w:lastRenderedPageBreak/>
        <w:t>女性專屬之空間、設施有關工程，受規劃設計、招標、發包、計畫修正、環境影響評估、上游料件供應期程影響，執行進度未如預期</w:t>
      </w:r>
      <w:r w:rsidR="00E13A27">
        <w:rPr>
          <w:rFonts w:ascii="標楷體" w:eastAsia="標楷體" w:hAnsi="標楷體" w:hint="eastAsia"/>
          <w:noProof/>
          <w:spacing w:val="6"/>
          <w:szCs w:val="24"/>
        </w:rPr>
        <w:t>，</w:t>
      </w:r>
      <w:r w:rsidRPr="004D7C92">
        <w:rPr>
          <w:rFonts w:ascii="標楷體" w:eastAsia="標楷體" w:hAnsi="標楷體" w:hint="eastAsia"/>
          <w:noProof/>
          <w:spacing w:val="6"/>
          <w:szCs w:val="24"/>
        </w:rPr>
        <w:t>實際完成數較預計為少或未執行；鼓勵兩性從業突破性別框架、補助女性進修或創業、辦理新住民家庭成長及子女托育、獎助性別平等研究案（人）數或性別占比未如預期；受人力、疫情、講師行程等因素影響，相關宣導活動、教育或人才培育減少、延後或取消辦理，或將實體講座、課程改為線上數位方式辦理；考量部分性別平等業務或性別友善工程較不具急迫性，暫緩或延後辦理，或經費調整支應他項設備而未執行等，顯示部分機關（構）</w:t>
      </w:r>
      <w:r w:rsidR="004D3D6D">
        <w:rPr>
          <w:rFonts w:ascii="標楷體" w:eastAsia="標楷體" w:hAnsi="標楷體" w:hint="eastAsia"/>
          <w:noProof/>
          <w:spacing w:val="6"/>
          <w:szCs w:val="24"/>
        </w:rPr>
        <w:t>、基金</w:t>
      </w:r>
      <w:r w:rsidRPr="004D7C92">
        <w:rPr>
          <w:rFonts w:ascii="標楷體" w:eastAsia="標楷體" w:hAnsi="標楷體"/>
          <w:noProof/>
          <w:spacing w:val="6"/>
          <w:szCs w:val="24"/>
        </w:rPr>
        <w:t>112年度規劃辦理促進性別平等相關工作及對應編列之性別預算，仍存有未覈實編列或未盡落實執行情事。經函請行政院督促各主管部會促請有關機關（構）</w:t>
      </w:r>
      <w:r w:rsidR="004D3D6D">
        <w:rPr>
          <w:rFonts w:ascii="標楷體" w:eastAsia="標楷體" w:hAnsi="標楷體" w:hint="eastAsia"/>
          <w:noProof/>
          <w:spacing w:val="6"/>
          <w:szCs w:val="24"/>
        </w:rPr>
        <w:t>、基金</w:t>
      </w:r>
      <w:r w:rsidRPr="004D7C92">
        <w:rPr>
          <w:rFonts w:ascii="標楷體" w:eastAsia="標楷體" w:hAnsi="標楷體"/>
          <w:noProof/>
          <w:spacing w:val="6"/>
          <w:szCs w:val="24"/>
        </w:rPr>
        <w:t>妥為衡酌性別平等業務實際需要，覈實編列預算，並加強先期規劃作業及管控計畫執行，暨評估性別預算執行率或相關業務推動未如預期，對組織達成性別平等目標之影響，研謀改善措施，加速推動及落實性別平等工作。</w:t>
      </w:r>
      <w:r w:rsidR="00696F16" w:rsidRPr="004D7C92">
        <w:rPr>
          <w:rFonts w:ascii="標楷體" w:eastAsia="標楷體" w:hAnsi="標楷體" w:hint="eastAsia"/>
          <w:noProof/>
          <w:spacing w:val="6"/>
          <w:szCs w:val="24"/>
        </w:rPr>
        <w:t>據復：嗣後將請各機關於編列次年度概算時，配合實際情形覈實編列性別預算，並檢討分析相關業務推動結果性別占比未如預期原因，提出相關精進作法；又考量實體課程有助於深化性別平等意識培力，嗣後將</w:t>
      </w:r>
      <w:r w:rsidR="00A302CC">
        <w:rPr>
          <w:rFonts w:ascii="標楷體" w:eastAsia="標楷體" w:hAnsi="標楷體" w:hint="eastAsia"/>
          <w:noProof/>
          <w:spacing w:val="6"/>
          <w:szCs w:val="24"/>
        </w:rPr>
        <w:t>請各機關就操作型、團體討論型課程，優先規劃實體訓練課程；另</w:t>
      </w:r>
      <w:r w:rsidR="00696F16" w:rsidRPr="004D7C92">
        <w:rPr>
          <w:rFonts w:ascii="標楷體" w:eastAsia="標楷體" w:hAnsi="標楷體" w:hint="eastAsia"/>
          <w:noProof/>
          <w:spacing w:val="6"/>
          <w:szCs w:val="24"/>
        </w:rPr>
        <w:t>將於</w:t>
      </w:r>
      <w:r w:rsidR="00696F16" w:rsidRPr="004D7C92">
        <w:rPr>
          <w:rFonts w:ascii="標楷體" w:eastAsia="標楷體" w:hAnsi="標楷體"/>
          <w:noProof/>
          <w:spacing w:val="6"/>
          <w:szCs w:val="24"/>
        </w:rPr>
        <w:t>114年推動性別平等業務之輔導考核，新增各部會「性別預算執行率」及「年度預期成果達成率」等評核指標，並於實地訪評時檢視執行率或達成率不佳之原因，促請各機關落實性別平等工作與性別預算之執行。</w:t>
      </w:r>
    </w:p>
    <w:p w14:paraId="1F536294" w14:textId="7F14E0BD" w:rsidR="00A03E51" w:rsidRPr="001E7734" w:rsidRDefault="00A03E51" w:rsidP="004D7C92">
      <w:pPr>
        <w:overflowPunct w:val="0"/>
        <w:snapToGrid w:val="0"/>
        <w:spacing w:line="460" w:lineRule="exact"/>
        <w:ind w:firstLineChars="450" w:firstLine="1081"/>
        <w:jc w:val="both"/>
        <w:rPr>
          <w:rFonts w:ascii="標楷體" w:eastAsia="標楷體" w:hAnsi="標楷體"/>
          <w:noProof/>
          <w:szCs w:val="24"/>
        </w:rPr>
      </w:pPr>
      <w:r w:rsidRPr="00E31547">
        <w:rPr>
          <w:rFonts w:ascii="標楷體" w:eastAsia="標楷體" w:hAnsi="標楷體"/>
          <w:b/>
          <w:noProof/>
          <w:szCs w:val="24"/>
        </w:rPr>
        <w:t>2.</w:t>
      </w:r>
      <w:r w:rsidRPr="00E31547">
        <w:rPr>
          <w:rFonts w:ascii="標楷體" w:eastAsia="標楷體" w:hAnsi="標楷體" w:hint="eastAsia"/>
          <w:b/>
          <w:noProof/>
          <w:szCs w:val="24"/>
        </w:rPr>
        <w:t xml:space="preserve">　</w:t>
      </w:r>
      <w:r w:rsidRPr="008A6E38">
        <w:rPr>
          <w:rFonts w:ascii="標楷體" w:eastAsia="標楷體" w:hAnsi="標楷體" w:hint="eastAsia"/>
          <w:b/>
          <w:noProof/>
          <w:szCs w:val="24"/>
        </w:rPr>
        <w:t>行</w:t>
      </w:r>
      <w:r w:rsidRPr="002D5745">
        <w:rPr>
          <w:rFonts w:ascii="標楷體" w:eastAsia="標楷體" w:hAnsi="標楷體" w:hint="eastAsia"/>
          <w:b/>
          <w:noProof/>
          <w:szCs w:val="24"/>
        </w:rPr>
        <w:t>政院層級性別平等重要議題推動情形，間有公私部門決策參與之性別平等實施成效尚有提升空間，部分關鍵績效指標達成情形未明或未盡完整等</w:t>
      </w:r>
      <w:r>
        <w:rPr>
          <w:rFonts w:ascii="標楷體" w:eastAsia="標楷體" w:hAnsi="標楷體" w:hint="eastAsia"/>
          <w:b/>
          <w:noProof/>
          <w:szCs w:val="24"/>
        </w:rPr>
        <w:t>情</w:t>
      </w:r>
      <w:r w:rsidRPr="002D5745">
        <w:rPr>
          <w:rFonts w:ascii="標楷體" w:eastAsia="標楷體" w:hAnsi="標楷體" w:hint="eastAsia"/>
          <w:b/>
          <w:noProof/>
          <w:szCs w:val="24"/>
        </w:rPr>
        <w:t>：</w:t>
      </w:r>
      <w:r w:rsidRPr="00DF2813">
        <w:rPr>
          <w:rFonts w:ascii="標楷體" w:eastAsia="標楷體" w:hAnsi="標楷體" w:hint="eastAsia"/>
          <w:noProof/>
          <w:szCs w:val="24"/>
        </w:rPr>
        <w:t>行政院策定111至114年度院層級性別平等重要議題，包括「促進公私部門決策參與之性別平等」、「提升女性經濟力」、「消除性別刻板印象、偏見與歧視」、「防治數位/網路性別暴力」、「促進健康及照顧工作之性別平等」、「打造具性別觀點的環境空間及科技創新」等6項，並對應訂定共12項目標、33項關鍵績效指標、114年度之目標值及各議題之辦理部會</w:t>
      </w:r>
      <w:r>
        <w:rPr>
          <w:rFonts w:ascii="標楷體" w:eastAsia="標楷體" w:hAnsi="標楷體" w:hint="eastAsia"/>
          <w:noProof/>
          <w:szCs w:val="24"/>
        </w:rPr>
        <w:t>。經查，依據各部會提出111及112年度</w:t>
      </w:r>
      <w:r w:rsidRPr="003623CB">
        <w:rPr>
          <w:rFonts w:ascii="標楷體" w:eastAsia="標楷體" w:hAnsi="標楷體" w:hint="eastAsia"/>
          <w:noProof/>
          <w:szCs w:val="24"/>
        </w:rPr>
        <w:t>性別平等推動計畫成果報告（下稱成果報告）及相關調查統計數據，各部會111、112年度性別平等推動計畫</w:t>
      </w:r>
      <w:r w:rsidR="00AF04A5">
        <w:rPr>
          <w:rFonts w:ascii="標楷體" w:eastAsia="標楷體" w:hAnsi="標楷體" w:hint="eastAsia"/>
          <w:noProof/>
          <w:szCs w:val="24"/>
        </w:rPr>
        <w:t>對應該6項院層級性別平等重要議題所</w:t>
      </w:r>
      <w:r w:rsidRPr="003623CB">
        <w:rPr>
          <w:rFonts w:ascii="標楷體" w:eastAsia="標楷體" w:hAnsi="標楷體" w:hint="eastAsia"/>
          <w:noProof/>
          <w:szCs w:val="24"/>
        </w:rPr>
        <w:t>訂定之績效指標項數，分別合計440項、469項，達成年度目標值者，分別合計404項（達成率91.82％）、451項（達成率96.16％），兩個年度達成率均突破9成</w:t>
      </w:r>
      <w:r>
        <w:rPr>
          <w:rFonts w:ascii="標楷體" w:eastAsia="標楷體" w:hAnsi="標楷體" w:hint="eastAsia"/>
          <w:noProof/>
          <w:szCs w:val="24"/>
        </w:rPr>
        <w:t>；</w:t>
      </w:r>
      <w:r w:rsidRPr="003623CB">
        <w:rPr>
          <w:rFonts w:ascii="標楷體" w:eastAsia="標楷體" w:hAnsi="標楷體" w:hint="eastAsia"/>
          <w:noProof/>
          <w:szCs w:val="24"/>
        </w:rPr>
        <w:t>另在33個院層級性別平等重要議題關鍵績效指標中，112年度民眾性別平等觀念、女性勞動力參與率、高等教育中女性畢業於科學、技術、工程及數學領域比率等，較於110年度均有提升，性別薪資落差亦有縮減</w:t>
      </w:r>
      <w:r>
        <w:rPr>
          <w:rFonts w:ascii="標楷體" w:eastAsia="標楷體" w:hAnsi="標楷體" w:hint="eastAsia"/>
          <w:noProof/>
          <w:szCs w:val="24"/>
        </w:rPr>
        <w:t>，</w:t>
      </w:r>
      <w:r w:rsidRPr="003623CB">
        <w:rPr>
          <w:rFonts w:ascii="標楷體" w:eastAsia="標楷體" w:hAnsi="標楷體" w:hint="eastAsia"/>
          <w:noProof/>
          <w:szCs w:val="24"/>
        </w:rPr>
        <w:t>推進我國實質性別平等目標，已有一定成效。</w:t>
      </w:r>
      <w:r w:rsidRPr="00E13A27">
        <w:rPr>
          <w:rFonts w:ascii="標楷體" w:eastAsia="標楷體" w:hAnsi="標楷體" w:hint="eastAsia"/>
          <w:noProof/>
          <w:szCs w:val="24"/>
        </w:rPr>
        <w:t>惟經抽</w:t>
      </w:r>
      <w:r w:rsidR="00A302CC">
        <w:rPr>
          <w:rFonts w:ascii="標楷體" w:eastAsia="標楷體" w:hAnsi="標楷體" w:hint="eastAsia"/>
          <w:noProof/>
          <w:szCs w:val="24"/>
        </w:rPr>
        <w:t>查</w:t>
      </w:r>
      <w:r w:rsidRPr="00E13A27">
        <w:rPr>
          <w:rFonts w:ascii="標楷體" w:eastAsia="標楷體" w:hAnsi="標楷體" w:hint="eastAsia"/>
          <w:noProof/>
          <w:szCs w:val="24"/>
        </w:rPr>
        <w:t>院層級性別平等重要議題部分關鍵績效指標111、112年度達成情形結果，仍核有</w:t>
      </w:r>
      <w:r w:rsidR="00AF04A5" w:rsidRPr="00E13A27">
        <w:rPr>
          <w:rFonts w:ascii="標楷體" w:eastAsia="標楷體" w:hAnsi="標楷體" w:hint="eastAsia"/>
          <w:noProof/>
          <w:szCs w:val="24"/>
        </w:rPr>
        <w:t>：</w:t>
      </w:r>
      <w:r w:rsidRPr="00E13A27">
        <w:rPr>
          <w:rFonts w:ascii="標楷體" w:eastAsia="標楷體" w:hAnsi="標楷體" w:hint="eastAsia"/>
          <w:noProof/>
          <w:szCs w:val="24"/>
        </w:rPr>
        <w:t>（1）</w:t>
      </w:r>
      <w:r w:rsidRPr="001E7734">
        <w:rPr>
          <w:rFonts w:ascii="標楷體" w:eastAsia="標楷體" w:hAnsi="標楷體" w:hint="eastAsia"/>
          <w:noProof/>
          <w:szCs w:val="24"/>
        </w:rPr>
        <w:lastRenderedPageBreak/>
        <w:t>促進公私部門決策參與之性別平等方面</w:t>
      </w:r>
      <w:r w:rsidRPr="00696F16">
        <w:rPr>
          <w:rFonts w:ascii="標楷體" w:eastAsia="標楷體" w:hAnsi="標楷體" w:hint="eastAsia"/>
          <w:noProof/>
          <w:szCs w:val="24"/>
        </w:rPr>
        <w:t>，</w:t>
      </w:r>
      <w:r w:rsidR="00696F16" w:rsidRPr="00696F16">
        <w:rPr>
          <w:rFonts w:ascii="標楷體" w:eastAsia="標楷體" w:hAnsi="標楷體" w:hint="eastAsia"/>
          <w:noProof/>
          <w:szCs w:val="24"/>
        </w:rPr>
        <w:t>部分政府捐助財團法人</w:t>
      </w:r>
      <w:r w:rsidR="00696F16" w:rsidRPr="00696F16">
        <w:rPr>
          <w:rFonts w:ascii="標楷體" w:eastAsia="標楷體" w:hAnsi="標楷體"/>
          <w:noProof/>
          <w:szCs w:val="24"/>
        </w:rPr>
        <w:t>112年度董、監事任一性別比率未達成年度目標</w:t>
      </w:r>
      <w:r w:rsidRPr="00696F16">
        <w:rPr>
          <w:rFonts w:ascii="標楷體" w:eastAsia="標楷體" w:hAnsi="標楷體" w:hint="eastAsia"/>
          <w:noProof/>
          <w:szCs w:val="24"/>
        </w:rPr>
        <w:t>；又</w:t>
      </w:r>
      <w:r w:rsidRPr="00696F16">
        <w:rPr>
          <w:rFonts w:ascii="標楷體" w:eastAsia="標楷體" w:hAnsi="標楷體"/>
          <w:noProof/>
          <w:szCs w:val="24"/>
        </w:rPr>
        <w:t>112年度農會女</w:t>
      </w:r>
      <w:r w:rsidRPr="001E7734">
        <w:rPr>
          <w:rFonts w:ascii="標楷體" w:eastAsia="標楷體" w:hAnsi="標楷體" w:hint="eastAsia"/>
          <w:noProof/>
          <w:szCs w:val="24"/>
        </w:rPr>
        <w:t>性選任人員比率（9％）、理事、監事任一性別比例達1/3</w:t>
      </w:r>
      <w:r w:rsidRPr="004D7C92">
        <w:rPr>
          <w:rFonts w:ascii="標楷體" w:eastAsia="標楷體" w:hAnsi="標楷體" w:hint="eastAsia"/>
          <w:noProof/>
          <w:spacing w:val="4"/>
          <w:szCs w:val="24"/>
        </w:rPr>
        <w:t>之達成率（理事</w:t>
      </w:r>
      <w:r w:rsidRPr="004D7C92">
        <w:rPr>
          <w:rFonts w:ascii="標楷體" w:eastAsia="標楷體" w:hAnsi="標楷體"/>
          <w:noProof/>
          <w:spacing w:val="4"/>
          <w:szCs w:val="24"/>
        </w:rPr>
        <w:t>1.32％、監事10.93％），雖多已達成年度目標值，惟其決策層級性別失衡情形仍較其他法人團體（舉如112年度農業部所轄財團法人董事、監事任一性別比例達1/3之達成率分別為66.67％、90.48％；工會女性理事、監事占比分別為32.4％、36.3％，全國各行政區域工會理事、監事任一性別比例達1/3之達成率分別為54.5％、72.7％等）嚴重，尚有改善空間；（2）部分關鍵績效指標</w:t>
      </w:r>
      <w:r w:rsidR="00A302CC">
        <w:rPr>
          <w:rFonts w:ascii="標楷體" w:eastAsia="標楷體" w:hAnsi="標楷體" w:hint="eastAsia"/>
          <w:noProof/>
          <w:spacing w:val="4"/>
          <w:szCs w:val="24"/>
        </w:rPr>
        <w:t>【</w:t>
      </w:r>
      <w:r w:rsidRPr="004D7C92">
        <w:rPr>
          <w:rFonts w:ascii="標楷體" w:eastAsia="標楷體" w:hAnsi="標楷體"/>
          <w:noProof/>
          <w:spacing w:val="4"/>
          <w:szCs w:val="24"/>
        </w:rPr>
        <w:t>如「提升女性經濟力」項下「提升已婚婦女結婚復職率達70％，生育（懷孕）復職率達65％」、「消除性別刻板印象、偏見與歧視」項下「有偶（含同居）女性之配偶（含同居人）之平均每日無酬照顧時間由1.48小時提升至1.83小時」、「防治數位/網路性別暴力」項下「民眾對於數位/網路性別暴力認識提高20個百分點」、「促進健康及照顧工作之性別平等」項下「提升原住民男性及女性成人預防保健服務利用率各1.5個百分點」及「身心障礙女性乳房攝影檢查服務利用率、子宮頸抹片檢查篩檢涵蓋率提升4個百分點」等</w:t>
      </w:r>
      <w:r w:rsidR="00A302CC">
        <w:rPr>
          <w:rFonts w:ascii="標楷體" w:eastAsia="標楷體" w:hAnsi="標楷體" w:hint="eastAsia"/>
          <w:noProof/>
          <w:spacing w:val="4"/>
          <w:szCs w:val="24"/>
        </w:rPr>
        <w:t>】</w:t>
      </w:r>
      <w:r w:rsidRPr="004D7C92">
        <w:rPr>
          <w:rFonts w:ascii="標楷體" w:eastAsia="標楷體" w:hAnsi="標楷體"/>
          <w:noProof/>
          <w:spacing w:val="4"/>
          <w:szCs w:val="24"/>
        </w:rPr>
        <w:t>或僅揭示114年度之目標值，未敘明111至113年度階段性目標值，或受相關調查統計分析辦理期程影響，未及提出年度統計數據，致111、112年度之期中達成情形未明，不利行政院透過分階段檢討成效，及時督導有關部會滾動檢討調整相關策略、具體作法及績效指標，確保性別平等目標之達成；（3</w:t>
      </w:r>
      <w:r w:rsidRPr="004D7C92">
        <w:rPr>
          <w:rFonts w:ascii="標楷體" w:eastAsia="標楷體" w:hAnsi="標楷體" w:hint="eastAsia"/>
          <w:noProof/>
          <w:spacing w:val="4"/>
          <w:szCs w:val="24"/>
        </w:rPr>
        <w:t>）院層級性別平等重要議題「防治數位</w:t>
      </w:r>
      <w:r w:rsidRPr="004D7C92">
        <w:rPr>
          <w:rFonts w:ascii="標楷體" w:eastAsia="標楷體" w:hAnsi="標楷體"/>
          <w:noProof/>
          <w:spacing w:val="4"/>
          <w:szCs w:val="24"/>
        </w:rPr>
        <w:t>/網路性別暴力」方面，行政院就有關部會成立數位/網路性別暴力防護組織或機制受理案件之處置，訂有「散布或未經同意而散布之性私密影像之移除、下架率或案件之服務、處置率</w:t>
      </w:r>
      <w:r w:rsidR="00E80E35">
        <w:rPr>
          <w:rFonts w:ascii="標楷體" w:eastAsia="標楷體" w:hAnsi="標楷體" w:hint="eastAsia"/>
          <w:noProof/>
          <w:spacing w:val="4"/>
          <w:szCs w:val="24"/>
        </w:rPr>
        <w:t>」</w:t>
      </w:r>
      <w:r w:rsidRPr="004D7C92">
        <w:rPr>
          <w:rFonts w:ascii="標楷體" w:eastAsia="標楷體" w:hAnsi="標楷體"/>
          <w:noProof/>
          <w:spacing w:val="4"/>
          <w:szCs w:val="24"/>
        </w:rPr>
        <w:t>1項關鍵績效指標，據國家通訊傳播委員會112年度成果報告，iWIN網路內容防護機構通知業者移除「兒少性影像」業務，自112年8月15日起移交至衛生福利部「性影像處理中心」，僅統計截至112年8月14日止之移除率69％，尚未達112年度目標值（85％）；而據衛生福利部112年度成果報告，成年性私密影像受理案件移除率73.8％，達成年度目標（70％），惟有關iWIN網路內容防護機構處理兒少私密影像部分，係按計畫原定績效指標，表達接獲相關申訴訊息之轉介率（112年度iWIN網路內容防護機構涉及有害兒少身心健康申訴案件轉介率100％，達成年度目標值）等，兩造部會未依關鍵績效指標完整揭露促請業者移除兒少私密影像目標達成情形，不利各界監督</w:t>
      </w:r>
      <w:r w:rsidR="00BE7428">
        <w:rPr>
          <w:rFonts w:ascii="標楷體" w:eastAsia="標楷體" w:hAnsi="標楷體" w:hint="eastAsia"/>
          <w:noProof/>
          <w:spacing w:val="4"/>
          <w:szCs w:val="24"/>
        </w:rPr>
        <w:t>等情事</w:t>
      </w:r>
      <w:r w:rsidRPr="004D7C92">
        <w:rPr>
          <w:rFonts w:ascii="標楷體" w:eastAsia="標楷體" w:hAnsi="標楷體"/>
          <w:noProof/>
          <w:spacing w:val="4"/>
          <w:szCs w:val="24"/>
        </w:rPr>
        <w:t>。經函請行政院研議有效督考管理作為，俾階段性滾動檢討各部會落實性別平等工作情形，並就未達績效目標者，督促研提具體作為檢討改善，以持續促進我國性別平等。</w:t>
      </w:r>
      <w:r w:rsidR="00696F16" w:rsidRPr="004D7C92">
        <w:rPr>
          <w:rFonts w:ascii="標楷體" w:eastAsia="標楷體" w:hAnsi="標楷體" w:hint="eastAsia"/>
          <w:noProof/>
          <w:spacing w:val="4"/>
          <w:szCs w:val="24"/>
        </w:rPr>
        <w:t>據復：（</w:t>
      </w:r>
      <w:r w:rsidR="00696F16" w:rsidRPr="004D7C92">
        <w:rPr>
          <w:rFonts w:ascii="標楷體" w:eastAsia="標楷體" w:hAnsi="標楷體"/>
          <w:noProof/>
          <w:spacing w:val="4"/>
          <w:szCs w:val="24"/>
        </w:rPr>
        <w:t>1）將持續督促各有關部會加強對政府捐助財團法人及農漁會進行宣導，並透過補助要點及考核辨法等規範之引導，持續提升公私部門決策參與之性別平等；（2）考量性</w:t>
      </w:r>
      <w:r w:rsidR="00696F16" w:rsidRPr="006B0595">
        <w:rPr>
          <w:rFonts w:ascii="標楷體" w:eastAsia="標楷體" w:hAnsi="標楷體"/>
          <w:noProof/>
          <w:spacing w:val="4"/>
          <w:szCs w:val="24"/>
        </w:rPr>
        <w:t>別平等須長期推動方能看出成果，為評估院層級各性別平等重要議題之成效，已訂定</w:t>
      </w:r>
      <w:r w:rsidR="00696F16" w:rsidRPr="006B0595">
        <w:rPr>
          <w:rFonts w:ascii="標楷體" w:eastAsia="標楷體" w:hAnsi="標楷體"/>
          <w:noProof/>
          <w:spacing w:val="4"/>
          <w:szCs w:val="24"/>
        </w:rPr>
        <w:lastRenderedPageBreak/>
        <w:t>4年期</w:t>
      </w:r>
      <w:r w:rsidR="00696F16" w:rsidRPr="004D7C92">
        <w:rPr>
          <w:rFonts w:ascii="標楷體" w:eastAsia="標楷體" w:hAnsi="標楷體" w:hint="eastAsia"/>
          <w:noProof/>
          <w:spacing w:val="4"/>
          <w:szCs w:val="24"/>
        </w:rPr>
        <w:t>關鍵績效指標，並由各相關部會據以提出具體作法、績效指標及各年度目標值，將透過部會性別平等專案小組及行政院性別平等會檢視各部會年度成果，就未達目標值者，提出檢討改善，並滾動修正性別平等推動計畫，以分階段檢討推動成效；（</w:t>
      </w:r>
      <w:r w:rsidR="00696F16" w:rsidRPr="004D7C92">
        <w:rPr>
          <w:rFonts w:ascii="標楷體" w:eastAsia="標楷體" w:hAnsi="標楷體"/>
          <w:noProof/>
          <w:spacing w:val="4"/>
          <w:szCs w:val="24"/>
        </w:rPr>
        <w:t>3）據衛生福利部說明，性影像處理中心112年度接獲有效申訴案件426件（被害成年人204人、未成年人32人），全數派案至市縣主管機關通知平臺移除後，實際完成移除369件，移除率約87％；為利各界監督，將持續督導衛生福利部定期揭露相關辦理情形，並督導將兒少性影像移除率或服務率滾動修正納入性別平等推動計畫。</w:t>
      </w:r>
    </w:p>
    <w:p w14:paraId="066A5D8D" w14:textId="7FCB6515" w:rsidR="007E5ACE" w:rsidRPr="004D7C92" w:rsidRDefault="007E5ACE" w:rsidP="00F44297">
      <w:pPr>
        <w:overflowPunct w:val="0"/>
        <w:spacing w:beforeLines="20" w:before="72" w:afterLines="20" w:after="72" w:line="460" w:lineRule="exact"/>
        <w:ind w:firstLineChars="200" w:firstLine="577"/>
        <w:jc w:val="both"/>
        <w:outlineLvl w:val="1"/>
        <w:rPr>
          <w:rFonts w:ascii="標楷體" w:eastAsia="標楷體" w:hAnsi="標楷體"/>
          <w:b/>
          <w:bCs/>
          <w:color w:val="0D0D0D" w:themeColor="text1" w:themeTint="F2"/>
          <w:spacing w:val="4"/>
          <w:sz w:val="28"/>
          <w:szCs w:val="28"/>
        </w:rPr>
      </w:pPr>
      <w:r w:rsidRPr="004D7C92">
        <w:rPr>
          <w:rFonts w:ascii="標楷體" w:eastAsia="標楷體" w:hAnsi="標楷體" w:hint="eastAsia"/>
          <w:b/>
          <w:color w:val="000000" w:themeColor="text1"/>
          <w:spacing w:val="4"/>
          <w:sz w:val="28"/>
          <w:szCs w:val="28"/>
        </w:rPr>
        <w:t>（十</w:t>
      </w:r>
      <w:r w:rsidR="00781889">
        <w:rPr>
          <w:rFonts w:ascii="標楷體" w:eastAsia="標楷體" w:hAnsi="標楷體" w:hint="eastAsia"/>
          <w:b/>
          <w:color w:val="000000" w:themeColor="text1"/>
          <w:spacing w:val="4"/>
          <w:sz w:val="28"/>
          <w:szCs w:val="28"/>
        </w:rPr>
        <w:t>六</w:t>
      </w:r>
      <w:r w:rsidRPr="004D7C92">
        <w:rPr>
          <w:rFonts w:ascii="標楷體" w:eastAsia="標楷體" w:hAnsi="標楷體" w:hint="eastAsia"/>
          <w:b/>
          <w:color w:val="000000" w:themeColor="text1"/>
          <w:spacing w:val="4"/>
          <w:sz w:val="28"/>
          <w:szCs w:val="28"/>
        </w:rPr>
        <w:t>）</w:t>
      </w:r>
      <w:r w:rsidRPr="004D7C92">
        <w:rPr>
          <w:rFonts w:ascii="標楷體" w:eastAsia="標楷體" w:hAnsi="標楷體" w:hint="eastAsia"/>
          <w:b/>
          <w:bCs/>
          <w:color w:val="0D0D0D" w:themeColor="text1" w:themeTint="F2"/>
          <w:spacing w:val="4"/>
          <w:sz w:val="28"/>
          <w:szCs w:val="28"/>
        </w:rPr>
        <w:t xml:space="preserve">　政府為推動前瞻基礎建設計畫已編列</w:t>
      </w:r>
      <w:r w:rsidRPr="004D7C92">
        <w:rPr>
          <w:rFonts w:ascii="標楷體" w:eastAsia="標楷體" w:hAnsi="標楷體"/>
          <w:b/>
          <w:bCs/>
          <w:color w:val="0D0D0D" w:themeColor="text1" w:themeTint="F2"/>
          <w:spacing w:val="4"/>
          <w:sz w:val="28"/>
          <w:szCs w:val="28"/>
        </w:rPr>
        <w:t>4期特別預算，惟部分主管機關預算實現率欠佳，且部分工作計畫進度持續落後，預算保留多年仍未執行完竣，允宜督促積極研謀改善，以達計畫目標。</w:t>
      </w:r>
    </w:p>
    <w:p w14:paraId="3993A857" w14:textId="77E8BE98" w:rsidR="007E5ACE" w:rsidRPr="004D7C92" w:rsidRDefault="007E5ACE" w:rsidP="004D7C92">
      <w:pPr>
        <w:overflowPunct w:val="0"/>
        <w:spacing w:line="460" w:lineRule="exact"/>
        <w:ind w:firstLineChars="200" w:firstLine="496"/>
        <w:jc w:val="both"/>
        <w:rPr>
          <w:rFonts w:ascii="標楷體" w:eastAsia="標楷體" w:hAnsi="標楷體" w:cs="標楷體"/>
          <w:spacing w:val="4"/>
        </w:rPr>
      </w:pPr>
      <w:r w:rsidRPr="004D7C92">
        <w:rPr>
          <w:rFonts w:ascii="標楷體" w:eastAsia="標楷體" w:hAnsi="標楷體" w:cs="標楷體" w:hint="eastAsia"/>
          <w:spacing w:val="4"/>
        </w:rPr>
        <w:t>行政院為因應國內外新產業、新技術、新生活關鍵趨勢，自</w:t>
      </w:r>
      <w:r w:rsidRPr="004D7C92">
        <w:rPr>
          <w:rFonts w:ascii="標楷體" w:eastAsia="標楷體" w:hAnsi="標楷體" w:cs="標楷體"/>
          <w:spacing w:val="4"/>
        </w:rPr>
        <w:t>106年9月至114年8月推動前瞻基礎建設計畫</w:t>
      </w:r>
      <w:r w:rsidR="00C2362F" w:rsidRPr="00C2362F">
        <w:rPr>
          <w:rFonts w:ascii="標楷體" w:eastAsia="標楷體" w:hAnsi="標楷體" w:cs="標楷體" w:hint="eastAsia"/>
          <w:spacing w:val="4"/>
        </w:rPr>
        <w:t>（</w:t>
      </w:r>
      <w:r w:rsidRPr="004D7C92">
        <w:rPr>
          <w:rFonts w:ascii="標楷體" w:eastAsia="標楷體" w:hAnsi="標楷體" w:cs="標楷體"/>
          <w:spacing w:val="4"/>
        </w:rPr>
        <w:t>下稱前瞻計畫</w:t>
      </w:r>
      <w:r w:rsidR="006C41C5" w:rsidRPr="006C41C5">
        <w:rPr>
          <w:rFonts w:ascii="標楷體" w:eastAsia="標楷體" w:hAnsi="標楷體" w:cs="標楷體" w:hint="eastAsia"/>
          <w:spacing w:val="4"/>
        </w:rPr>
        <w:t>）</w:t>
      </w:r>
      <w:r w:rsidRPr="004D7C92">
        <w:rPr>
          <w:rFonts w:ascii="標楷體" w:eastAsia="標楷體" w:hAnsi="標楷體" w:cs="標楷體"/>
          <w:spacing w:val="4"/>
        </w:rPr>
        <w:t>，內容涵括軌道、水環境、綠能、數位、城鄉、友善育兒空間、食品安全及人才培育促進就業等8大建設主軸，並依前瞻基礎建設特別條例第7條第1項規定，截至112年底止</w:t>
      </w:r>
      <w:r w:rsidR="00BE7428">
        <w:rPr>
          <w:rFonts w:ascii="標楷體" w:eastAsia="標楷體" w:hAnsi="標楷體" w:cs="標楷體" w:hint="eastAsia"/>
          <w:spacing w:val="4"/>
        </w:rPr>
        <w:t>，</w:t>
      </w:r>
      <w:r w:rsidRPr="004D7C92">
        <w:rPr>
          <w:rFonts w:ascii="標楷體" w:eastAsia="標楷體" w:hAnsi="標楷體" w:cs="標楷體"/>
          <w:spacing w:val="4"/>
        </w:rPr>
        <w:t>已編列4期前瞻計畫特別預算，預算數分別為1,070億7,084萬餘元、2,229億5,405萬餘元</w:t>
      </w:r>
      <w:r w:rsidRPr="004D7C92">
        <w:rPr>
          <w:rFonts w:ascii="標楷體" w:eastAsia="標楷體" w:hAnsi="標楷體" w:cs="標楷體" w:hint="eastAsia"/>
          <w:spacing w:val="4"/>
        </w:rPr>
        <w:t>、</w:t>
      </w:r>
      <w:r w:rsidRPr="004D7C92">
        <w:rPr>
          <w:rFonts w:ascii="標楷體" w:eastAsia="標楷體" w:hAnsi="標楷體" w:cs="標楷體"/>
          <w:spacing w:val="4"/>
        </w:rPr>
        <w:t>2,298億3,046萬餘元及2,098億3,255萬餘元</w:t>
      </w:r>
      <w:r w:rsidRPr="004D7C92">
        <w:rPr>
          <w:rFonts w:ascii="標楷體" w:eastAsia="標楷體" w:hAnsi="標楷體" w:cs="標楷體" w:hint="eastAsia"/>
          <w:spacing w:val="4"/>
        </w:rPr>
        <w:t>。經查前瞻計畫執行情形，核有下列事項：</w:t>
      </w:r>
    </w:p>
    <w:p w14:paraId="58C441E4" w14:textId="1132B5BB" w:rsidR="007E5ACE" w:rsidRPr="004D7C92" w:rsidRDefault="007E5ACE" w:rsidP="004D7C92">
      <w:pPr>
        <w:overflowPunct w:val="0"/>
        <w:spacing w:line="450" w:lineRule="exact"/>
        <w:ind w:firstLineChars="450" w:firstLine="1081"/>
        <w:jc w:val="both"/>
        <w:rPr>
          <w:rFonts w:ascii="標楷體" w:eastAsia="標楷體" w:hAnsi="標楷體" w:cs="標楷體"/>
          <w:bCs/>
          <w:spacing w:val="4"/>
        </w:rPr>
      </w:pPr>
      <w:r w:rsidRPr="00FE4B26">
        <w:rPr>
          <w:rFonts w:ascii="標楷體" w:eastAsia="標楷體" w:hAnsi="標楷體" w:cs="標楷體" w:hint="eastAsia"/>
          <w:b/>
          <w:bCs/>
        </w:rPr>
        <w:t>1.　前瞻計畫第1期至第3期特別預算已分別屆期5年、3年及1年，惟部分工作計畫進度持續落後，預算保留多年仍未執行完竣：</w:t>
      </w:r>
      <w:r w:rsidRPr="00FE4B26">
        <w:rPr>
          <w:rFonts w:ascii="標楷體" w:eastAsia="標楷體" w:hAnsi="標楷體" w:cs="標楷體" w:hint="eastAsia"/>
          <w:bCs/>
        </w:rPr>
        <w:t>前</w:t>
      </w:r>
      <w:r w:rsidRPr="00FE4B26">
        <w:rPr>
          <w:rFonts w:ascii="標楷體" w:eastAsia="標楷體" w:hAnsi="標楷體" w:hint="eastAsia"/>
        </w:rPr>
        <w:t>瞻計畫第1</w:t>
      </w:r>
      <w:r w:rsidRPr="00FE4B26">
        <w:rPr>
          <w:rFonts w:ascii="標楷體" w:eastAsia="標楷體" w:hAnsi="標楷體"/>
        </w:rPr>
        <w:t>期</w:t>
      </w:r>
      <w:r w:rsidRPr="00FE4B26">
        <w:rPr>
          <w:rFonts w:ascii="標楷體" w:eastAsia="標楷體" w:hAnsi="標楷體" w:hint="eastAsia"/>
        </w:rPr>
        <w:t>至第3期</w:t>
      </w:r>
      <w:r w:rsidRPr="00FE4B26">
        <w:rPr>
          <w:rFonts w:ascii="標楷體" w:eastAsia="標楷體" w:hAnsi="標楷體"/>
        </w:rPr>
        <w:t>特別預</w:t>
      </w:r>
      <w:r w:rsidRPr="00FE4B26">
        <w:rPr>
          <w:rFonts w:ascii="標楷體" w:eastAsia="標楷體" w:hAnsi="標楷體" w:hint="eastAsia"/>
        </w:rPr>
        <w:t>算</w:t>
      </w:r>
      <w:r w:rsidRPr="00FE4B26">
        <w:rPr>
          <w:rFonts w:ascii="標楷體" w:eastAsia="標楷體" w:hAnsi="標楷體" w:hint="eastAsia"/>
          <w:bCs/>
          <w:kern w:val="52"/>
          <w:shd w:val="clear" w:color="auto" w:fill="FFFFFF"/>
        </w:rPr>
        <w:t>，</w:t>
      </w:r>
      <w:r w:rsidRPr="00FE4B26">
        <w:rPr>
          <w:rFonts w:ascii="標楷體" w:eastAsia="標楷體" w:hAnsi="標楷體" w:hint="eastAsia"/>
          <w:szCs w:val="28"/>
        </w:rPr>
        <w:t>截至1</w:t>
      </w:r>
      <w:r w:rsidRPr="00FE4B26">
        <w:rPr>
          <w:rFonts w:ascii="標楷體" w:eastAsia="標楷體" w:hAnsi="標楷體"/>
          <w:szCs w:val="28"/>
        </w:rPr>
        <w:t>11</w:t>
      </w:r>
      <w:r w:rsidRPr="00FE4B26">
        <w:rPr>
          <w:rFonts w:ascii="標楷體" w:eastAsia="標楷體" w:hAnsi="標楷體" w:hint="eastAsia"/>
          <w:szCs w:val="28"/>
        </w:rPr>
        <w:t>年底，尚未完成之工作計畫計8項、3</w:t>
      </w:r>
      <w:r w:rsidRPr="00FE4B26">
        <w:rPr>
          <w:rFonts w:ascii="標楷體" w:eastAsia="標楷體" w:hAnsi="標楷體"/>
          <w:szCs w:val="28"/>
        </w:rPr>
        <w:t>0</w:t>
      </w:r>
      <w:r w:rsidRPr="00FE4B26">
        <w:rPr>
          <w:rFonts w:ascii="標楷體" w:eastAsia="標楷體" w:hAnsi="標楷體" w:hint="eastAsia"/>
          <w:szCs w:val="28"/>
        </w:rPr>
        <w:t>項及9</w:t>
      </w:r>
      <w:r w:rsidRPr="00FE4B26">
        <w:rPr>
          <w:rFonts w:ascii="標楷體" w:eastAsia="標楷體" w:hAnsi="標楷體"/>
          <w:szCs w:val="28"/>
        </w:rPr>
        <w:t>7</w:t>
      </w:r>
      <w:r w:rsidRPr="00FE4B26">
        <w:rPr>
          <w:rFonts w:ascii="標楷體" w:eastAsia="標楷體" w:hAnsi="標楷體" w:hint="eastAsia"/>
          <w:szCs w:val="28"/>
        </w:rPr>
        <w:t>項，分由總統府、行政院</w:t>
      </w:r>
      <w:r w:rsidRPr="00FE4B26">
        <w:rPr>
          <w:rFonts w:ascii="標楷體" w:eastAsia="標楷體" w:hAnsi="標楷體"/>
        </w:rPr>
        <w:t>（含國家發展委員會、原住民族委員會</w:t>
      </w:r>
      <w:r w:rsidRPr="00FE4B26">
        <w:rPr>
          <w:rFonts w:ascii="標楷體" w:eastAsia="標楷體" w:hAnsi="標楷體" w:hint="eastAsia"/>
        </w:rPr>
        <w:t>、</w:t>
      </w:r>
      <w:r w:rsidRPr="00FE4B26">
        <w:rPr>
          <w:rFonts w:ascii="標楷體" w:eastAsia="標楷體" w:hAnsi="標楷體"/>
        </w:rPr>
        <w:t>客家委員會及所屬）</w:t>
      </w:r>
      <w:r w:rsidRPr="00FE4B26">
        <w:rPr>
          <w:rFonts w:ascii="標楷體" w:eastAsia="標楷體" w:hAnsi="標楷體" w:hint="eastAsia"/>
        </w:rPr>
        <w:t>、</w:t>
      </w:r>
      <w:r w:rsidRPr="00FE4B26">
        <w:rPr>
          <w:rFonts w:ascii="標楷體" w:eastAsia="標楷體" w:hAnsi="標楷體" w:hint="eastAsia"/>
          <w:szCs w:val="28"/>
        </w:rPr>
        <w:t>內政部、教育部</w:t>
      </w:r>
      <w:r w:rsidRPr="00FE4B26">
        <w:rPr>
          <w:rFonts w:ascii="標楷體" w:eastAsia="標楷體" w:hAnsi="標楷體" w:hint="eastAsia"/>
        </w:rPr>
        <w:t>、</w:t>
      </w:r>
      <w:r w:rsidRPr="00FE4B26">
        <w:rPr>
          <w:rFonts w:ascii="標楷體" w:eastAsia="標楷體" w:hAnsi="標楷體" w:hint="eastAsia"/>
          <w:szCs w:val="28"/>
        </w:rPr>
        <w:t>經濟部</w:t>
      </w:r>
      <w:r w:rsidRPr="00FE4B26">
        <w:rPr>
          <w:rFonts w:ascii="標楷體" w:eastAsia="標楷體" w:hAnsi="標楷體" w:hint="eastAsia"/>
        </w:rPr>
        <w:t>、</w:t>
      </w:r>
      <w:r w:rsidRPr="00FE4B26">
        <w:rPr>
          <w:rFonts w:ascii="標楷體" w:eastAsia="標楷體" w:hAnsi="標楷體" w:hint="eastAsia"/>
          <w:szCs w:val="28"/>
        </w:rPr>
        <w:t>交通部</w:t>
      </w:r>
      <w:r w:rsidRPr="00FE4B26">
        <w:rPr>
          <w:rFonts w:ascii="標楷體" w:eastAsia="標楷體" w:hAnsi="標楷體" w:hint="eastAsia"/>
        </w:rPr>
        <w:t>、</w:t>
      </w:r>
      <w:r w:rsidRPr="00FE4B26">
        <w:rPr>
          <w:rFonts w:ascii="標楷體" w:eastAsia="標楷體" w:hAnsi="標楷體" w:hint="eastAsia"/>
          <w:szCs w:val="28"/>
        </w:rPr>
        <w:t>農業委員會</w:t>
      </w:r>
      <w:r w:rsidRPr="00FE4B26">
        <w:rPr>
          <w:rFonts w:ascii="標楷體" w:eastAsia="標楷體" w:hAnsi="標楷體" w:hint="eastAsia"/>
        </w:rPr>
        <w:t>（</w:t>
      </w:r>
      <w:r>
        <w:rPr>
          <w:rFonts w:ascii="標楷體" w:eastAsia="標楷體" w:hAnsi="標楷體" w:hint="eastAsia"/>
        </w:rPr>
        <w:t>112</w:t>
      </w:r>
      <w:r w:rsidRPr="00FE4B26">
        <w:rPr>
          <w:rFonts w:ascii="標楷體" w:eastAsia="標楷體" w:hAnsi="標楷體" w:hint="eastAsia"/>
        </w:rPr>
        <w:t>年8月1日改制為</w:t>
      </w:r>
      <w:r w:rsidRPr="00FE4B26">
        <w:rPr>
          <w:rFonts w:ascii="標楷體" w:eastAsia="標楷體" w:hAnsi="標楷體"/>
        </w:rPr>
        <w:t>農業部</w:t>
      </w:r>
      <w:r w:rsidRPr="00FE4B26">
        <w:rPr>
          <w:rFonts w:ascii="標楷體" w:eastAsia="標楷體" w:hAnsi="標楷體" w:hint="eastAsia"/>
        </w:rPr>
        <w:t>，下稱</w:t>
      </w:r>
      <w:r w:rsidRPr="00FE4B26">
        <w:rPr>
          <w:rFonts w:ascii="標楷體" w:eastAsia="標楷體" w:hAnsi="標楷體"/>
        </w:rPr>
        <w:t>農業部</w:t>
      </w:r>
      <w:r w:rsidRPr="00FE4B26">
        <w:rPr>
          <w:rFonts w:ascii="標楷體" w:eastAsia="標楷體" w:hAnsi="標楷體" w:hint="eastAsia"/>
        </w:rPr>
        <w:t>）、</w:t>
      </w:r>
      <w:r w:rsidRPr="00FE4B26">
        <w:rPr>
          <w:rFonts w:ascii="標楷體" w:eastAsia="標楷體" w:hAnsi="標楷體" w:hint="eastAsia"/>
          <w:szCs w:val="28"/>
        </w:rPr>
        <w:t>衛生福利部</w:t>
      </w:r>
      <w:r w:rsidRPr="00FE4B26">
        <w:rPr>
          <w:rFonts w:ascii="標楷體" w:eastAsia="標楷體" w:hAnsi="標楷體" w:hint="eastAsia"/>
        </w:rPr>
        <w:t>、</w:t>
      </w:r>
      <w:r w:rsidRPr="00FE4B26">
        <w:rPr>
          <w:rFonts w:ascii="標楷體" w:eastAsia="標楷體" w:hAnsi="標楷體" w:hint="eastAsia"/>
          <w:szCs w:val="28"/>
        </w:rPr>
        <w:t>環境保護署</w:t>
      </w:r>
      <w:r w:rsidRPr="00FE4B26">
        <w:rPr>
          <w:rFonts w:ascii="標楷體" w:eastAsia="標楷體" w:hAnsi="標楷體" w:hint="eastAsia"/>
        </w:rPr>
        <w:t>（</w:t>
      </w:r>
      <w:r>
        <w:rPr>
          <w:rFonts w:ascii="標楷體" w:eastAsia="標楷體" w:hAnsi="標楷體" w:hint="eastAsia"/>
        </w:rPr>
        <w:t>112</w:t>
      </w:r>
      <w:r w:rsidRPr="00FE4B26">
        <w:rPr>
          <w:rFonts w:ascii="標楷體" w:eastAsia="標楷體" w:hAnsi="標楷體" w:hint="eastAsia"/>
        </w:rPr>
        <w:t>年8月2</w:t>
      </w:r>
      <w:r w:rsidRPr="00FE4B26">
        <w:rPr>
          <w:rFonts w:ascii="標楷體" w:eastAsia="標楷體" w:hAnsi="標楷體"/>
        </w:rPr>
        <w:t>2</w:t>
      </w:r>
      <w:r w:rsidRPr="00FE4B26">
        <w:rPr>
          <w:rFonts w:ascii="標楷體" w:eastAsia="標楷體" w:hAnsi="標楷體" w:hint="eastAsia"/>
        </w:rPr>
        <w:t>日改制為環境</w:t>
      </w:r>
      <w:r w:rsidRPr="00FE4B26">
        <w:rPr>
          <w:rFonts w:ascii="標楷體" w:eastAsia="標楷體" w:hAnsi="標楷體"/>
        </w:rPr>
        <w:t>部</w:t>
      </w:r>
      <w:r w:rsidRPr="00FE4B26">
        <w:rPr>
          <w:rFonts w:ascii="標楷體" w:eastAsia="標楷體" w:hAnsi="標楷體" w:hint="eastAsia"/>
        </w:rPr>
        <w:t>，下稱環境</w:t>
      </w:r>
      <w:r w:rsidRPr="00FE4B26">
        <w:rPr>
          <w:rFonts w:ascii="標楷體" w:eastAsia="標楷體" w:hAnsi="標楷體"/>
        </w:rPr>
        <w:t>部</w:t>
      </w:r>
      <w:r w:rsidRPr="00FE4B26">
        <w:rPr>
          <w:rFonts w:ascii="標楷體" w:eastAsia="標楷體" w:hAnsi="標楷體" w:hint="eastAsia"/>
        </w:rPr>
        <w:t>）、</w:t>
      </w:r>
      <w:r w:rsidRPr="00FE4B26">
        <w:rPr>
          <w:rFonts w:ascii="標楷體" w:eastAsia="標楷體" w:hAnsi="標楷體" w:hint="eastAsia"/>
          <w:szCs w:val="28"/>
        </w:rPr>
        <w:t>文化部</w:t>
      </w:r>
      <w:r w:rsidRPr="00FE4B26">
        <w:rPr>
          <w:rFonts w:ascii="標楷體" w:eastAsia="標楷體" w:hAnsi="標楷體" w:hint="eastAsia"/>
        </w:rPr>
        <w:t>、</w:t>
      </w:r>
      <w:r w:rsidRPr="00FE4B26">
        <w:rPr>
          <w:rFonts w:ascii="標楷體" w:eastAsia="標楷體" w:hAnsi="標楷體" w:hint="eastAsia"/>
          <w:szCs w:val="28"/>
        </w:rPr>
        <w:t>數位發展部</w:t>
      </w:r>
      <w:r w:rsidRPr="00FE4B26">
        <w:rPr>
          <w:rFonts w:ascii="標楷體" w:eastAsia="標楷體" w:hAnsi="標楷體" w:hint="eastAsia"/>
        </w:rPr>
        <w:t>等1</w:t>
      </w:r>
      <w:r w:rsidRPr="00FE4B26">
        <w:rPr>
          <w:rFonts w:ascii="標楷體" w:eastAsia="標楷體" w:hAnsi="標楷體"/>
        </w:rPr>
        <w:t>1</w:t>
      </w:r>
      <w:r w:rsidRPr="00FE4B26">
        <w:rPr>
          <w:rFonts w:ascii="標楷體" w:eastAsia="標楷體" w:hAnsi="標楷體" w:hint="eastAsia"/>
        </w:rPr>
        <w:t>個主管機關執行，</w:t>
      </w:r>
      <w:r w:rsidRPr="00FE4B26">
        <w:rPr>
          <w:rFonts w:ascii="標楷體" w:eastAsia="標楷體" w:hAnsi="標楷體" w:hint="eastAsia"/>
          <w:szCs w:val="28"/>
        </w:rPr>
        <w:t>轉入1</w:t>
      </w:r>
      <w:r w:rsidRPr="00FE4B26">
        <w:rPr>
          <w:rFonts w:ascii="標楷體" w:eastAsia="標楷體" w:hAnsi="標楷體"/>
          <w:szCs w:val="28"/>
        </w:rPr>
        <w:t>12</w:t>
      </w:r>
      <w:r w:rsidRPr="00FE4B26">
        <w:rPr>
          <w:rFonts w:ascii="標楷體" w:eastAsia="標楷體" w:hAnsi="標楷體" w:hint="eastAsia"/>
          <w:szCs w:val="28"/>
        </w:rPr>
        <w:t>年度繼續執行金額分別為</w:t>
      </w:r>
      <w:r w:rsidRPr="00FE4B26">
        <w:rPr>
          <w:rFonts w:ascii="標楷體" w:eastAsia="標楷體" w:hAnsi="標楷體"/>
          <w:szCs w:val="28"/>
        </w:rPr>
        <w:t>5億</w:t>
      </w:r>
      <w:r w:rsidRPr="00FE4B26">
        <w:rPr>
          <w:rFonts w:ascii="標楷體" w:eastAsia="標楷體" w:hAnsi="標楷體" w:hint="eastAsia"/>
          <w:szCs w:val="28"/>
        </w:rPr>
        <w:t>6</w:t>
      </w:r>
      <w:r w:rsidRPr="00FE4B26">
        <w:rPr>
          <w:rFonts w:ascii="標楷體" w:eastAsia="標楷體" w:hAnsi="標楷體"/>
          <w:szCs w:val="28"/>
        </w:rPr>
        <w:t>,530萬餘元、77億</w:t>
      </w:r>
      <w:r w:rsidRPr="00FE4B26">
        <w:rPr>
          <w:rFonts w:ascii="標楷體" w:eastAsia="標楷體" w:hAnsi="標楷體" w:hint="eastAsia"/>
          <w:szCs w:val="28"/>
        </w:rPr>
        <w:t>6</w:t>
      </w:r>
      <w:r w:rsidRPr="00FE4B26">
        <w:rPr>
          <w:rFonts w:ascii="標楷體" w:eastAsia="標楷體" w:hAnsi="標楷體"/>
          <w:szCs w:val="28"/>
        </w:rPr>
        <w:t>,871萬餘元及352億</w:t>
      </w:r>
      <w:r w:rsidRPr="00FE4B26">
        <w:rPr>
          <w:rFonts w:ascii="標楷體" w:eastAsia="標楷體" w:hAnsi="標楷體" w:hint="eastAsia"/>
          <w:szCs w:val="28"/>
        </w:rPr>
        <w:t>5</w:t>
      </w:r>
      <w:r w:rsidRPr="00FE4B26">
        <w:rPr>
          <w:rFonts w:ascii="標楷體" w:eastAsia="標楷體" w:hAnsi="標楷體"/>
          <w:szCs w:val="28"/>
        </w:rPr>
        <w:t>,382萬</w:t>
      </w:r>
      <w:r w:rsidRPr="00FE4B26">
        <w:rPr>
          <w:rFonts w:ascii="標楷體" w:eastAsia="標楷體" w:hAnsi="標楷體" w:hint="eastAsia"/>
          <w:szCs w:val="28"/>
        </w:rPr>
        <w:t>餘元，112年度實現數為2億4,033萬餘元、33億4,686萬餘元及214億8,860萬餘元，實現率42.51％、43.08％及60.95％，均未達7成。經查前瞻計畫第1期至第3期均編列特別預算，截至112年底仍未執行完竣之工作計畫，計有軌道建設之中南部觀光鐵路、都市推動捷運、鐵路立體化及通勤提速；綠能建設之完備綠能技術及建設；城鄉建設之開發在地型產業園區等</w:t>
      </w:r>
      <w:r>
        <w:rPr>
          <w:rFonts w:ascii="標楷體" w:eastAsia="標楷體" w:hAnsi="標楷體" w:hint="eastAsia"/>
          <w:szCs w:val="28"/>
        </w:rPr>
        <w:t>，共</w:t>
      </w:r>
      <w:r w:rsidRPr="00FE4B26">
        <w:rPr>
          <w:rFonts w:ascii="標楷體" w:eastAsia="標楷體" w:hAnsi="標楷體" w:hint="eastAsia"/>
          <w:szCs w:val="28"/>
        </w:rPr>
        <w:t>5項，分由交通部、</w:t>
      </w:r>
      <w:r w:rsidR="00EC5988" w:rsidRPr="00FE4B26">
        <w:rPr>
          <w:rFonts w:ascii="標楷體" w:eastAsia="標楷體" w:hAnsi="標楷體" w:hint="eastAsia"/>
          <w:szCs w:val="28"/>
        </w:rPr>
        <w:t>交通部</w:t>
      </w:r>
      <w:r w:rsidRPr="00FE4B26">
        <w:rPr>
          <w:rFonts w:ascii="標楷體" w:eastAsia="標楷體" w:hAnsi="標楷體" w:hint="eastAsia"/>
          <w:szCs w:val="28"/>
        </w:rPr>
        <w:t>鐵道局及所屬、</w:t>
      </w:r>
      <w:r w:rsidR="00EC5988">
        <w:rPr>
          <w:rFonts w:ascii="標楷體" w:eastAsia="標楷體" w:hAnsi="標楷體" w:hint="eastAsia"/>
          <w:szCs w:val="28"/>
        </w:rPr>
        <w:t>農業委員會</w:t>
      </w:r>
      <w:r w:rsidRPr="00FE4B26">
        <w:rPr>
          <w:rFonts w:ascii="標楷體" w:eastAsia="標楷體" w:hAnsi="標楷體" w:hint="eastAsia"/>
          <w:szCs w:val="28"/>
        </w:rPr>
        <w:t>林務局</w:t>
      </w:r>
      <w:r w:rsidR="00E1399B">
        <w:rPr>
          <w:rFonts w:ascii="標楷體" w:eastAsia="標楷體" w:hAnsi="標楷體" w:hint="eastAsia"/>
          <w:szCs w:val="28"/>
        </w:rPr>
        <w:t>（</w:t>
      </w:r>
      <w:r>
        <w:rPr>
          <w:rFonts w:ascii="標楷體" w:eastAsia="標楷體" w:hAnsi="標楷體" w:hint="eastAsia"/>
          <w:szCs w:val="28"/>
        </w:rPr>
        <w:t>112</w:t>
      </w:r>
      <w:r w:rsidRPr="00FE4B26">
        <w:rPr>
          <w:rFonts w:ascii="標楷體" w:eastAsia="標楷體" w:hAnsi="標楷體" w:hint="eastAsia"/>
          <w:szCs w:val="28"/>
        </w:rPr>
        <w:t>年8月1日改制為</w:t>
      </w:r>
      <w:r w:rsidR="00EC5988">
        <w:rPr>
          <w:rFonts w:ascii="標楷體" w:eastAsia="標楷體" w:hAnsi="標楷體" w:hint="eastAsia"/>
          <w:szCs w:val="28"/>
        </w:rPr>
        <w:t>農業部</w:t>
      </w:r>
      <w:r w:rsidRPr="00FE4B26">
        <w:rPr>
          <w:rFonts w:ascii="標楷體" w:eastAsia="標楷體" w:hAnsi="標楷體" w:hint="eastAsia"/>
          <w:szCs w:val="28"/>
        </w:rPr>
        <w:t>林業及自然保育署</w:t>
      </w:r>
      <w:r>
        <w:rPr>
          <w:rFonts w:ascii="標楷體" w:eastAsia="標楷體" w:hAnsi="標楷體" w:hint="eastAsia"/>
          <w:szCs w:val="28"/>
        </w:rPr>
        <w:t>及所屬</w:t>
      </w:r>
      <w:r w:rsidR="00E1399B">
        <w:rPr>
          <w:rFonts w:ascii="標楷體" w:eastAsia="標楷體" w:hAnsi="標楷體" w:hint="eastAsia"/>
          <w:szCs w:val="28"/>
        </w:rPr>
        <w:t>）</w:t>
      </w:r>
      <w:r w:rsidRPr="00E64BA8">
        <w:rPr>
          <w:rFonts w:ascii="標楷體" w:eastAsia="標楷體" w:hAnsi="標楷體" w:hint="eastAsia"/>
          <w:szCs w:val="28"/>
        </w:rPr>
        <w:t>、公路總局</w:t>
      </w:r>
      <w:r w:rsidR="00E1399B">
        <w:rPr>
          <w:rFonts w:ascii="標楷體" w:eastAsia="標楷體" w:hAnsi="標楷體" w:hint="eastAsia"/>
          <w:szCs w:val="28"/>
        </w:rPr>
        <w:t>（</w:t>
      </w:r>
      <w:r>
        <w:rPr>
          <w:rFonts w:ascii="標楷體" w:eastAsia="標楷體" w:hAnsi="標楷體" w:hint="eastAsia"/>
          <w:szCs w:val="28"/>
        </w:rPr>
        <w:t>112</w:t>
      </w:r>
      <w:r w:rsidRPr="00E64BA8">
        <w:rPr>
          <w:rFonts w:ascii="標楷體" w:eastAsia="標楷體" w:hAnsi="標楷體" w:hint="eastAsia"/>
          <w:szCs w:val="28"/>
        </w:rPr>
        <w:t>年9月15日改制為</w:t>
      </w:r>
      <w:r w:rsidR="00EC5988">
        <w:rPr>
          <w:rFonts w:ascii="標楷體" w:eastAsia="標楷體" w:hAnsi="標楷體" w:hint="eastAsia"/>
          <w:szCs w:val="28"/>
        </w:rPr>
        <w:t>交通部</w:t>
      </w:r>
      <w:r w:rsidRPr="00E64BA8">
        <w:rPr>
          <w:rFonts w:ascii="標楷體" w:eastAsia="標楷體" w:hAnsi="標楷體" w:hint="eastAsia"/>
          <w:szCs w:val="28"/>
        </w:rPr>
        <w:t>公路局</w:t>
      </w:r>
      <w:r w:rsidR="00E1399B">
        <w:rPr>
          <w:rFonts w:ascii="標楷體" w:eastAsia="標楷體" w:hAnsi="標楷體" w:hint="eastAsia"/>
          <w:szCs w:val="28"/>
        </w:rPr>
        <w:t>）</w:t>
      </w:r>
      <w:r w:rsidRPr="00E64BA8">
        <w:rPr>
          <w:rFonts w:ascii="標楷體" w:eastAsia="標楷體" w:hAnsi="標楷體" w:hint="eastAsia"/>
          <w:szCs w:val="28"/>
        </w:rPr>
        <w:t>及所屬、</w:t>
      </w:r>
      <w:r w:rsidR="004D7CE8" w:rsidRPr="00A04629">
        <w:rPr>
          <w:rFonts w:ascii="標楷體" w:eastAsia="標楷體" w:hAnsi="標楷體" w:hint="eastAsia"/>
          <w:szCs w:val="28"/>
        </w:rPr>
        <w:t>經濟部能源</w:t>
      </w:r>
      <w:r w:rsidR="00A04629" w:rsidRPr="00A04629">
        <w:rPr>
          <w:rFonts w:ascii="標楷體" w:eastAsia="標楷體" w:hAnsi="標楷體" w:hint="eastAsia"/>
          <w:szCs w:val="28"/>
        </w:rPr>
        <w:t>局</w:t>
      </w:r>
      <w:r w:rsidR="00E1399B">
        <w:rPr>
          <w:rFonts w:ascii="標楷體" w:eastAsia="標楷體" w:hAnsi="標楷體" w:hint="eastAsia"/>
          <w:szCs w:val="28"/>
        </w:rPr>
        <w:t>（</w:t>
      </w:r>
      <w:r w:rsidR="00A04629">
        <w:rPr>
          <w:rFonts w:ascii="標楷體" w:eastAsia="標楷體" w:hAnsi="標楷體" w:hint="eastAsia"/>
          <w:szCs w:val="28"/>
        </w:rPr>
        <w:t>112年9月26日改制為經濟部能源署</w:t>
      </w:r>
      <w:r w:rsidR="00E1399B">
        <w:rPr>
          <w:rFonts w:ascii="標楷體" w:eastAsia="標楷體" w:hAnsi="標楷體" w:hint="eastAsia"/>
          <w:szCs w:val="28"/>
        </w:rPr>
        <w:t>）</w:t>
      </w:r>
      <w:r w:rsidRPr="00E64BA8">
        <w:rPr>
          <w:rFonts w:ascii="標楷體" w:eastAsia="標楷體" w:hAnsi="標楷體" w:hint="eastAsia"/>
          <w:szCs w:val="28"/>
        </w:rPr>
        <w:t>、</w:t>
      </w:r>
      <w:r w:rsidR="00EC5988">
        <w:rPr>
          <w:rFonts w:ascii="標楷體" w:eastAsia="標楷體" w:hAnsi="標楷體" w:hint="eastAsia"/>
          <w:szCs w:val="28"/>
        </w:rPr>
        <w:t>經濟部</w:t>
      </w:r>
      <w:r w:rsidRPr="00E64BA8">
        <w:rPr>
          <w:rFonts w:ascii="標楷體" w:eastAsia="標楷體" w:hAnsi="標楷體" w:hint="eastAsia"/>
          <w:szCs w:val="28"/>
        </w:rPr>
        <w:t>工業局</w:t>
      </w:r>
      <w:r w:rsidR="00E1399B">
        <w:rPr>
          <w:rFonts w:ascii="標楷體" w:eastAsia="標楷體" w:hAnsi="標楷體" w:hint="eastAsia"/>
          <w:szCs w:val="28"/>
        </w:rPr>
        <w:t>（</w:t>
      </w:r>
      <w:r>
        <w:rPr>
          <w:rFonts w:ascii="標楷體" w:eastAsia="標楷體" w:hAnsi="標楷體" w:hint="eastAsia"/>
          <w:szCs w:val="28"/>
        </w:rPr>
        <w:t>112</w:t>
      </w:r>
      <w:r w:rsidRPr="00F44297">
        <w:rPr>
          <w:rFonts w:ascii="標楷體" w:eastAsia="標楷體" w:hAnsi="標楷體" w:hint="eastAsia"/>
          <w:szCs w:val="28"/>
        </w:rPr>
        <w:t>年9月26日改制為</w:t>
      </w:r>
      <w:r w:rsidR="00EC5988" w:rsidRPr="00F44297">
        <w:rPr>
          <w:rFonts w:ascii="標楷體" w:eastAsia="標楷體" w:hAnsi="標楷體" w:hint="eastAsia"/>
          <w:szCs w:val="28"/>
        </w:rPr>
        <w:t>經濟部</w:t>
      </w:r>
      <w:r w:rsidRPr="00F44297">
        <w:rPr>
          <w:rFonts w:ascii="標楷體" w:eastAsia="標楷體" w:hAnsi="標楷體" w:hint="eastAsia"/>
          <w:szCs w:val="28"/>
        </w:rPr>
        <w:t>產業發展署</w:t>
      </w:r>
      <w:r w:rsidR="00E1399B">
        <w:rPr>
          <w:rFonts w:ascii="標楷體" w:eastAsia="標楷體" w:hAnsi="標楷體" w:hint="eastAsia"/>
          <w:szCs w:val="28"/>
        </w:rPr>
        <w:t>）</w:t>
      </w:r>
      <w:r w:rsidRPr="00F44297">
        <w:rPr>
          <w:rFonts w:ascii="標楷體" w:eastAsia="標楷體" w:hAnsi="標楷體" w:hint="eastAsia"/>
          <w:szCs w:val="28"/>
        </w:rPr>
        <w:t>、</w:t>
      </w:r>
      <w:r w:rsidR="00EC5988" w:rsidRPr="00F44297">
        <w:rPr>
          <w:rFonts w:ascii="標楷體" w:eastAsia="標楷體" w:hAnsi="標楷體" w:hint="eastAsia"/>
          <w:szCs w:val="28"/>
        </w:rPr>
        <w:t>經濟部</w:t>
      </w:r>
      <w:r w:rsidRPr="00F44297">
        <w:rPr>
          <w:rFonts w:ascii="標楷體" w:eastAsia="標楷體" w:hAnsi="標楷體" w:hint="eastAsia"/>
          <w:szCs w:val="28"/>
        </w:rPr>
        <w:t>中小</w:t>
      </w:r>
      <w:r w:rsidRPr="00F44297">
        <w:rPr>
          <w:rFonts w:ascii="標楷體" w:eastAsia="標楷體" w:hAnsi="標楷體" w:hint="eastAsia"/>
          <w:szCs w:val="28"/>
        </w:rPr>
        <w:lastRenderedPageBreak/>
        <w:t>企業處</w:t>
      </w:r>
      <w:r w:rsidR="00E1399B">
        <w:rPr>
          <w:rFonts w:ascii="標楷體" w:eastAsia="標楷體" w:hAnsi="標楷體" w:hint="eastAsia"/>
          <w:szCs w:val="28"/>
        </w:rPr>
        <w:t>（</w:t>
      </w:r>
      <w:r w:rsidRPr="00F44297">
        <w:rPr>
          <w:rFonts w:ascii="標楷體" w:eastAsia="標楷體" w:hAnsi="標楷體" w:hint="eastAsia"/>
          <w:szCs w:val="28"/>
        </w:rPr>
        <w:t>112年9月26日改制為</w:t>
      </w:r>
      <w:r w:rsidR="00EC5988" w:rsidRPr="00F44297">
        <w:rPr>
          <w:rFonts w:ascii="標楷體" w:eastAsia="標楷體" w:hAnsi="標楷體" w:hint="eastAsia"/>
          <w:szCs w:val="28"/>
        </w:rPr>
        <w:t>經濟部</w:t>
      </w:r>
      <w:r w:rsidRPr="00F44297">
        <w:rPr>
          <w:rFonts w:ascii="標楷體" w:eastAsia="標楷體" w:hAnsi="標楷體" w:hint="eastAsia"/>
          <w:szCs w:val="28"/>
        </w:rPr>
        <w:t>中</w:t>
      </w:r>
      <w:r w:rsidRPr="00E64BA8">
        <w:rPr>
          <w:rFonts w:ascii="標楷體" w:eastAsia="標楷體" w:hAnsi="標楷體" w:hint="eastAsia"/>
          <w:szCs w:val="28"/>
        </w:rPr>
        <w:t>小及新創企業署</w:t>
      </w:r>
      <w:r w:rsidR="00E1399B">
        <w:rPr>
          <w:rFonts w:ascii="標楷體" w:eastAsia="標楷體" w:hAnsi="標楷體" w:hint="eastAsia"/>
          <w:szCs w:val="28"/>
        </w:rPr>
        <w:t>）</w:t>
      </w:r>
      <w:r w:rsidRPr="00E64BA8">
        <w:rPr>
          <w:rFonts w:ascii="標楷體" w:eastAsia="標楷體" w:hAnsi="標楷體" w:hint="eastAsia"/>
          <w:szCs w:val="28"/>
        </w:rPr>
        <w:t>等</w:t>
      </w:r>
      <w:r>
        <w:rPr>
          <w:rFonts w:ascii="標楷體" w:eastAsia="標楷體" w:hAnsi="標楷體" w:hint="eastAsia"/>
          <w:szCs w:val="28"/>
        </w:rPr>
        <w:t>7個</w:t>
      </w:r>
      <w:r w:rsidRPr="00E64BA8">
        <w:rPr>
          <w:rFonts w:ascii="標楷體" w:eastAsia="標楷體" w:hAnsi="標楷體" w:hint="eastAsia"/>
          <w:szCs w:val="28"/>
        </w:rPr>
        <w:t>機關執行，保留轉入113年度繼續執行金額計70億7,457萬餘元</w:t>
      </w:r>
      <w:r w:rsidRPr="00FE4B26">
        <w:rPr>
          <w:rFonts w:ascii="標楷體" w:eastAsia="標楷體" w:hAnsi="標楷體" w:hint="eastAsia"/>
          <w:szCs w:val="28"/>
        </w:rPr>
        <w:t>（</w:t>
      </w:r>
      <w:r w:rsidRPr="006678C5">
        <w:rPr>
          <w:rFonts w:ascii="標楷體" w:eastAsia="標楷體" w:hAnsi="標楷體" w:hint="eastAsia"/>
          <w:szCs w:val="28"/>
        </w:rPr>
        <w:t>表</w:t>
      </w:r>
      <w:r w:rsidR="00C95D57" w:rsidRPr="006678C5">
        <w:rPr>
          <w:rFonts w:ascii="標楷體" w:eastAsia="標楷體" w:hAnsi="標楷體" w:hint="eastAsia"/>
          <w:szCs w:val="28"/>
        </w:rPr>
        <w:t>2</w:t>
      </w:r>
      <w:r w:rsidR="00C6766F" w:rsidRPr="006678C5">
        <w:rPr>
          <w:rFonts w:ascii="標楷體" w:eastAsia="標楷體" w:hAnsi="標楷體" w:hint="eastAsia"/>
          <w:szCs w:val="28"/>
        </w:rPr>
        <w:t>3</w:t>
      </w:r>
      <w:r w:rsidRPr="00FE4B26">
        <w:rPr>
          <w:rFonts w:ascii="標楷體" w:eastAsia="標楷體" w:hAnsi="標楷體" w:hint="eastAsia"/>
          <w:szCs w:val="28"/>
        </w:rPr>
        <w:t>），主要係尚在辦理可行性評估作業、招標作業或工程進度落後等所致；又前瞻計畫第2期及第3期均編列特別預算，截至112年底仍未執行完竣之工作計畫，計有水環</w:t>
      </w:r>
      <w:r w:rsidR="00BC2DE1" w:rsidRPr="00FE4B26">
        <w:rPr>
          <w:rFonts w:ascii="標楷體" w:eastAsia="標楷體" w:hAnsi="標楷體" w:cstheme="minorBidi" w:hint="eastAsia"/>
          <w:bCs/>
          <w:noProof/>
          <w:spacing w:val="-20"/>
        </w:rPr>
        <mc:AlternateContent>
          <mc:Choice Requires="wps">
            <w:drawing>
              <wp:anchor distT="0" distB="0" distL="114300" distR="114300" simplePos="0" relativeHeight="251654144" behindDoc="0" locked="0" layoutInCell="1" allowOverlap="1" wp14:anchorId="6EB41863" wp14:editId="3C3C0FDD">
                <wp:simplePos x="0" y="0"/>
                <wp:positionH relativeFrom="page">
                  <wp:posOffset>540385</wp:posOffset>
                </wp:positionH>
                <wp:positionV relativeFrom="margin">
                  <wp:posOffset>1329690</wp:posOffset>
                </wp:positionV>
                <wp:extent cx="6462000" cy="6202800"/>
                <wp:effectExtent l="0" t="0" r="0" b="7620"/>
                <wp:wrapSquare wrapText="bothSides"/>
                <wp:docPr id="473" name="文字方塊 473"/>
                <wp:cNvGraphicFramePr/>
                <a:graphic xmlns:a="http://schemas.openxmlformats.org/drawingml/2006/main">
                  <a:graphicData uri="http://schemas.microsoft.com/office/word/2010/wordprocessingShape">
                    <wps:wsp>
                      <wps:cNvSpPr txBox="1"/>
                      <wps:spPr>
                        <a:xfrm>
                          <a:off x="0" y="0"/>
                          <a:ext cx="6462000" cy="6202800"/>
                        </a:xfrm>
                        <a:prstGeom prst="rect">
                          <a:avLst/>
                        </a:prstGeom>
                        <a:solidFill>
                          <a:sysClr val="window" lastClr="FFFFFF"/>
                        </a:solidFill>
                        <a:ln w="6350">
                          <a:noFill/>
                        </a:ln>
                        <a:effectLst/>
                      </wps:spPr>
                      <wps:txbx>
                        <w:txbxContent>
                          <w:tbl>
                            <w:tblPr>
                              <w:tblW w:w="5000" w:type="pct"/>
                              <w:jc w:val="center"/>
                              <w:tblCellMar>
                                <w:left w:w="28" w:type="dxa"/>
                                <w:right w:w="28" w:type="dxa"/>
                              </w:tblCellMar>
                              <w:tblLook w:val="04A0" w:firstRow="1" w:lastRow="0" w:firstColumn="1" w:lastColumn="0" w:noHBand="0" w:noVBand="1"/>
                            </w:tblPr>
                            <w:tblGrid>
                              <w:gridCol w:w="257"/>
                              <w:gridCol w:w="118"/>
                              <w:gridCol w:w="1360"/>
                              <w:gridCol w:w="7"/>
                              <w:gridCol w:w="1051"/>
                              <w:gridCol w:w="1058"/>
                              <w:gridCol w:w="257"/>
                              <w:gridCol w:w="1453"/>
                              <w:gridCol w:w="1191"/>
                              <w:gridCol w:w="1077"/>
                              <w:gridCol w:w="1061"/>
                              <w:gridCol w:w="1059"/>
                            </w:tblGrid>
                            <w:tr w:rsidR="00A0212B" w:rsidRPr="001B469B" w14:paraId="56867A7D" w14:textId="77777777" w:rsidTr="000131EC">
                              <w:trPr>
                                <w:trHeight w:val="20"/>
                                <w:jc w:val="center"/>
                              </w:trPr>
                              <w:tc>
                                <w:tcPr>
                                  <w:tcW w:w="5000" w:type="pct"/>
                                  <w:gridSpan w:val="12"/>
                                  <w:shd w:val="clear" w:color="auto" w:fill="auto"/>
                                  <w:vAlign w:val="center"/>
                                </w:tcPr>
                                <w:p w14:paraId="190456E6" w14:textId="62601246" w:rsidR="00A0212B" w:rsidRPr="001B469B" w:rsidRDefault="00A0212B">
                                  <w:pPr>
                                    <w:widowControl/>
                                    <w:spacing w:line="240" w:lineRule="exact"/>
                                    <w:jc w:val="center"/>
                                    <w:rPr>
                                      <w:rFonts w:ascii="標楷體" w:eastAsia="標楷體" w:hAnsi="標楷體" w:cs="新細明體"/>
                                      <w:kern w:val="0"/>
                                      <w:sz w:val="18"/>
                                      <w:szCs w:val="18"/>
                                    </w:rPr>
                                  </w:pPr>
                                  <w:r w:rsidRPr="00665E5F">
                                    <w:rPr>
                                      <w:rFonts w:ascii="標楷體" w:eastAsia="標楷體" w:hAnsi="標楷體" w:hint="eastAsia"/>
                                      <w:b/>
                                      <w:bCs/>
                                    </w:rPr>
                                    <w:t>表</w:t>
                                  </w:r>
                                  <w:r>
                                    <w:rPr>
                                      <w:rFonts w:ascii="標楷體" w:eastAsia="標楷體" w:hAnsi="標楷體"/>
                                      <w:b/>
                                      <w:bCs/>
                                    </w:rPr>
                                    <w:t>23</w:t>
                                  </w:r>
                                  <w:r w:rsidRPr="001B469B">
                                    <w:rPr>
                                      <w:rFonts w:ascii="標楷體" w:eastAsia="標楷體" w:hAnsi="標楷體" w:hint="eastAsia"/>
                                      <w:b/>
                                      <w:bCs/>
                                    </w:rPr>
                                    <w:t xml:space="preserve">　截至1</w:t>
                                  </w:r>
                                  <w:r w:rsidRPr="001B469B">
                                    <w:rPr>
                                      <w:rFonts w:ascii="標楷體" w:eastAsia="標楷體" w:hAnsi="標楷體"/>
                                      <w:b/>
                                      <w:bCs/>
                                    </w:rPr>
                                    <w:t>12</w:t>
                                  </w:r>
                                  <w:r w:rsidRPr="001B469B">
                                    <w:rPr>
                                      <w:rFonts w:ascii="標楷體" w:eastAsia="標楷體" w:hAnsi="標楷體" w:hint="eastAsia"/>
                                      <w:b/>
                                      <w:bCs/>
                                    </w:rPr>
                                    <w:t>年底前瞻計畫第</w:t>
                                  </w:r>
                                  <w:r w:rsidRPr="001B469B">
                                    <w:rPr>
                                      <w:rFonts w:ascii="標楷體" w:eastAsia="標楷體" w:hAnsi="標楷體"/>
                                      <w:b/>
                                      <w:bCs/>
                                    </w:rPr>
                                    <w:t>1期至第3期均編列特別預算</w:t>
                                  </w:r>
                                  <w:r w:rsidRPr="001B469B">
                                    <w:rPr>
                                      <w:rFonts w:ascii="標楷體" w:eastAsia="標楷體" w:hAnsi="標楷體" w:hint="eastAsia"/>
                                      <w:b/>
                                      <w:bCs/>
                                    </w:rPr>
                                    <w:t>尚</w:t>
                                  </w:r>
                                  <w:r w:rsidRPr="001B469B">
                                    <w:rPr>
                                      <w:rFonts w:ascii="標楷體" w:eastAsia="標楷體" w:hAnsi="標楷體"/>
                                      <w:b/>
                                      <w:bCs/>
                                    </w:rPr>
                                    <w:t>未執行完竣工作計畫</w:t>
                                  </w:r>
                                  <w:r w:rsidRPr="001B469B">
                                    <w:rPr>
                                      <w:rFonts w:ascii="標楷體" w:eastAsia="標楷體" w:hAnsi="標楷體" w:hint="eastAsia"/>
                                      <w:b/>
                                      <w:bCs/>
                                    </w:rPr>
                                    <w:t>概況</w:t>
                                  </w:r>
                                </w:p>
                              </w:tc>
                            </w:tr>
                            <w:tr w:rsidR="00A0212B" w:rsidRPr="001B469B" w14:paraId="63F64CAD" w14:textId="77777777" w:rsidTr="000131EC">
                              <w:trPr>
                                <w:trHeight w:val="20"/>
                                <w:jc w:val="center"/>
                              </w:trPr>
                              <w:tc>
                                <w:tcPr>
                                  <w:tcW w:w="5000" w:type="pct"/>
                                  <w:gridSpan w:val="12"/>
                                  <w:tcBorders>
                                    <w:bottom w:val="single" w:sz="4" w:space="0" w:color="auto"/>
                                  </w:tcBorders>
                                  <w:shd w:val="clear" w:color="auto" w:fill="auto"/>
                                  <w:vAlign w:val="center"/>
                                </w:tcPr>
                                <w:p w14:paraId="0015EB73" w14:textId="77777777" w:rsidR="00A0212B" w:rsidRPr="001B469B" w:rsidRDefault="00A0212B" w:rsidP="000131EC">
                                  <w:pPr>
                                    <w:widowControl/>
                                    <w:spacing w:line="240" w:lineRule="exact"/>
                                    <w:jc w:val="right"/>
                                    <w:rPr>
                                      <w:rFonts w:ascii="標楷體" w:eastAsia="標楷體" w:hAnsi="標楷體" w:cs="新細明體"/>
                                      <w:color w:val="000000"/>
                                      <w:kern w:val="0"/>
                                      <w:sz w:val="20"/>
                                    </w:rPr>
                                  </w:pPr>
                                  <w:r w:rsidRPr="00374A6D">
                                    <w:rPr>
                                      <w:rFonts w:ascii="標楷體" w:eastAsia="標楷體" w:hAnsi="標楷體" w:cs="新細明體" w:hint="eastAsia"/>
                                      <w:kern w:val="0"/>
                                      <w:sz w:val="20"/>
                                    </w:rPr>
                                    <w:t>單位：新臺幣千元、％</w:t>
                                  </w:r>
                                </w:p>
                              </w:tc>
                            </w:tr>
                            <w:tr w:rsidR="00A0212B" w:rsidRPr="001B469B" w14:paraId="53038BD8" w14:textId="77777777" w:rsidTr="000131EC">
                              <w:trPr>
                                <w:trHeight w:val="20"/>
                                <w:jc w:val="center"/>
                              </w:trPr>
                              <w:tc>
                                <w:tcPr>
                                  <w:tcW w:w="124" w:type="pct"/>
                                  <w:vMerge w:val="restart"/>
                                  <w:tcBorders>
                                    <w:top w:val="single" w:sz="4" w:space="0" w:color="auto"/>
                                    <w:left w:val="single" w:sz="4" w:space="0" w:color="auto"/>
                                    <w:right w:val="single" w:sz="4" w:space="0" w:color="auto"/>
                                  </w:tcBorders>
                                  <w:shd w:val="clear" w:color="auto" w:fill="auto"/>
                                  <w:vAlign w:val="center"/>
                                  <w:hideMark/>
                                </w:tcPr>
                                <w:p w14:paraId="7AE88800"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期別</w:t>
                                  </w:r>
                                </w:p>
                              </w:tc>
                              <w:tc>
                                <w:tcPr>
                                  <w:tcW w:w="756" w:type="pct"/>
                                  <w:gridSpan w:val="2"/>
                                  <w:vMerge w:val="restart"/>
                                  <w:tcBorders>
                                    <w:top w:val="single" w:sz="4" w:space="0" w:color="auto"/>
                                    <w:left w:val="nil"/>
                                    <w:right w:val="single" w:sz="4" w:space="0" w:color="auto"/>
                                  </w:tcBorders>
                                  <w:shd w:val="clear" w:color="auto" w:fill="auto"/>
                                  <w:vAlign w:val="center"/>
                                </w:tcPr>
                                <w:p w14:paraId="45B658D8"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項目</w:t>
                                  </w:r>
                                </w:p>
                              </w:tc>
                              <w:tc>
                                <w:tcPr>
                                  <w:tcW w:w="509" w:type="pct"/>
                                  <w:gridSpan w:val="2"/>
                                  <w:vMerge w:val="restart"/>
                                  <w:tcBorders>
                                    <w:top w:val="single" w:sz="4" w:space="0" w:color="auto"/>
                                    <w:left w:val="nil"/>
                                    <w:right w:val="single" w:sz="4" w:space="0" w:color="auto"/>
                                  </w:tcBorders>
                                  <w:shd w:val="clear" w:color="auto" w:fill="auto"/>
                                  <w:vAlign w:val="center"/>
                                  <w:hideMark/>
                                </w:tcPr>
                                <w:p w14:paraId="7F7B1F38"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合計</w:t>
                                  </w:r>
                                </w:p>
                              </w:tc>
                              <w:tc>
                                <w:tcPr>
                                  <w:tcW w:w="2534" w:type="pct"/>
                                  <w:gridSpan w:val="5"/>
                                  <w:tcBorders>
                                    <w:top w:val="single" w:sz="4" w:space="0" w:color="auto"/>
                                    <w:left w:val="nil"/>
                                    <w:bottom w:val="single" w:sz="4" w:space="0" w:color="auto"/>
                                    <w:right w:val="single" w:sz="4" w:space="0" w:color="auto"/>
                                  </w:tcBorders>
                                  <w:shd w:val="clear" w:color="auto" w:fill="auto"/>
                                  <w:vAlign w:val="center"/>
                                  <w:hideMark/>
                                </w:tcPr>
                                <w:p w14:paraId="3169B5DC"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軌道建設</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3F727EFB"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綠能建設</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267E36A8"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城鄉建設</w:t>
                                  </w:r>
                                </w:p>
                              </w:tc>
                            </w:tr>
                            <w:tr w:rsidR="00A0212B" w:rsidRPr="001B469B" w14:paraId="5FA278D3" w14:textId="77777777" w:rsidTr="000131EC">
                              <w:trPr>
                                <w:trHeight w:val="20"/>
                                <w:jc w:val="center"/>
                              </w:trPr>
                              <w:tc>
                                <w:tcPr>
                                  <w:tcW w:w="124" w:type="pct"/>
                                  <w:vMerge/>
                                  <w:tcBorders>
                                    <w:left w:val="single" w:sz="4" w:space="0" w:color="auto"/>
                                    <w:right w:val="single" w:sz="4" w:space="0" w:color="auto"/>
                                  </w:tcBorders>
                                  <w:shd w:val="clear" w:color="auto" w:fill="auto"/>
                                  <w:vAlign w:val="center"/>
                                  <w:hideMark/>
                                </w:tcPr>
                                <w:p w14:paraId="4A18BBE1"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vMerge/>
                                  <w:tcBorders>
                                    <w:left w:val="nil"/>
                                    <w:right w:val="single" w:sz="4" w:space="0" w:color="auto"/>
                                  </w:tcBorders>
                                  <w:shd w:val="clear" w:color="auto" w:fill="auto"/>
                                  <w:vAlign w:val="center"/>
                                </w:tcPr>
                                <w:p w14:paraId="31EC7B7C"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509" w:type="pct"/>
                                  <w:gridSpan w:val="2"/>
                                  <w:vMerge/>
                                  <w:tcBorders>
                                    <w:left w:val="nil"/>
                                    <w:right w:val="single" w:sz="4" w:space="0" w:color="auto"/>
                                  </w:tcBorders>
                                  <w:shd w:val="clear" w:color="auto" w:fill="auto"/>
                                  <w:vAlign w:val="center"/>
                                </w:tcPr>
                                <w:p w14:paraId="584A083B"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517" w:type="pct"/>
                                  <w:vMerge w:val="restart"/>
                                  <w:tcBorders>
                                    <w:top w:val="nil"/>
                                    <w:left w:val="nil"/>
                                    <w:right w:val="single" w:sz="4" w:space="0" w:color="auto"/>
                                  </w:tcBorders>
                                  <w:shd w:val="clear" w:color="auto" w:fill="auto"/>
                                  <w:vAlign w:val="center"/>
                                  <w:hideMark/>
                                </w:tcPr>
                                <w:p w14:paraId="2B2AA483"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小計</w:t>
                                  </w:r>
                                </w:p>
                              </w:tc>
                              <w:tc>
                                <w:tcPr>
                                  <w:tcW w:w="127" w:type="pct"/>
                                  <w:tcBorders>
                                    <w:top w:val="nil"/>
                                    <w:left w:val="nil"/>
                                    <w:bottom w:val="single" w:sz="4" w:space="0" w:color="auto"/>
                                    <w:right w:val="single" w:sz="4" w:space="0" w:color="auto"/>
                                  </w:tcBorders>
                                  <w:shd w:val="clear" w:color="auto" w:fill="auto"/>
                                  <w:vAlign w:val="center"/>
                                </w:tcPr>
                                <w:p w14:paraId="1DF610B4" w14:textId="77777777" w:rsidR="00A0212B" w:rsidRPr="0078131B" w:rsidRDefault="00A0212B" w:rsidP="000131EC">
                                  <w:pPr>
                                    <w:widowControl/>
                                    <w:spacing w:line="240" w:lineRule="exact"/>
                                    <w:jc w:val="center"/>
                                    <w:rPr>
                                      <w:rFonts w:ascii="標楷體" w:eastAsia="標楷體" w:hAnsi="標楷體" w:cs="新細明體"/>
                                      <w:kern w:val="0"/>
                                      <w:sz w:val="20"/>
                                    </w:rPr>
                                  </w:pPr>
                                  <w:r w:rsidRPr="0078131B">
                                    <w:rPr>
                                      <w:rFonts w:ascii="標楷體" w:eastAsia="標楷體" w:hAnsi="標楷體" w:cs="新細明體" w:hint="eastAsia"/>
                                      <w:kern w:val="0"/>
                                      <w:sz w:val="20"/>
                                    </w:rPr>
                                    <w:t>計畫別</w:t>
                                  </w:r>
                                </w:p>
                              </w:tc>
                              <w:tc>
                                <w:tcPr>
                                  <w:tcW w:w="737" w:type="pct"/>
                                  <w:tcBorders>
                                    <w:top w:val="nil"/>
                                    <w:left w:val="nil"/>
                                    <w:bottom w:val="single" w:sz="4" w:space="0" w:color="auto"/>
                                    <w:right w:val="single" w:sz="4" w:space="0" w:color="auto"/>
                                  </w:tcBorders>
                                  <w:shd w:val="clear" w:color="auto" w:fill="auto"/>
                                  <w:vAlign w:val="center"/>
                                </w:tcPr>
                                <w:p w14:paraId="03EB9E70" w14:textId="77777777" w:rsidR="00A0212B" w:rsidRPr="008A0041" w:rsidRDefault="00A0212B" w:rsidP="000131EC">
                                  <w:pPr>
                                    <w:widowControl/>
                                    <w:spacing w:line="240" w:lineRule="exact"/>
                                    <w:jc w:val="center"/>
                                    <w:rPr>
                                      <w:rFonts w:ascii="標楷體" w:eastAsia="標楷體" w:hAnsi="標楷體" w:cs="新細明體"/>
                                      <w:color w:val="000000"/>
                                      <w:spacing w:val="-10"/>
                                      <w:kern w:val="0"/>
                                      <w:sz w:val="20"/>
                                    </w:rPr>
                                  </w:pPr>
                                  <w:r w:rsidRPr="008A0041">
                                    <w:rPr>
                                      <w:rFonts w:ascii="標楷體" w:eastAsia="標楷體" w:hAnsi="標楷體" w:cs="新細明體" w:hint="eastAsia"/>
                                      <w:color w:val="000000"/>
                                      <w:spacing w:val="-10"/>
                                      <w:kern w:val="0"/>
                                      <w:sz w:val="20"/>
                                    </w:rPr>
                                    <w:t>中南部觀光</w:t>
                                  </w:r>
                                  <w:r w:rsidRPr="008A0041">
                                    <w:rPr>
                                      <w:rFonts w:ascii="標楷體" w:eastAsia="標楷體" w:hAnsi="標楷體" w:cs="新細明體" w:hint="eastAsia"/>
                                      <w:color w:val="000000"/>
                                      <w:spacing w:val="-8"/>
                                      <w:kern w:val="0"/>
                                      <w:sz w:val="20"/>
                                    </w:rPr>
                                    <w:t>鐵路</w:t>
                                  </w:r>
                                </w:p>
                              </w:tc>
                              <w:tc>
                                <w:tcPr>
                                  <w:tcW w:w="605" w:type="pct"/>
                                  <w:tcBorders>
                                    <w:top w:val="nil"/>
                                    <w:left w:val="nil"/>
                                    <w:bottom w:val="single" w:sz="4" w:space="0" w:color="auto"/>
                                    <w:right w:val="single" w:sz="4" w:space="0" w:color="auto"/>
                                  </w:tcBorders>
                                  <w:shd w:val="clear" w:color="auto" w:fill="auto"/>
                                  <w:vAlign w:val="center"/>
                                  <w:hideMark/>
                                </w:tcPr>
                                <w:p w14:paraId="0129E863" w14:textId="77777777" w:rsidR="00A0212B" w:rsidRPr="008A0041" w:rsidRDefault="00A0212B" w:rsidP="000131EC">
                                  <w:pPr>
                                    <w:widowControl/>
                                    <w:spacing w:line="240" w:lineRule="exact"/>
                                    <w:jc w:val="center"/>
                                    <w:rPr>
                                      <w:rFonts w:ascii="標楷體" w:eastAsia="標楷體" w:hAnsi="標楷體" w:cs="新細明體"/>
                                      <w:color w:val="000000"/>
                                      <w:spacing w:val="-10"/>
                                      <w:kern w:val="0"/>
                                      <w:sz w:val="20"/>
                                    </w:rPr>
                                  </w:pPr>
                                  <w:r w:rsidRPr="008A0041">
                                    <w:rPr>
                                      <w:rFonts w:ascii="標楷體" w:eastAsia="標楷體" w:hAnsi="標楷體" w:cs="新細明體" w:hint="eastAsia"/>
                                      <w:color w:val="000000"/>
                                      <w:spacing w:val="-10"/>
                                      <w:kern w:val="0"/>
                                      <w:sz w:val="20"/>
                                    </w:rPr>
                                    <w:t>都市推動捷運</w:t>
                                  </w:r>
                                </w:p>
                              </w:tc>
                              <w:tc>
                                <w:tcPr>
                                  <w:tcW w:w="548" w:type="pct"/>
                                  <w:tcBorders>
                                    <w:top w:val="nil"/>
                                    <w:left w:val="nil"/>
                                    <w:bottom w:val="single" w:sz="4" w:space="0" w:color="auto"/>
                                    <w:right w:val="single" w:sz="4" w:space="0" w:color="auto"/>
                                  </w:tcBorders>
                                  <w:shd w:val="clear" w:color="auto" w:fill="auto"/>
                                  <w:vAlign w:val="center"/>
                                  <w:hideMark/>
                                </w:tcPr>
                                <w:p w14:paraId="3FC4CC32"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鐵路立體化及通勤提速</w:t>
                                  </w:r>
                                </w:p>
                              </w:tc>
                              <w:tc>
                                <w:tcPr>
                                  <w:tcW w:w="539" w:type="pct"/>
                                  <w:tcBorders>
                                    <w:top w:val="nil"/>
                                    <w:left w:val="nil"/>
                                    <w:bottom w:val="single" w:sz="4" w:space="0" w:color="auto"/>
                                    <w:right w:val="single" w:sz="4" w:space="0" w:color="auto"/>
                                  </w:tcBorders>
                                  <w:shd w:val="clear" w:color="auto" w:fill="auto"/>
                                  <w:vAlign w:val="center"/>
                                  <w:hideMark/>
                                </w:tcPr>
                                <w:p w14:paraId="7BDA76C6" w14:textId="77777777" w:rsidR="00A0212B" w:rsidRPr="0078131B" w:rsidRDefault="00A0212B" w:rsidP="000131EC">
                                  <w:pPr>
                                    <w:widowControl/>
                                    <w:spacing w:line="240" w:lineRule="exact"/>
                                    <w:jc w:val="center"/>
                                    <w:rPr>
                                      <w:rFonts w:ascii="標楷體" w:eastAsia="標楷體" w:hAnsi="標楷體" w:cs="新細明體"/>
                                      <w:color w:val="000000"/>
                                      <w:spacing w:val="-20"/>
                                      <w:kern w:val="0"/>
                                      <w:sz w:val="20"/>
                                    </w:rPr>
                                  </w:pPr>
                                  <w:r w:rsidRPr="008A0041">
                                    <w:rPr>
                                      <w:rFonts w:ascii="標楷體" w:eastAsia="標楷體" w:hAnsi="標楷體" w:cs="新細明體" w:hint="eastAsia"/>
                                      <w:color w:val="000000"/>
                                      <w:spacing w:val="-12"/>
                                      <w:kern w:val="0"/>
                                      <w:sz w:val="20"/>
                                    </w:rPr>
                                    <w:t>完備綠能技術及建設</w:t>
                                  </w:r>
                                </w:p>
                              </w:tc>
                              <w:tc>
                                <w:tcPr>
                                  <w:tcW w:w="539" w:type="pct"/>
                                  <w:tcBorders>
                                    <w:top w:val="nil"/>
                                    <w:left w:val="nil"/>
                                    <w:bottom w:val="single" w:sz="4" w:space="0" w:color="auto"/>
                                    <w:right w:val="single" w:sz="4" w:space="0" w:color="auto"/>
                                  </w:tcBorders>
                                  <w:shd w:val="clear" w:color="auto" w:fill="auto"/>
                                  <w:vAlign w:val="center"/>
                                  <w:hideMark/>
                                </w:tcPr>
                                <w:p w14:paraId="070B82B8" w14:textId="77777777" w:rsidR="00A0212B" w:rsidRPr="0078131B" w:rsidRDefault="00A0212B" w:rsidP="000131EC">
                                  <w:pPr>
                                    <w:widowControl/>
                                    <w:spacing w:line="240" w:lineRule="exact"/>
                                    <w:jc w:val="center"/>
                                    <w:rPr>
                                      <w:rFonts w:ascii="標楷體" w:eastAsia="標楷體" w:hAnsi="標楷體" w:cs="新細明體"/>
                                      <w:color w:val="000000"/>
                                      <w:spacing w:val="-20"/>
                                      <w:kern w:val="0"/>
                                      <w:sz w:val="20"/>
                                    </w:rPr>
                                  </w:pPr>
                                  <w:r w:rsidRPr="008A0041">
                                    <w:rPr>
                                      <w:rFonts w:ascii="標楷體" w:eastAsia="標楷體" w:hAnsi="標楷體" w:cs="新細明體" w:hint="eastAsia"/>
                                      <w:color w:val="000000"/>
                                      <w:spacing w:val="-12"/>
                                      <w:kern w:val="0"/>
                                      <w:sz w:val="20"/>
                                    </w:rPr>
                                    <w:t>開發在地型</w:t>
                                  </w:r>
                                  <w:r w:rsidRPr="0078131B">
                                    <w:rPr>
                                      <w:rFonts w:ascii="標楷體" w:eastAsia="標楷體" w:hAnsi="標楷體" w:cs="新細明體" w:hint="eastAsia"/>
                                      <w:color w:val="000000"/>
                                      <w:spacing w:val="-20"/>
                                      <w:kern w:val="0"/>
                                      <w:sz w:val="20"/>
                                    </w:rPr>
                                    <w:t>產業園區</w:t>
                                  </w:r>
                                </w:p>
                              </w:tc>
                            </w:tr>
                            <w:tr w:rsidR="00A0212B" w:rsidRPr="001B469B" w14:paraId="00E035F6" w14:textId="77777777" w:rsidTr="000131EC">
                              <w:trPr>
                                <w:trHeight w:val="20"/>
                                <w:jc w:val="center"/>
                              </w:trPr>
                              <w:tc>
                                <w:tcPr>
                                  <w:tcW w:w="124" w:type="pct"/>
                                  <w:vMerge/>
                                  <w:tcBorders>
                                    <w:left w:val="single" w:sz="4" w:space="0" w:color="auto"/>
                                    <w:bottom w:val="single" w:sz="4" w:space="0" w:color="auto"/>
                                    <w:right w:val="single" w:sz="4" w:space="0" w:color="auto"/>
                                  </w:tcBorders>
                                  <w:shd w:val="clear" w:color="auto" w:fill="auto"/>
                                  <w:vAlign w:val="center"/>
                                  <w:hideMark/>
                                </w:tcPr>
                                <w:p w14:paraId="77022864"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vMerge/>
                                  <w:tcBorders>
                                    <w:left w:val="nil"/>
                                    <w:bottom w:val="single" w:sz="4" w:space="0" w:color="auto"/>
                                    <w:right w:val="single" w:sz="4" w:space="0" w:color="auto"/>
                                  </w:tcBorders>
                                  <w:shd w:val="clear" w:color="auto" w:fill="auto"/>
                                  <w:vAlign w:val="center"/>
                                </w:tcPr>
                                <w:p w14:paraId="28D47A31"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509" w:type="pct"/>
                                  <w:gridSpan w:val="2"/>
                                  <w:vMerge/>
                                  <w:tcBorders>
                                    <w:left w:val="nil"/>
                                    <w:bottom w:val="single" w:sz="4" w:space="0" w:color="auto"/>
                                    <w:right w:val="single" w:sz="4" w:space="0" w:color="auto"/>
                                  </w:tcBorders>
                                  <w:shd w:val="clear" w:color="auto" w:fill="auto"/>
                                  <w:vAlign w:val="center"/>
                                  <w:hideMark/>
                                </w:tcPr>
                                <w:p w14:paraId="7A6078FF"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517" w:type="pct"/>
                                  <w:vMerge/>
                                  <w:tcBorders>
                                    <w:left w:val="nil"/>
                                    <w:bottom w:val="single" w:sz="4" w:space="0" w:color="auto"/>
                                    <w:right w:val="single" w:sz="4" w:space="0" w:color="auto"/>
                                  </w:tcBorders>
                                  <w:shd w:val="clear" w:color="auto" w:fill="auto"/>
                                  <w:vAlign w:val="center"/>
                                  <w:hideMark/>
                                </w:tcPr>
                                <w:p w14:paraId="620ECE9D"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127" w:type="pct"/>
                                  <w:tcBorders>
                                    <w:top w:val="nil"/>
                                    <w:left w:val="nil"/>
                                    <w:bottom w:val="single" w:sz="4" w:space="0" w:color="auto"/>
                                    <w:right w:val="single" w:sz="4" w:space="0" w:color="auto"/>
                                  </w:tcBorders>
                                  <w:shd w:val="clear" w:color="auto" w:fill="auto"/>
                                  <w:vAlign w:val="center"/>
                                </w:tcPr>
                                <w:p w14:paraId="6D19402A" w14:textId="77777777" w:rsidR="00A0212B" w:rsidRPr="0078131B" w:rsidRDefault="00A0212B" w:rsidP="000131EC">
                                  <w:pPr>
                                    <w:widowControl/>
                                    <w:spacing w:line="240" w:lineRule="exact"/>
                                    <w:jc w:val="both"/>
                                    <w:rPr>
                                      <w:rFonts w:ascii="標楷體" w:eastAsia="標楷體" w:hAnsi="標楷體" w:cs="新細明體"/>
                                      <w:spacing w:val="-20"/>
                                      <w:kern w:val="0"/>
                                      <w:sz w:val="20"/>
                                    </w:rPr>
                                  </w:pPr>
                                  <w:r w:rsidRPr="0078131B">
                                    <w:rPr>
                                      <w:rFonts w:ascii="標楷體" w:eastAsia="標楷體" w:hAnsi="標楷體" w:cs="新細明體" w:hint="eastAsia"/>
                                      <w:spacing w:val="-20"/>
                                      <w:kern w:val="0"/>
                                      <w:sz w:val="20"/>
                                    </w:rPr>
                                    <w:t>單位</w:t>
                                  </w:r>
                                </w:p>
                              </w:tc>
                              <w:tc>
                                <w:tcPr>
                                  <w:tcW w:w="737" w:type="pct"/>
                                  <w:tcBorders>
                                    <w:top w:val="nil"/>
                                    <w:left w:val="nil"/>
                                    <w:bottom w:val="single" w:sz="4" w:space="0" w:color="auto"/>
                                    <w:right w:val="single" w:sz="4" w:space="0" w:color="auto"/>
                                  </w:tcBorders>
                                  <w:shd w:val="clear" w:color="auto" w:fill="auto"/>
                                  <w:vAlign w:val="center"/>
                                </w:tcPr>
                                <w:p w14:paraId="7CBF7102" w14:textId="77777777" w:rsidR="00A0212B" w:rsidRPr="008A0041" w:rsidRDefault="00A0212B" w:rsidP="000131EC">
                                  <w:pPr>
                                    <w:widowControl/>
                                    <w:spacing w:line="240" w:lineRule="exact"/>
                                    <w:jc w:val="both"/>
                                    <w:rPr>
                                      <w:rFonts w:ascii="標楷體" w:eastAsia="標楷體" w:hAnsi="標楷體" w:cs="新細明體"/>
                                      <w:color w:val="000000"/>
                                      <w:spacing w:val="-12"/>
                                      <w:kern w:val="0"/>
                                      <w:sz w:val="20"/>
                                    </w:rPr>
                                  </w:pPr>
                                  <w:r w:rsidRPr="008A0041">
                                    <w:rPr>
                                      <w:rFonts w:ascii="標楷體" w:eastAsia="標楷體" w:hAnsi="標楷體" w:cs="新細明體" w:hint="eastAsia"/>
                                      <w:color w:val="000000"/>
                                      <w:spacing w:val="-12"/>
                                      <w:kern w:val="0"/>
                                      <w:sz w:val="20"/>
                                    </w:rPr>
                                    <w:t>交通部、</w:t>
                                  </w:r>
                                  <w:r w:rsidRPr="008A0041">
                                    <w:rPr>
                                      <w:rFonts w:ascii="標楷體" w:eastAsia="標楷體" w:hAnsi="標楷體" w:cs="新細明體" w:hint="eastAsia"/>
                                      <w:color w:val="000000"/>
                                      <w:spacing w:val="-8"/>
                                      <w:kern w:val="0"/>
                                      <w:sz w:val="20"/>
                                    </w:rPr>
                                    <w:t>鐵道局</w:t>
                                  </w:r>
                                  <w:r w:rsidRPr="008A0041">
                                    <w:rPr>
                                      <w:rFonts w:ascii="標楷體" w:eastAsia="標楷體" w:hAnsi="標楷體" w:cs="新細明體" w:hint="eastAsia"/>
                                      <w:color w:val="000000"/>
                                      <w:spacing w:val="-12"/>
                                      <w:kern w:val="0"/>
                                      <w:sz w:val="20"/>
                                    </w:rPr>
                                    <w:t>及所屬、林業及自然保育署</w:t>
                                  </w:r>
                                  <w:r w:rsidRPr="008A0041">
                                    <w:rPr>
                                      <w:rFonts w:ascii="標楷體" w:eastAsia="標楷體" w:hAnsi="標楷體" w:cs="新細明體" w:hint="eastAsia"/>
                                      <w:color w:val="000000"/>
                                      <w:spacing w:val="-8"/>
                                      <w:kern w:val="0"/>
                                      <w:sz w:val="20"/>
                                    </w:rPr>
                                    <w:t>及所</w:t>
                                  </w:r>
                                  <w:r w:rsidRPr="008A0041">
                                    <w:rPr>
                                      <w:rFonts w:ascii="標楷體" w:eastAsia="標楷體" w:hAnsi="標楷體" w:cs="新細明體" w:hint="eastAsia"/>
                                      <w:color w:val="000000"/>
                                      <w:spacing w:val="-12"/>
                                      <w:kern w:val="0"/>
                                      <w:sz w:val="20"/>
                                    </w:rPr>
                                    <w:t>屬</w:t>
                                  </w:r>
                                </w:p>
                              </w:tc>
                              <w:tc>
                                <w:tcPr>
                                  <w:tcW w:w="605" w:type="pct"/>
                                  <w:tcBorders>
                                    <w:top w:val="nil"/>
                                    <w:left w:val="nil"/>
                                    <w:bottom w:val="single" w:sz="4" w:space="0" w:color="auto"/>
                                    <w:right w:val="single" w:sz="4" w:space="0" w:color="auto"/>
                                  </w:tcBorders>
                                  <w:shd w:val="clear" w:color="auto" w:fill="auto"/>
                                  <w:vAlign w:val="center"/>
                                  <w:hideMark/>
                                </w:tcPr>
                                <w:p w14:paraId="575F4D57" w14:textId="77777777" w:rsidR="00A0212B" w:rsidRPr="001B469B" w:rsidRDefault="00A0212B" w:rsidP="000131EC">
                                  <w:pPr>
                                    <w:widowControl/>
                                    <w:spacing w:line="240" w:lineRule="exact"/>
                                    <w:jc w:val="both"/>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交通部、鐵道局及所屬</w:t>
                                  </w:r>
                                </w:p>
                              </w:tc>
                              <w:tc>
                                <w:tcPr>
                                  <w:tcW w:w="548" w:type="pct"/>
                                  <w:tcBorders>
                                    <w:top w:val="nil"/>
                                    <w:left w:val="nil"/>
                                    <w:bottom w:val="single" w:sz="4" w:space="0" w:color="auto"/>
                                    <w:right w:val="single" w:sz="4" w:space="0" w:color="auto"/>
                                  </w:tcBorders>
                                  <w:shd w:val="clear" w:color="auto" w:fill="auto"/>
                                  <w:vAlign w:val="center"/>
                                  <w:hideMark/>
                                </w:tcPr>
                                <w:p w14:paraId="7E26E6EE" w14:textId="77777777" w:rsidR="00A0212B" w:rsidRPr="001B469B" w:rsidRDefault="00A0212B" w:rsidP="000131EC">
                                  <w:pPr>
                                    <w:widowControl/>
                                    <w:spacing w:line="240" w:lineRule="exact"/>
                                    <w:jc w:val="both"/>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交通部、鐵道局及所屬</w:t>
                                  </w:r>
                                </w:p>
                              </w:tc>
                              <w:tc>
                                <w:tcPr>
                                  <w:tcW w:w="539" w:type="pct"/>
                                  <w:tcBorders>
                                    <w:top w:val="nil"/>
                                    <w:left w:val="nil"/>
                                    <w:bottom w:val="single" w:sz="4" w:space="0" w:color="auto"/>
                                    <w:right w:val="single" w:sz="4" w:space="0" w:color="auto"/>
                                  </w:tcBorders>
                                  <w:shd w:val="clear" w:color="auto" w:fill="auto"/>
                                  <w:vAlign w:val="center"/>
                                  <w:hideMark/>
                                </w:tcPr>
                                <w:p w14:paraId="357640FB" w14:textId="77777777" w:rsidR="00A0212B" w:rsidRPr="0001579F" w:rsidRDefault="00A0212B" w:rsidP="000131EC">
                                  <w:pPr>
                                    <w:widowControl/>
                                    <w:spacing w:line="240" w:lineRule="exact"/>
                                    <w:jc w:val="both"/>
                                    <w:rPr>
                                      <w:rFonts w:ascii="標楷體" w:eastAsia="標楷體" w:hAnsi="標楷體" w:cs="新細明體"/>
                                      <w:color w:val="000000"/>
                                      <w:kern w:val="0"/>
                                      <w:sz w:val="20"/>
                                    </w:rPr>
                                  </w:pPr>
                                  <w:r w:rsidRPr="0001579F">
                                    <w:rPr>
                                      <w:rFonts w:ascii="標楷體" w:eastAsia="標楷體" w:hAnsi="標楷體" w:cs="新細明體" w:hint="eastAsia"/>
                                      <w:color w:val="000000"/>
                                      <w:kern w:val="0"/>
                                      <w:sz w:val="20"/>
                                    </w:rPr>
                                    <w:t>公路局及所屬、能源署</w:t>
                                  </w:r>
                                </w:p>
                              </w:tc>
                              <w:tc>
                                <w:tcPr>
                                  <w:tcW w:w="539" w:type="pct"/>
                                  <w:tcBorders>
                                    <w:top w:val="nil"/>
                                    <w:left w:val="nil"/>
                                    <w:bottom w:val="single" w:sz="4" w:space="0" w:color="auto"/>
                                    <w:right w:val="single" w:sz="4" w:space="0" w:color="auto"/>
                                  </w:tcBorders>
                                  <w:shd w:val="clear" w:color="auto" w:fill="auto"/>
                                  <w:vAlign w:val="center"/>
                                  <w:hideMark/>
                                </w:tcPr>
                                <w:p w14:paraId="14A7B53A" w14:textId="77777777" w:rsidR="00A0212B" w:rsidRPr="001B469B" w:rsidRDefault="00A0212B" w:rsidP="000131EC">
                                  <w:pPr>
                                    <w:widowControl/>
                                    <w:spacing w:line="240" w:lineRule="exact"/>
                                    <w:jc w:val="both"/>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產業發展署、中小及新創企業署</w:t>
                                  </w:r>
                                </w:p>
                              </w:tc>
                            </w:tr>
                            <w:tr w:rsidR="00A0212B" w:rsidRPr="001B469B" w14:paraId="01F6C7DA" w14:textId="77777777" w:rsidTr="004D7C92">
                              <w:trPr>
                                <w:trHeight w:hRule="exact" w:val="340"/>
                                <w:jc w:val="center"/>
                              </w:trPr>
                              <w:tc>
                                <w:tcPr>
                                  <w:tcW w:w="124" w:type="pct"/>
                                  <w:vMerge w:val="restart"/>
                                  <w:tcBorders>
                                    <w:top w:val="single" w:sz="4" w:space="0" w:color="auto"/>
                                    <w:left w:val="single" w:sz="4" w:space="0" w:color="auto"/>
                                    <w:right w:val="single" w:sz="4" w:space="0" w:color="auto"/>
                                  </w:tcBorders>
                                  <w:shd w:val="clear" w:color="auto" w:fill="auto"/>
                                  <w:vAlign w:val="center"/>
                                </w:tcPr>
                                <w:p w14:paraId="3482C136"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合計</w:t>
                                  </w:r>
                                </w:p>
                              </w:tc>
                              <w:tc>
                                <w:tcPr>
                                  <w:tcW w:w="756" w:type="pct"/>
                                  <w:gridSpan w:val="2"/>
                                  <w:tcBorders>
                                    <w:top w:val="single" w:sz="4" w:space="0" w:color="auto"/>
                                    <w:left w:val="nil"/>
                                    <w:bottom w:val="single" w:sz="4" w:space="0" w:color="auto"/>
                                    <w:right w:val="single" w:sz="4" w:space="0" w:color="auto"/>
                                  </w:tcBorders>
                                  <w:shd w:val="clear" w:color="auto" w:fill="auto"/>
                                  <w:vAlign w:val="center"/>
                                </w:tcPr>
                                <w:p w14:paraId="173AF9DB"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以前年度轉入數</w:t>
                                  </w:r>
                                </w:p>
                              </w:tc>
                              <w:tc>
                                <w:tcPr>
                                  <w:tcW w:w="509" w:type="pct"/>
                                  <w:gridSpan w:val="2"/>
                                  <w:tcBorders>
                                    <w:top w:val="single" w:sz="4" w:space="0" w:color="auto"/>
                                    <w:left w:val="nil"/>
                                    <w:bottom w:val="single" w:sz="4" w:space="0" w:color="auto"/>
                                    <w:right w:val="single" w:sz="4" w:space="0" w:color="auto"/>
                                  </w:tcBorders>
                                  <w:shd w:val="clear" w:color="auto" w:fill="auto"/>
                                  <w:vAlign w:val="center"/>
                                </w:tcPr>
                                <w:p w14:paraId="4C8FFF3E"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13,748,996 </w:t>
                                  </w:r>
                                </w:p>
                              </w:tc>
                              <w:tc>
                                <w:tcPr>
                                  <w:tcW w:w="517" w:type="pct"/>
                                  <w:tcBorders>
                                    <w:top w:val="nil"/>
                                    <w:left w:val="nil"/>
                                    <w:bottom w:val="single" w:sz="4" w:space="0" w:color="auto"/>
                                    <w:right w:val="single" w:sz="4" w:space="0" w:color="auto"/>
                                  </w:tcBorders>
                                  <w:shd w:val="clear" w:color="auto" w:fill="auto"/>
                                  <w:vAlign w:val="center"/>
                                </w:tcPr>
                                <w:p w14:paraId="4B3FC3F4"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11,765,627 </w:t>
                                  </w:r>
                                </w:p>
                              </w:tc>
                              <w:tc>
                                <w:tcPr>
                                  <w:tcW w:w="864" w:type="pct"/>
                                  <w:gridSpan w:val="2"/>
                                  <w:tcBorders>
                                    <w:top w:val="nil"/>
                                    <w:left w:val="nil"/>
                                    <w:bottom w:val="single" w:sz="4" w:space="0" w:color="auto"/>
                                    <w:right w:val="single" w:sz="4" w:space="0" w:color="auto"/>
                                  </w:tcBorders>
                                  <w:shd w:val="clear" w:color="auto" w:fill="auto"/>
                                  <w:vAlign w:val="center"/>
                                </w:tcPr>
                                <w:p w14:paraId="684D424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576,718 </w:t>
                                  </w:r>
                                </w:p>
                              </w:tc>
                              <w:tc>
                                <w:tcPr>
                                  <w:tcW w:w="605" w:type="pct"/>
                                  <w:tcBorders>
                                    <w:top w:val="nil"/>
                                    <w:left w:val="nil"/>
                                    <w:bottom w:val="single" w:sz="4" w:space="0" w:color="auto"/>
                                    <w:right w:val="single" w:sz="4" w:space="0" w:color="auto"/>
                                  </w:tcBorders>
                                  <w:shd w:val="clear" w:color="auto" w:fill="auto"/>
                                  <w:vAlign w:val="center"/>
                                </w:tcPr>
                                <w:p w14:paraId="76F57BEE"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9,707,791 </w:t>
                                  </w:r>
                                </w:p>
                              </w:tc>
                              <w:tc>
                                <w:tcPr>
                                  <w:tcW w:w="548" w:type="pct"/>
                                  <w:tcBorders>
                                    <w:top w:val="nil"/>
                                    <w:left w:val="nil"/>
                                    <w:bottom w:val="single" w:sz="4" w:space="0" w:color="auto"/>
                                    <w:right w:val="single" w:sz="4" w:space="0" w:color="auto"/>
                                  </w:tcBorders>
                                  <w:shd w:val="clear" w:color="auto" w:fill="auto"/>
                                  <w:vAlign w:val="center"/>
                                </w:tcPr>
                                <w:p w14:paraId="42A0523F"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1,481,118 </w:t>
                                  </w:r>
                                </w:p>
                              </w:tc>
                              <w:tc>
                                <w:tcPr>
                                  <w:tcW w:w="539" w:type="pct"/>
                                  <w:tcBorders>
                                    <w:top w:val="nil"/>
                                    <w:left w:val="nil"/>
                                    <w:bottom w:val="single" w:sz="4" w:space="0" w:color="auto"/>
                                    <w:right w:val="single" w:sz="4" w:space="0" w:color="auto"/>
                                  </w:tcBorders>
                                  <w:shd w:val="clear" w:color="auto" w:fill="auto"/>
                                  <w:vAlign w:val="center"/>
                                </w:tcPr>
                                <w:p w14:paraId="1B800D3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1,599,455 </w:t>
                                  </w:r>
                                </w:p>
                              </w:tc>
                              <w:tc>
                                <w:tcPr>
                                  <w:tcW w:w="539" w:type="pct"/>
                                  <w:tcBorders>
                                    <w:top w:val="nil"/>
                                    <w:left w:val="nil"/>
                                    <w:bottom w:val="single" w:sz="4" w:space="0" w:color="auto"/>
                                    <w:right w:val="single" w:sz="4" w:space="0" w:color="auto"/>
                                  </w:tcBorders>
                                  <w:shd w:val="clear" w:color="auto" w:fill="auto"/>
                                  <w:vAlign w:val="center"/>
                                </w:tcPr>
                                <w:p w14:paraId="1A88822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383,913 </w:t>
                                  </w:r>
                                </w:p>
                              </w:tc>
                            </w:tr>
                            <w:tr w:rsidR="00A0212B" w:rsidRPr="001B469B" w14:paraId="614ABEE7"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tcPr>
                                <w:p w14:paraId="735D9EF4"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p>
                              </w:tc>
                              <w:tc>
                                <w:tcPr>
                                  <w:tcW w:w="759" w:type="pct"/>
                                  <w:gridSpan w:val="3"/>
                                  <w:tcBorders>
                                    <w:top w:val="nil"/>
                                    <w:left w:val="nil"/>
                                    <w:right w:val="single" w:sz="4" w:space="0" w:color="auto"/>
                                  </w:tcBorders>
                                  <w:shd w:val="clear" w:color="auto" w:fill="auto"/>
                                  <w:vAlign w:val="center"/>
                                </w:tcPr>
                                <w:p w14:paraId="69A7EFA6"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實現數</w:t>
                                  </w:r>
                                </w:p>
                              </w:tc>
                              <w:tc>
                                <w:tcPr>
                                  <w:tcW w:w="506" w:type="pct"/>
                                  <w:tcBorders>
                                    <w:top w:val="nil"/>
                                    <w:left w:val="nil"/>
                                    <w:bottom w:val="single" w:sz="4" w:space="0" w:color="auto"/>
                                    <w:right w:val="single" w:sz="4" w:space="0" w:color="auto"/>
                                  </w:tcBorders>
                                  <w:shd w:val="clear" w:color="auto" w:fill="auto"/>
                                  <w:vAlign w:val="center"/>
                                </w:tcPr>
                                <w:p w14:paraId="6AA1B18E"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6,533,763 </w:t>
                                  </w:r>
                                </w:p>
                              </w:tc>
                              <w:tc>
                                <w:tcPr>
                                  <w:tcW w:w="517" w:type="pct"/>
                                  <w:tcBorders>
                                    <w:top w:val="nil"/>
                                    <w:left w:val="nil"/>
                                    <w:bottom w:val="single" w:sz="4" w:space="0" w:color="auto"/>
                                    <w:right w:val="single" w:sz="4" w:space="0" w:color="auto"/>
                                  </w:tcBorders>
                                  <w:shd w:val="clear" w:color="auto" w:fill="auto"/>
                                  <w:vAlign w:val="center"/>
                                </w:tcPr>
                                <w:p w14:paraId="58259742"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5,835,525 </w:t>
                                  </w:r>
                                </w:p>
                              </w:tc>
                              <w:tc>
                                <w:tcPr>
                                  <w:tcW w:w="864" w:type="pct"/>
                                  <w:gridSpan w:val="2"/>
                                  <w:tcBorders>
                                    <w:top w:val="nil"/>
                                    <w:left w:val="nil"/>
                                    <w:bottom w:val="single" w:sz="4" w:space="0" w:color="auto"/>
                                    <w:right w:val="single" w:sz="4" w:space="0" w:color="auto"/>
                                  </w:tcBorders>
                                  <w:shd w:val="clear" w:color="auto" w:fill="auto"/>
                                  <w:vAlign w:val="center"/>
                                </w:tcPr>
                                <w:p w14:paraId="3528B6CA"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210,153 </w:t>
                                  </w:r>
                                </w:p>
                              </w:tc>
                              <w:tc>
                                <w:tcPr>
                                  <w:tcW w:w="605" w:type="pct"/>
                                  <w:tcBorders>
                                    <w:top w:val="nil"/>
                                    <w:left w:val="nil"/>
                                    <w:bottom w:val="single" w:sz="4" w:space="0" w:color="auto"/>
                                    <w:right w:val="single" w:sz="4" w:space="0" w:color="auto"/>
                                  </w:tcBorders>
                                  <w:shd w:val="clear" w:color="auto" w:fill="auto"/>
                                  <w:vAlign w:val="center"/>
                                </w:tcPr>
                                <w:p w14:paraId="75F927D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4,236,004 </w:t>
                                  </w:r>
                                </w:p>
                              </w:tc>
                              <w:tc>
                                <w:tcPr>
                                  <w:tcW w:w="548" w:type="pct"/>
                                  <w:tcBorders>
                                    <w:top w:val="nil"/>
                                    <w:left w:val="nil"/>
                                    <w:bottom w:val="single" w:sz="4" w:space="0" w:color="auto"/>
                                    <w:right w:val="single" w:sz="4" w:space="0" w:color="auto"/>
                                  </w:tcBorders>
                                  <w:shd w:val="clear" w:color="auto" w:fill="auto"/>
                                  <w:vAlign w:val="center"/>
                                </w:tcPr>
                                <w:p w14:paraId="727B4A3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1,389,367 </w:t>
                                  </w:r>
                                </w:p>
                              </w:tc>
                              <w:tc>
                                <w:tcPr>
                                  <w:tcW w:w="539" w:type="pct"/>
                                  <w:tcBorders>
                                    <w:top w:val="nil"/>
                                    <w:left w:val="nil"/>
                                    <w:bottom w:val="single" w:sz="4" w:space="0" w:color="auto"/>
                                    <w:right w:val="single" w:sz="4" w:space="0" w:color="auto"/>
                                  </w:tcBorders>
                                  <w:shd w:val="clear" w:color="auto" w:fill="auto"/>
                                  <w:vAlign w:val="center"/>
                                </w:tcPr>
                                <w:p w14:paraId="7EDBD0D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554,471 </w:t>
                                  </w:r>
                                </w:p>
                              </w:tc>
                              <w:tc>
                                <w:tcPr>
                                  <w:tcW w:w="539" w:type="pct"/>
                                  <w:tcBorders>
                                    <w:top w:val="nil"/>
                                    <w:left w:val="nil"/>
                                    <w:bottom w:val="single" w:sz="4" w:space="0" w:color="auto"/>
                                    <w:right w:val="single" w:sz="4" w:space="0" w:color="auto"/>
                                  </w:tcBorders>
                                  <w:shd w:val="clear" w:color="auto" w:fill="auto"/>
                                  <w:vAlign w:val="center"/>
                                </w:tcPr>
                                <w:p w14:paraId="51E88BDF"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143,767 </w:t>
                                  </w:r>
                                </w:p>
                              </w:tc>
                            </w:tr>
                            <w:tr w:rsidR="00A0212B" w:rsidRPr="001B469B" w14:paraId="0320D8F3"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tcPr>
                                <w:p w14:paraId="0B8A9C68"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p>
                              </w:tc>
                              <w:tc>
                                <w:tcPr>
                                  <w:tcW w:w="66" w:type="pct"/>
                                  <w:tcBorders>
                                    <w:left w:val="nil"/>
                                    <w:bottom w:val="single" w:sz="4" w:space="0" w:color="auto"/>
                                    <w:right w:val="single" w:sz="4" w:space="0" w:color="auto"/>
                                  </w:tcBorders>
                                  <w:shd w:val="clear" w:color="auto" w:fill="auto"/>
                                  <w:vAlign w:val="center"/>
                                </w:tcPr>
                                <w:p w14:paraId="5F9EF841"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p>
                              </w:tc>
                              <w:tc>
                                <w:tcPr>
                                  <w:tcW w:w="693" w:type="pct"/>
                                  <w:gridSpan w:val="2"/>
                                  <w:tcBorders>
                                    <w:top w:val="single" w:sz="4" w:space="0" w:color="auto"/>
                                    <w:left w:val="nil"/>
                                    <w:bottom w:val="single" w:sz="4" w:space="0" w:color="auto"/>
                                    <w:right w:val="single" w:sz="4" w:space="0" w:color="auto"/>
                                  </w:tcBorders>
                                  <w:shd w:val="clear" w:color="auto" w:fill="auto"/>
                                  <w:vAlign w:val="center"/>
                                </w:tcPr>
                                <w:p w14:paraId="70A6B179"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實現率</w:t>
                                  </w:r>
                                  <w:r w:rsidRPr="0078131B">
                                    <w:rPr>
                                      <w:rFonts w:ascii="標楷體" w:eastAsia="標楷體" w:hAnsi="標楷體" w:cs="新細明體" w:hint="eastAsia"/>
                                      <w:b/>
                                      <w:bCs/>
                                      <w:color w:val="000000"/>
                                      <w:spacing w:val="-20"/>
                                      <w:sz w:val="20"/>
                                    </w:rPr>
                                    <w:t>（註1）</w:t>
                                  </w:r>
                                </w:p>
                              </w:tc>
                              <w:tc>
                                <w:tcPr>
                                  <w:tcW w:w="506" w:type="pct"/>
                                  <w:tcBorders>
                                    <w:top w:val="nil"/>
                                    <w:left w:val="nil"/>
                                    <w:bottom w:val="single" w:sz="4" w:space="0" w:color="auto"/>
                                    <w:right w:val="single" w:sz="4" w:space="0" w:color="auto"/>
                                  </w:tcBorders>
                                  <w:shd w:val="clear" w:color="auto" w:fill="auto"/>
                                  <w:vAlign w:val="center"/>
                                </w:tcPr>
                                <w:p w14:paraId="45F36352"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47.52</w:t>
                                  </w:r>
                                </w:p>
                              </w:tc>
                              <w:tc>
                                <w:tcPr>
                                  <w:tcW w:w="517" w:type="pct"/>
                                  <w:tcBorders>
                                    <w:top w:val="nil"/>
                                    <w:left w:val="nil"/>
                                    <w:bottom w:val="single" w:sz="4" w:space="0" w:color="auto"/>
                                    <w:right w:val="single" w:sz="4" w:space="0" w:color="auto"/>
                                  </w:tcBorders>
                                  <w:shd w:val="clear" w:color="auto" w:fill="auto"/>
                                  <w:vAlign w:val="center"/>
                                </w:tcPr>
                                <w:p w14:paraId="25361E14"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49.60</w:t>
                                  </w:r>
                                </w:p>
                              </w:tc>
                              <w:tc>
                                <w:tcPr>
                                  <w:tcW w:w="864" w:type="pct"/>
                                  <w:gridSpan w:val="2"/>
                                  <w:tcBorders>
                                    <w:top w:val="nil"/>
                                    <w:left w:val="nil"/>
                                    <w:bottom w:val="single" w:sz="4" w:space="0" w:color="auto"/>
                                    <w:right w:val="single" w:sz="4" w:space="0" w:color="auto"/>
                                  </w:tcBorders>
                                  <w:shd w:val="clear" w:color="auto" w:fill="auto"/>
                                  <w:vAlign w:val="center"/>
                                </w:tcPr>
                                <w:p w14:paraId="282C9E37"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36.44</w:t>
                                  </w:r>
                                </w:p>
                              </w:tc>
                              <w:tc>
                                <w:tcPr>
                                  <w:tcW w:w="605" w:type="pct"/>
                                  <w:tcBorders>
                                    <w:top w:val="nil"/>
                                    <w:left w:val="nil"/>
                                    <w:bottom w:val="single" w:sz="4" w:space="0" w:color="auto"/>
                                    <w:right w:val="single" w:sz="4" w:space="0" w:color="auto"/>
                                  </w:tcBorders>
                                  <w:shd w:val="clear" w:color="auto" w:fill="auto"/>
                                  <w:vAlign w:val="center"/>
                                </w:tcPr>
                                <w:p w14:paraId="52BE5941"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43.64</w:t>
                                  </w:r>
                                </w:p>
                              </w:tc>
                              <w:tc>
                                <w:tcPr>
                                  <w:tcW w:w="548" w:type="pct"/>
                                  <w:tcBorders>
                                    <w:top w:val="nil"/>
                                    <w:left w:val="nil"/>
                                    <w:bottom w:val="single" w:sz="4" w:space="0" w:color="auto"/>
                                    <w:right w:val="single" w:sz="4" w:space="0" w:color="auto"/>
                                  </w:tcBorders>
                                  <w:shd w:val="clear" w:color="auto" w:fill="auto"/>
                                  <w:vAlign w:val="center"/>
                                </w:tcPr>
                                <w:p w14:paraId="6B72F212"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93.81</w:t>
                                  </w:r>
                                </w:p>
                              </w:tc>
                              <w:tc>
                                <w:tcPr>
                                  <w:tcW w:w="539" w:type="pct"/>
                                  <w:tcBorders>
                                    <w:top w:val="nil"/>
                                    <w:left w:val="nil"/>
                                    <w:bottom w:val="single" w:sz="4" w:space="0" w:color="auto"/>
                                    <w:right w:val="single" w:sz="4" w:space="0" w:color="auto"/>
                                  </w:tcBorders>
                                  <w:shd w:val="clear" w:color="auto" w:fill="auto"/>
                                  <w:vAlign w:val="center"/>
                                </w:tcPr>
                                <w:p w14:paraId="33BD861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34.67</w:t>
                                  </w:r>
                                </w:p>
                              </w:tc>
                              <w:tc>
                                <w:tcPr>
                                  <w:tcW w:w="539" w:type="pct"/>
                                  <w:tcBorders>
                                    <w:top w:val="nil"/>
                                    <w:left w:val="nil"/>
                                    <w:bottom w:val="single" w:sz="4" w:space="0" w:color="auto"/>
                                    <w:right w:val="single" w:sz="4" w:space="0" w:color="auto"/>
                                  </w:tcBorders>
                                  <w:shd w:val="clear" w:color="auto" w:fill="auto"/>
                                  <w:vAlign w:val="center"/>
                                </w:tcPr>
                                <w:p w14:paraId="08CEDDD5"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37.45</w:t>
                                  </w:r>
                                </w:p>
                              </w:tc>
                            </w:tr>
                            <w:tr w:rsidR="00A0212B" w:rsidRPr="001B469B" w14:paraId="232173D5"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tcPr>
                                <w:p w14:paraId="1E2F87F8"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p>
                              </w:tc>
                              <w:tc>
                                <w:tcPr>
                                  <w:tcW w:w="759" w:type="pct"/>
                                  <w:gridSpan w:val="3"/>
                                  <w:tcBorders>
                                    <w:top w:val="nil"/>
                                    <w:left w:val="nil"/>
                                    <w:bottom w:val="single" w:sz="4" w:space="0" w:color="auto"/>
                                    <w:right w:val="single" w:sz="4" w:space="0" w:color="auto"/>
                                  </w:tcBorders>
                                  <w:shd w:val="clear" w:color="auto" w:fill="auto"/>
                                  <w:vAlign w:val="center"/>
                                </w:tcPr>
                                <w:p w14:paraId="207FF696"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應付保留數</w:t>
                                  </w:r>
                                </w:p>
                              </w:tc>
                              <w:tc>
                                <w:tcPr>
                                  <w:tcW w:w="506" w:type="pct"/>
                                  <w:tcBorders>
                                    <w:top w:val="nil"/>
                                    <w:left w:val="nil"/>
                                    <w:bottom w:val="single" w:sz="4" w:space="0" w:color="auto"/>
                                    <w:right w:val="single" w:sz="4" w:space="0" w:color="auto"/>
                                  </w:tcBorders>
                                  <w:shd w:val="clear" w:color="auto" w:fill="auto"/>
                                  <w:vAlign w:val="center"/>
                                </w:tcPr>
                                <w:p w14:paraId="68239987"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7,074,572 </w:t>
                                  </w:r>
                                </w:p>
                              </w:tc>
                              <w:tc>
                                <w:tcPr>
                                  <w:tcW w:w="517" w:type="pct"/>
                                  <w:tcBorders>
                                    <w:top w:val="nil"/>
                                    <w:left w:val="nil"/>
                                    <w:bottom w:val="single" w:sz="4" w:space="0" w:color="auto"/>
                                    <w:right w:val="single" w:sz="4" w:space="0" w:color="auto"/>
                                  </w:tcBorders>
                                  <w:shd w:val="clear" w:color="auto" w:fill="auto"/>
                                  <w:vAlign w:val="center"/>
                                </w:tcPr>
                                <w:p w14:paraId="38C5C35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5,802,240 </w:t>
                                  </w:r>
                                </w:p>
                              </w:tc>
                              <w:tc>
                                <w:tcPr>
                                  <w:tcW w:w="864" w:type="pct"/>
                                  <w:gridSpan w:val="2"/>
                                  <w:tcBorders>
                                    <w:top w:val="nil"/>
                                    <w:left w:val="nil"/>
                                    <w:bottom w:val="single" w:sz="4" w:space="0" w:color="auto"/>
                                    <w:right w:val="single" w:sz="4" w:space="0" w:color="auto"/>
                                  </w:tcBorders>
                                  <w:shd w:val="clear" w:color="auto" w:fill="auto"/>
                                  <w:vAlign w:val="center"/>
                                </w:tcPr>
                                <w:p w14:paraId="15E468CE"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362,423 </w:t>
                                  </w:r>
                                </w:p>
                              </w:tc>
                              <w:tc>
                                <w:tcPr>
                                  <w:tcW w:w="605" w:type="pct"/>
                                  <w:tcBorders>
                                    <w:top w:val="nil"/>
                                    <w:left w:val="nil"/>
                                    <w:bottom w:val="single" w:sz="4" w:space="0" w:color="auto"/>
                                    <w:right w:val="single" w:sz="4" w:space="0" w:color="auto"/>
                                  </w:tcBorders>
                                  <w:shd w:val="clear" w:color="auto" w:fill="auto"/>
                                  <w:vAlign w:val="center"/>
                                </w:tcPr>
                                <w:p w14:paraId="76956C24"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5,348,546 </w:t>
                                  </w:r>
                                </w:p>
                              </w:tc>
                              <w:tc>
                                <w:tcPr>
                                  <w:tcW w:w="548" w:type="pct"/>
                                  <w:tcBorders>
                                    <w:top w:val="nil"/>
                                    <w:left w:val="nil"/>
                                    <w:bottom w:val="single" w:sz="4" w:space="0" w:color="auto"/>
                                    <w:right w:val="single" w:sz="4" w:space="0" w:color="auto"/>
                                  </w:tcBorders>
                                  <w:shd w:val="clear" w:color="auto" w:fill="auto"/>
                                  <w:vAlign w:val="center"/>
                                </w:tcPr>
                                <w:p w14:paraId="5D62A1F4"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91,270 </w:t>
                                  </w:r>
                                </w:p>
                              </w:tc>
                              <w:tc>
                                <w:tcPr>
                                  <w:tcW w:w="539" w:type="pct"/>
                                  <w:tcBorders>
                                    <w:top w:val="nil"/>
                                    <w:left w:val="nil"/>
                                    <w:bottom w:val="single" w:sz="4" w:space="0" w:color="auto"/>
                                    <w:right w:val="single" w:sz="4" w:space="0" w:color="auto"/>
                                  </w:tcBorders>
                                  <w:shd w:val="clear" w:color="auto" w:fill="auto"/>
                                  <w:vAlign w:val="center"/>
                                </w:tcPr>
                                <w:p w14:paraId="2BEBF7AA"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1,044,984 </w:t>
                                  </w:r>
                                </w:p>
                              </w:tc>
                              <w:tc>
                                <w:tcPr>
                                  <w:tcW w:w="539" w:type="pct"/>
                                  <w:tcBorders>
                                    <w:top w:val="nil"/>
                                    <w:left w:val="nil"/>
                                    <w:bottom w:val="single" w:sz="4" w:space="0" w:color="auto"/>
                                    <w:right w:val="single" w:sz="4" w:space="0" w:color="auto"/>
                                  </w:tcBorders>
                                  <w:shd w:val="clear" w:color="auto" w:fill="auto"/>
                                  <w:vAlign w:val="center"/>
                                </w:tcPr>
                                <w:p w14:paraId="16890F6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227,347 </w:t>
                                  </w:r>
                                </w:p>
                              </w:tc>
                            </w:tr>
                            <w:tr w:rsidR="00A0212B" w:rsidRPr="001B469B" w14:paraId="3EC33BDC" w14:textId="77777777" w:rsidTr="004D7C92">
                              <w:trPr>
                                <w:trHeight w:hRule="exact" w:val="340"/>
                                <w:jc w:val="center"/>
                              </w:trPr>
                              <w:tc>
                                <w:tcPr>
                                  <w:tcW w:w="124" w:type="pct"/>
                                  <w:vMerge/>
                                  <w:tcBorders>
                                    <w:left w:val="single" w:sz="4" w:space="0" w:color="auto"/>
                                    <w:bottom w:val="single" w:sz="4" w:space="0" w:color="auto"/>
                                    <w:right w:val="single" w:sz="4" w:space="0" w:color="auto"/>
                                  </w:tcBorders>
                                  <w:shd w:val="clear" w:color="auto" w:fill="auto"/>
                                  <w:vAlign w:val="center"/>
                                </w:tcPr>
                                <w:p w14:paraId="556584CD"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p>
                              </w:tc>
                              <w:tc>
                                <w:tcPr>
                                  <w:tcW w:w="759" w:type="pct"/>
                                  <w:gridSpan w:val="3"/>
                                  <w:tcBorders>
                                    <w:top w:val="nil"/>
                                    <w:left w:val="nil"/>
                                    <w:bottom w:val="single" w:sz="4" w:space="0" w:color="auto"/>
                                    <w:right w:val="single" w:sz="4" w:space="0" w:color="auto"/>
                                  </w:tcBorders>
                                  <w:shd w:val="clear" w:color="auto" w:fill="auto"/>
                                  <w:vAlign w:val="center"/>
                                </w:tcPr>
                                <w:p w14:paraId="32A47ED2"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減免(註銷)數</w:t>
                                  </w:r>
                                </w:p>
                              </w:tc>
                              <w:tc>
                                <w:tcPr>
                                  <w:tcW w:w="506" w:type="pct"/>
                                  <w:tcBorders>
                                    <w:top w:val="nil"/>
                                    <w:left w:val="nil"/>
                                    <w:bottom w:val="single" w:sz="4" w:space="0" w:color="auto"/>
                                    <w:right w:val="single" w:sz="4" w:space="0" w:color="auto"/>
                                  </w:tcBorders>
                                  <w:shd w:val="clear" w:color="auto" w:fill="auto"/>
                                  <w:vAlign w:val="center"/>
                                </w:tcPr>
                                <w:p w14:paraId="6BA209AA"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140,660 </w:t>
                                  </w:r>
                                </w:p>
                              </w:tc>
                              <w:tc>
                                <w:tcPr>
                                  <w:tcW w:w="517" w:type="pct"/>
                                  <w:tcBorders>
                                    <w:top w:val="nil"/>
                                    <w:left w:val="nil"/>
                                    <w:bottom w:val="single" w:sz="4" w:space="0" w:color="auto"/>
                                    <w:right w:val="single" w:sz="4" w:space="0" w:color="auto"/>
                                  </w:tcBorders>
                                  <w:shd w:val="clear" w:color="auto" w:fill="auto"/>
                                  <w:vAlign w:val="center"/>
                                </w:tcPr>
                                <w:p w14:paraId="4259B49F"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127,862 </w:t>
                                  </w:r>
                                </w:p>
                              </w:tc>
                              <w:tc>
                                <w:tcPr>
                                  <w:tcW w:w="864" w:type="pct"/>
                                  <w:gridSpan w:val="2"/>
                                  <w:tcBorders>
                                    <w:top w:val="nil"/>
                                    <w:left w:val="nil"/>
                                    <w:bottom w:val="single" w:sz="4" w:space="0" w:color="auto"/>
                                    <w:right w:val="single" w:sz="4" w:space="0" w:color="auto"/>
                                  </w:tcBorders>
                                  <w:shd w:val="clear" w:color="auto" w:fill="auto"/>
                                  <w:vAlign w:val="center"/>
                                </w:tcPr>
                                <w:p w14:paraId="067306F7"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4,140 </w:t>
                                  </w:r>
                                </w:p>
                              </w:tc>
                              <w:tc>
                                <w:tcPr>
                                  <w:tcW w:w="605" w:type="pct"/>
                                  <w:tcBorders>
                                    <w:top w:val="nil"/>
                                    <w:left w:val="nil"/>
                                    <w:bottom w:val="single" w:sz="4" w:space="0" w:color="auto"/>
                                    <w:right w:val="single" w:sz="4" w:space="0" w:color="auto"/>
                                  </w:tcBorders>
                                  <w:shd w:val="clear" w:color="auto" w:fill="auto"/>
                                  <w:vAlign w:val="center"/>
                                </w:tcPr>
                                <w:p w14:paraId="05DEE4F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123,240 </w:t>
                                  </w:r>
                                </w:p>
                              </w:tc>
                              <w:tc>
                                <w:tcPr>
                                  <w:tcW w:w="548" w:type="pct"/>
                                  <w:tcBorders>
                                    <w:top w:val="nil"/>
                                    <w:left w:val="nil"/>
                                    <w:bottom w:val="single" w:sz="4" w:space="0" w:color="auto"/>
                                    <w:right w:val="single" w:sz="4" w:space="0" w:color="auto"/>
                                  </w:tcBorders>
                                  <w:shd w:val="clear" w:color="auto" w:fill="auto"/>
                                  <w:vAlign w:val="center"/>
                                </w:tcPr>
                                <w:p w14:paraId="53035450"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481 </w:t>
                                  </w:r>
                                </w:p>
                              </w:tc>
                              <w:tc>
                                <w:tcPr>
                                  <w:tcW w:w="539" w:type="pct"/>
                                  <w:tcBorders>
                                    <w:top w:val="nil"/>
                                    <w:left w:val="nil"/>
                                    <w:bottom w:val="single" w:sz="4" w:space="0" w:color="auto"/>
                                    <w:right w:val="single" w:sz="4" w:space="0" w:color="auto"/>
                                  </w:tcBorders>
                                  <w:shd w:val="clear" w:color="auto" w:fill="auto"/>
                                  <w:vAlign w:val="center"/>
                                </w:tcPr>
                                <w:p w14:paraId="41C666D1"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 </w:t>
                                  </w:r>
                                </w:p>
                              </w:tc>
                              <w:tc>
                                <w:tcPr>
                                  <w:tcW w:w="539" w:type="pct"/>
                                  <w:tcBorders>
                                    <w:top w:val="nil"/>
                                    <w:left w:val="nil"/>
                                    <w:bottom w:val="single" w:sz="4" w:space="0" w:color="auto"/>
                                    <w:right w:val="single" w:sz="4" w:space="0" w:color="auto"/>
                                  </w:tcBorders>
                                  <w:shd w:val="clear" w:color="auto" w:fill="auto"/>
                                  <w:vAlign w:val="center"/>
                                </w:tcPr>
                                <w:p w14:paraId="73632D06"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12,798 </w:t>
                                  </w:r>
                                </w:p>
                              </w:tc>
                            </w:tr>
                            <w:tr w:rsidR="00A0212B" w:rsidRPr="001B469B" w14:paraId="68653542" w14:textId="77777777" w:rsidTr="004D7C92">
                              <w:trPr>
                                <w:trHeight w:hRule="exact" w:val="340"/>
                                <w:jc w:val="center"/>
                              </w:trPr>
                              <w:tc>
                                <w:tcPr>
                                  <w:tcW w:w="124" w:type="pct"/>
                                  <w:vMerge w:val="restart"/>
                                  <w:tcBorders>
                                    <w:top w:val="nil"/>
                                    <w:left w:val="single" w:sz="4" w:space="0" w:color="auto"/>
                                    <w:right w:val="single" w:sz="4" w:space="0" w:color="auto"/>
                                  </w:tcBorders>
                                  <w:shd w:val="clear" w:color="auto" w:fill="auto"/>
                                  <w:vAlign w:val="center"/>
                                  <w:hideMark/>
                                </w:tcPr>
                                <w:p w14:paraId="62DC4A5A"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第1期</w:t>
                                  </w:r>
                                </w:p>
                              </w:tc>
                              <w:tc>
                                <w:tcPr>
                                  <w:tcW w:w="756" w:type="pct"/>
                                  <w:gridSpan w:val="2"/>
                                  <w:tcBorders>
                                    <w:top w:val="nil"/>
                                    <w:left w:val="nil"/>
                                    <w:bottom w:val="single" w:sz="4" w:space="0" w:color="auto"/>
                                    <w:right w:val="single" w:sz="4" w:space="0" w:color="auto"/>
                                  </w:tcBorders>
                                  <w:shd w:val="clear" w:color="auto" w:fill="auto"/>
                                  <w:vAlign w:val="center"/>
                                  <w:hideMark/>
                                </w:tcPr>
                                <w:p w14:paraId="381D39F5"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以前年度轉入數</w:t>
                                  </w:r>
                                </w:p>
                              </w:tc>
                              <w:tc>
                                <w:tcPr>
                                  <w:tcW w:w="509" w:type="pct"/>
                                  <w:gridSpan w:val="2"/>
                                  <w:tcBorders>
                                    <w:top w:val="nil"/>
                                    <w:left w:val="nil"/>
                                    <w:bottom w:val="single" w:sz="4" w:space="0" w:color="auto"/>
                                    <w:right w:val="single" w:sz="4" w:space="0" w:color="auto"/>
                                  </w:tcBorders>
                                  <w:shd w:val="clear" w:color="auto" w:fill="auto"/>
                                  <w:vAlign w:val="center"/>
                                  <w:hideMark/>
                                </w:tcPr>
                                <w:p w14:paraId="54454EFC"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436,589 </w:t>
                                  </w:r>
                                </w:p>
                              </w:tc>
                              <w:tc>
                                <w:tcPr>
                                  <w:tcW w:w="517" w:type="pct"/>
                                  <w:tcBorders>
                                    <w:top w:val="nil"/>
                                    <w:left w:val="nil"/>
                                    <w:bottom w:val="single" w:sz="4" w:space="0" w:color="auto"/>
                                    <w:right w:val="single" w:sz="4" w:space="0" w:color="auto"/>
                                  </w:tcBorders>
                                  <w:shd w:val="clear" w:color="auto" w:fill="auto"/>
                                  <w:vAlign w:val="center"/>
                                  <w:hideMark/>
                                </w:tcPr>
                                <w:p w14:paraId="01F3F15E"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92,937 </w:t>
                                  </w:r>
                                </w:p>
                              </w:tc>
                              <w:tc>
                                <w:tcPr>
                                  <w:tcW w:w="864" w:type="pct"/>
                                  <w:gridSpan w:val="2"/>
                                  <w:tcBorders>
                                    <w:top w:val="nil"/>
                                    <w:left w:val="nil"/>
                                    <w:bottom w:val="single" w:sz="4" w:space="0" w:color="auto"/>
                                    <w:right w:val="single" w:sz="4" w:space="0" w:color="auto"/>
                                  </w:tcBorders>
                                  <w:shd w:val="clear" w:color="auto" w:fill="auto"/>
                                  <w:vAlign w:val="center"/>
                                  <w:hideMark/>
                                </w:tcPr>
                                <w:p w14:paraId="067F522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25,325 </w:t>
                                  </w:r>
                                </w:p>
                              </w:tc>
                              <w:tc>
                                <w:tcPr>
                                  <w:tcW w:w="605" w:type="pct"/>
                                  <w:tcBorders>
                                    <w:top w:val="nil"/>
                                    <w:left w:val="nil"/>
                                    <w:bottom w:val="single" w:sz="4" w:space="0" w:color="auto"/>
                                    <w:right w:val="single" w:sz="4" w:space="0" w:color="auto"/>
                                  </w:tcBorders>
                                  <w:shd w:val="clear" w:color="auto" w:fill="auto"/>
                                  <w:vAlign w:val="center"/>
                                  <w:hideMark/>
                                </w:tcPr>
                                <w:p w14:paraId="5D7E918F"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51,408 </w:t>
                                  </w:r>
                                </w:p>
                              </w:tc>
                              <w:tc>
                                <w:tcPr>
                                  <w:tcW w:w="548" w:type="pct"/>
                                  <w:tcBorders>
                                    <w:top w:val="nil"/>
                                    <w:left w:val="nil"/>
                                    <w:bottom w:val="single" w:sz="4" w:space="0" w:color="auto"/>
                                    <w:right w:val="single" w:sz="4" w:space="0" w:color="auto"/>
                                  </w:tcBorders>
                                  <w:shd w:val="clear" w:color="auto" w:fill="auto"/>
                                  <w:vAlign w:val="center"/>
                                  <w:hideMark/>
                                </w:tcPr>
                                <w:p w14:paraId="5BA2F60D"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16,204 </w:t>
                                  </w:r>
                                </w:p>
                              </w:tc>
                              <w:tc>
                                <w:tcPr>
                                  <w:tcW w:w="539" w:type="pct"/>
                                  <w:tcBorders>
                                    <w:top w:val="nil"/>
                                    <w:left w:val="nil"/>
                                    <w:bottom w:val="single" w:sz="4" w:space="0" w:color="auto"/>
                                    <w:right w:val="single" w:sz="4" w:space="0" w:color="auto"/>
                                  </w:tcBorders>
                                  <w:shd w:val="clear" w:color="auto" w:fill="auto"/>
                                  <w:vAlign w:val="center"/>
                                  <w:hideMark/>
                                </w:tcPr>
                                <w:p w14:paraId="15C63CD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321,548 </w:t>
                                  </w:r>
                                </w:p>
                              </w:tc>
                              <w:tc>
                                <w:tcPr>
                                  <w:tcW w:w="539" w:type="pct"/>
                                  <w:tcBorders>
                                    <w:top w:val="nil"/>
                                    <w:left w:val="nil"/>
                                    <w:bottom w:val="single" w:sz="4" w:space="0" w:color="auto"/>
                                    <w:right w:val="single" w:sz="4" w:space="0" w:color="auto"/>
                                  </w:tcBorders>
                                  <w:shd w:val="clear" w:color="auto" w:fill="auto"/>
                                  <w:vAlign w:val="center"/>
                                  <w:hideMark/>
                                </w:tcPr>
                                <w:p w14:paraId="7119086D"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22,103 </w:t>
                                  </w:r>
                                </w:p>
                              </w:tc>
                            </w:tr>
                            <w:tr w:rsidR="00A0212B" w:rsidRPr="001B469B" w14:paraId="4AF6C1E0"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0DB901F7"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single" w:sz="4" w:space="0" w:color="auto"/>
                                    <w:left w:val="nil"/>
                                    <w:right w:val="single" w:sz="4" w:space="0" w:color="auto"/>
                                  </w:tcBorders>
                                  <w:shd w:val="clear" w:color="auto" w:fill="auto"/>
                                  <w:vAlign w:val="center"/>
                                </w:tcPr>
                                <w:p w14:paraId="0D8D242B"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實現數</w:t>
                                  </w:r>
                                </w:p>
                              </w:tc>
                              <w:tc>
                                <w:tcPr>
                                  <w:tcW w:w="509" w:type="pct"/>
                                  <w:gridSpan w:val="2"/>
                                  <w:tcBorders>
                                    <w:top w:val="nil"/>
                                    <w:left w:val="nil"/>
                                    <w:bottom w:val="single" w:sz="4" w:space="0" w:color="auto"/>
                                    <w:right w:val="single" w:sz="4" w:space="0" w:color="auto"/>
                                  </w:tcBorders>
                                  <w:shd w:val="clear" w:color="auto" w:fill="auto"/>
                                  <w:vAlign w:val="center"/>
                                  <w:hideMark/>
                                </w:tcPr>
                                <w:p w14:paraId="7AB14B6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119,089 </w:t>
                                  </w:r>
                                </w:p>
                              </w:tc>
                              <w:tc>
                                <w:tcPr>
                                  <w:tcW w:w="517" w:type="pct"/>
                                  <w:tcBorders>
                                    <w:top w:val="nil"/>
                                    <w:left w:val="nil"/>
                                    <w:bottom w:val="single" w:sz="4" w:space="0" w:color="auto"/>
                                    <w:right w:val="single" w:sz="4" w:space="0" w:color="auto"/>
                                  </w:tcBorders>
                                  <w:shd w:val="clear" w:color="auto" w:fill="auto"/>
                                  <w:vAlign w:val="center"/>
                                  <w:hideMark/>
                                </w:tcPr>
                                <w:p w14:paraId="7EA5A632"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10,640 </w:t>
                                  </w:r>
                                </w:p>
                              </w:tc>
                              <w:tc>
                                <w:tcPr>
                                  <w:tcW w:w="864" w:type="pct"/>
                                  <w:gridSpan w:val="2"/>
                                  <w:tcBorders>
                                    <w:top w:val="nil"/>
                                    <w:left w:val="nil"/>
                                    <w:bottom w:val="single" w:sz="4" w:space="0" w:color="auto"/>
                                    <w:right w:val="single" w:sz="4" w:space="0" w:color="auto"/>
                                  </w:tcBorders>
                                  <w:shd w:val="clear" w:color="auto" w:fill="auto"/>
                                  <w:vAlign w:val="center"/>
                                  <w:hideMark/>
                                </w:tcPr>
                                <w:p w14:paraId="33E5C3FA"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109C126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4,487 </w:t>
                                  </w:r>
                                </w:p>
                              </w:tc>
                              <w:tc>
                                <w:tcPr>
                                  <w:tcW w:w="548" w:type="pct"/>
                                  <w:tcBorders>
                                    <w:top w:val="nil"/>
                                    <w:left w:val="nil"/>
                                    <w:bottom w:val="single" w:sz="4" w:space="0" w:color="auto"/>
                                    <w:right w:val="single" w:sz="4" w:space="0" w:color="auto"/>
                                  </w:tcBorders>
                                  <w:shd w:val="clear" w:color="auto" w:fill="auto"/>
                                  <w:vAlign w:val="center"/>
                                  <w:hideMark/>
                                </w:tcPr>
                                <w:p w14:paraId="4E79F4C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6,152 </w:t>
                                  </w:r>
                                </w:p>
                              </w:tc>
                              <w:tc>
                                <w:tcPr>
                                  <w:tcW w:w="539" w:type="pct"/>
                                  <w:tcBorders>
                                    <w:top w:val="nil"/>
                                    <w:left w:val="nil"/>
                                    <w:bottom w:val="single" w:sz="4" w:space="0" w:color="auto"/>
                                    <w:right w:val="single" w:sz="4" w:space="0" w:color="auto"/>
                                  </w:tcBorders>
                                  <w:shd w:val="clear" w:color="auto" w:fill="auto"/>
                                  <w:vAlign w:val="center"/>
                                  <w:hideMark/>
                                </w:tcPr>
                                <w:p w14:paraId="37B0FC9E"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102,613 </w:t>
                                  </w:r>
                                </w:p>
                              </w:tc>
                              <w:tc>
                                <w:tcPr>
                                  <w:tcW w:w="539" w:type="pct"/>
                                  <w:tcBorders>
                                    <w:top w:val="nil"/>
                                    <w:left w:val="nil"/>
                                    <w:bottom w:val="single" w:sz="4" w:space="0" w:color="auto"/>
                                    <w:right w:val="single" w:sz="4" w:space="0" w:color="auto"/>
                                  </w:tcBorders>
                                  <w:shd w:val="clear" w:color="auto" w:fill="auto"/>
                                  <w:vAlign w:val="center"/>
                                  <w:hideMark/>
                                </w:tcPr>
                                <w:p w14:paraId="1BD81051"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5,835 </w:t>
                                  </w:r>
                                </w:p>
                              </w:tc>
                            </w:tr>
                            <w:tr w:rsidR="00A0212B" w:rsidRPr="001B469B" w14:paraId="7FA4E7E6"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77788F08"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66" w:type="pct"/>
                                  <w:tcBorders>
                                    <w:left w:val="nil"/>
                                    <w:bottom w:val="single" w:sz="4" w:space="0" w:color="auto"/>
                                    <w:right w:val="single" w:sz="4" w:space="0" w:color="auto"/>
                                  </w:tcBorders>
                                  <w:shd w:val="clear" w:color="auto" w:fill="auto"/>
                                  <w:vAlign w:val="center"/>
                                </w:tcPr>
                                <w:p w14:paraId="67140BE2" w14:textId="77777777" w:rsidR="00A0212B" w:rsidRPr="001B469B" w:rsidRDefault="00A0212B" w:rsidP="000131EC">
                                  <w:pPr>
                                    <w:widowControl/>
                                    <w:spacing w:line="240" w:lineRule="exact"/>
                                    <w:rPr>
                                      <w:rFonts w:ascii="標楷體" w:eastAsia="標楷體" w:hAnsi="標楷體" w:cs="新細明體"/>
                                      <w:color w:val="000000"/>
                                      <w:kern w:val="0"/>
                                      <w:sz w:val="20"/>
                                    </w:rPr>
                                  </w:pPr>
                                </w:p>
                              </w:tc>
                              <w:tc>
                                <w:tcPr>
                                  <w:tcW w:w="690" w:type="pct"/>
                                  <w:tcBorders>
                                    <w:top w:val="single" w:sz="4" w:space="0" w:color="auto"/>
                                    <w:left w:val="nil"/>
                                    <w:bottom w:val="single" w:sz="4" w:space="0" w:color="auto"/>
                                    <w:right w:val="single" w:sz="4" w:space="0" w:color="auto"/>
                                  </w:tcBorders>
                                  <w:shd w:val="clear" w:color="auto" w:fill="auto"/>
                                  <w:vAlign w:val="center"/>
                                </w:tcPr>
                                <w:p w14:paraId="0718BF30"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實現率</w:t>
                                  </w:r>
                                  <w:r w:rsidRPr="0078131B">
                                    <w:rPr>
                                      <w:rFonts w:ascii="標楷體" w:eastAsia="標楷體" w:hAnsi="標楷體" w:cs="新細明體" w:hint="eastAsia"/>
                                      <w:color w:val="000000"/>
                                      <w:spacing w:val="-20"/>
                                      <w:kern w:val="0"/>
                                      <w:sz w:val="20"/>
                                    </w:rPr>
                                    <w:t>（註1）</w:t>
                                  </w:r>
                                </w:p>
                              </w:tc>
                              <w:tc>
                                <w:tcPr>
                                  <w:tcW w:w="509" w:type="pct"/>
                                  <w:gridSpan w:val="2"/>
                                  <w:tcBorders>
                                    <w:top w:val="nil"/>
                                    <w:left w:val="nil"/>
                                    <w:bottom w:val="single" w:sz="4" w:space="0" w:color="auto"/>
                                    <w:right w:val="single" w:sz="4" w:space="0" w:color="auto"/>
                                  </w:tcBorders>
                                  <w:shd w:val="clear" w:color="auto" w:fill="auto"/>
                                  <w:vAlign w:val="center"/>
                                  <w:hideMark/>
                                </w:tcPr>
                                <w:p w14:paraId="5B6B3EFF"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27.28</w:t>
                                  </w:r>
                                </w:p>
                              </w:tc>
                              <w:tc>
                                <w:tcPr>
                                  <w:tcW w:w="517" w:type="pct"/>
                                  <w:tcBorders>
                                    <w:top w:val="nil"/>
                                    <w:left w:val="nil"/>
                                    <w:bottom w:val="single" w:sz="4" w:space="0" w:color="auto"/>
                                    <w:right w:val="single" w:sz="4" w:space="0" w:color="auto"/>
                                  </w:tcBorders>
                                  <w:shd w:val="clear" w:color="auto" w:fill="auto"/>
                                  <w:vAlign w:val="center"/>
                                  <w:hideMark/>
                                </w:tcPr>
                                <w:p w14:paraId="3C5C9D12"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11.45</w:t>
                                  </w:r>
                                </w:p>
                              </w:tc>
                              <w:tc>
                                <w:tcPr>
                                  <w:tcW w:w="864" w:type="pct"/>
                                  <w:gridSpan w:val="2"/>
                                  <w:tcBorders>
                                    <w:top w:val="nil"/>
                                    <w:left w:val="nil"/>
                                    <w:bottom w:val="single" w:sz="4" w:space="0" w:color="auto"/>
                                    <w:right w:val="single" w:sz="4" w:space="0" w:color="auto"/>
                                  </w:tcBorders>
                                  <w:shd w:val="clear" w:color="auto" w:fill="auto"/>
                                  <w:vAlign w:val="center"/>
                                  <w:hideMark/>
                                </w:tcPr>
                                <w:p w14:paraId="48028C9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24D92B0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8.73</w:t>
                                  </w:r>
                                </w:p>
                              </w:tc>
                              <w:tc>
                                <w:tcPr>
                                  <w:tcW w:w="548" w:type="pct"/>
                                  <w:tcBorders>
                                    <w:top w:val="nil"/>
                                    <w:left w:val="nil"/>
                                    <w:bottom w:val="single" w:sz="4" w:space="0" w:color="auto"/>
                                    <w:right w:val="single" w:sz="4" w:space="0" w:color="auto"/>
                                  </w:tcBorders>
                                  <w:shd w:val="clear" w:color="auto" w:fill="auto"/>
                                  <w:vAlign w:val="center"/>
                                  <w:hideMark/>
                                </w:tcPr>
                                <w:p w14:paraId="3A550DD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37.97</w:t>
                                  </w:r>
                                </w:p>
                              </w:tc>
                              <w:tc>
                                <w:tcPr>
                                  <w:tcW w:w="539" w:type="pct"/>
                                  <w:tcBorders>
                                    <w:top w:val="nil"/>
                                    <w:left w:val="nil"/>
                                    <w:bottom w:val="single" w:sz="4" w:space="0" w:color="auto"/>
                                    <w:right w:val="single" w:sz="4" w:space="0" w:color="auto"/>
                                  </w:tcBorders>
                                  <w:shd w:val="clear" w:color="auto" w:fill="auto"/>
                                  <w:vAlign w:val="center"/>
                                  <w:hideMark/>
                                </w:tcPr>
                                <w:p w14:paraId="6C0046C5"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31.91</w:t>
                                  </w:r>
                                </w:p>
                              </w:tc>
                              <w:tc>
                                <w:tcPr>
                                  <w:tcW w:w="539" w:type="pct"/>
                                  <w:tcBorders>
                                    <w:top w:val="nil"/>
                                    <w:left w:val="nil"/>
                                    <w:bottom w:val="single" w:sz="4" w:space="0" w:color="auto"/>
                                    <w:right w:val="single" w:sz="4" w:space="0" w:color="auto"/>
                                  </w:tcBorders>
                                  <w:shd w:val="clear" w:color="auto" w:fill="auto"/>
                                  <w:vAlign w:val="center"/>
                                  <w:hideMark/>
                                </w:tcPr>
                                <w:p w14:paraId="61A7DBB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26.40</w:t>
                                  </w:r>
                                </w:p>
                              </w:tc>
                            </w:tr>
                            <w:tr w:rsidR="00A0212B" w:rsidRPr="001B469B" w14:paraId="04ACFEE6"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74615C63"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5622294A"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應付保留數</w:t>
                                  </w:r>
                                </w:p>
                              </w:tc>
                              <w:tc>
                                <w:tcPr>
                                  <w:tcW w:w="509" w:type="pct"/>
                                  <w:gridSpan w:val="2"/>
                                  <w:tcBorders>
                                    <w:top w:val="nil"/>
                                    <w:left w:val="nil"/>
                                    <w:bottom w:val="single" w:sz="4" w:space="0" w:color="auto"/>
                                    <w:right w:val="single" w:sz="4" w:space="0" w:color="auto"/>
                                  </w:tcBorders>
                                  <w:shd w:val="clear" w:color="auto" w:fill="auto"/>
                                  <w:vAlign w:val="center"/>
                                  <w:hideMark/>
                                </w:tcPr>
                                <w:p w14:paraId="7796E84D"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315,309 </w:t>
                                  </w:r>
                                </w:p>
                              </w:tc>
                              <w:tc>
                                <w:tcPr>
                                  <w:tcW w:w="517" w:type="pct"/>
                                  <w:tcBorders>
                                    <w:top w:val="nil"/>
                                    <w:left w:val="nil"/>
                                    <w:bottom w:val="single" w:sz="4" w:space="0" w:color="auto"/>
                                    <w:right w:val="single" w:sz="4" w:space="0" w:color="auto"/>
                                  </w:tcBorders>
                                  <w:shd w:val="clear" w:color="auto" w:fill="auto"/>
                                  <w:vAlign w:val="center"/>
                                  <w:hideMark/>
                                </w:tcPr>
                                <w:p w14:paraId="735ACBCE"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80,106 </w:t>
                                  </w:r>
                                </w:p>
                              </w:tc>
                              <w:tc>
                                <w:tcPr>
                                  <w:tcW w:w="864" w:type="pct"/>
                                  <w:gridSpan w:val="2"/>
                                  <w:tcBorders>
                                    <w:top w:val="nil"/>
                                    <w:left w:val="nil"/>
                                    <w:bottom w:val="single" w:sz="4" w:space="0" w:color="auto"/>
                                    <w:right w:val="single" w:sz="4" w:space="0" w:color="auto"/>
                                  </w:tcBorders>
                                  <w:shd w:val="clear" w:color="auto" w:fill="auto"/>
                                  <w:vAlign w:val="center"/>
                                  <w:hideMark/>
                                </w:tcPr>
                                <w:p w14:paraId="7D49852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25,325 </w:t>
                                  </w:r>
                                </w:p>
                              </w:tc>
                              <w:tc>
                                <w:tcPr>
                                  <w:tcW w:w="605" w:type="pct"/>
                                  <w:tcBorders>
                                    <w:top w:val="nil"/>
                                    <w:left w:val="nil"/>
                                    <w:bottom w:val="single" w:sz="4" w:space="0" w:color="auto"/>
                                    <w:right w:val="single" w:sz="4" w:space="0" w:color="auto"/>
                                  </w:tcBorders>
                                  <w:shd w:val="clear" w:color="auto" w:fill="auto"/>
                                  <w:vAlign w:val="center"/>
                                  <w:hideMark/>
                                </w:tcPr>
                                <w:p w14:paraId="0886625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44,781 </w:t>
                                  </w:r>
                                </w:p>
                              </w:tc>
                              <w:tc>
                                <w:tcPr>
                                  <w:tcW w:w="548" w:type="pct"/>
                                  <w:tcBorders>
                                    <w:top w:val="nil"/>
                                    <w:left w:val="nil"/>
                                    <w:bottom w:val="single" w:sz="4" w:space="0" w:color="auto"/>
                                    <w:right w:val="single" w:sz="4" w:space="0" w:color="auto"/>
                                  </w:tcBorders>
                                  <w:shd w:val="clear" w:color="auto" w:fill="auto"/>
                                  <w:vAlign w:val="center"/>
                                  <w:hideMark/>
                                </w:tcPr>
                                <w:p w14:paraId="267690F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10,000 </w:t>
                                  </w:r>
                                </w:p>
                              </w:tc>
                              <w:tc>
                                <w:tcPr>
                                  <w:tcW w:w="539" w:type="pct"/>
                                  <w:tcBorders>
                                    <w:top w:val="nil"/>
                                    <w:left w:val="nil"/>
                                    <w:bottom w:val="single" w:sz="4" w:space="0" w:color="auto"/>
                                    <w:right w:val="single" w:sz="4" w:space="0" w:color="auto"/>
                                  </w:tcBorders>
                                  <w:shd w:val="clear" w:color="auto" w:fill="auto"/>
                                  <w:vAlign w:val="center"/>
                                  <w:hideMark/>
                                </w:tcPr>
                                <w:p w14:paraId="2DA4683D"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218,934 </w:t>
                                  </w:r>
                                </w:p>
                              </w:tc>
                              <w:tc>
                                <w:tcPr>
                                  <w:tcW w:w="539" w:type="pct"/>
                                  <w:tcBorders>
                                    <w:top w:val="nil"/>
                                    <w:left w:val="nil"/>
                                    <w:bottom w:val="single" w:sz="4" w:space="0" w:color="auto"/>
                                    <w:right w:val="single" w:sz="4" w:space="0" w:color="auto"/>
                                  </w:tcBorders>
                                  <w:shd w:val="clear" w:color="auto" w:fill="auto"/>
                                  <w:vAlign w:val="center"/>
                                  <w:hideMark/>
                                </w:tcPr>
                                <w:p w14:paraId="173FC67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16,268 </w:t>
                                  </w:r>
                                </w:p>
                              </w:tc>
                            </w:tr>
                            <w:tr w:rsidR="00A0212B" w:rsidRPr="001B469B" w14:paraId="10F60A79" w14:textId="77777777" w:rsidTr="004D7C92">
                              <w:trPr>
                                <w:trHeight w:hRule="exact" w:val="340"/>
                                <w:jc w:val="center"/>
                              </w:trPr>
                              <w:tc>
                                <w:tcPr>
                                  <w:tcW w:w="124" w:type="pct"/>
                                  <w:vMerge/>
                                  <w:tcBorders>
                                    <w:left w:val="single" w:sz="4" w:space="0" w:color="auto"/>
                                    <w:bottom w:val="single" w:sz="4" w:space="0" w:color="auto"/>
                                    <w:right w:val="single" w:sz="4" w:space="0" w:color="auto"/>
                                  </w:tcBorders>
                                  <w:shd w:val="clear" w:color="auto" w:fill="auto"/>
                                  <w:vAlign w:val="center"/>
                                  <w:hideMark/>
                                </w:tcPr>
                                <w:p w14:paraId="7BBB7E37"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62E5FAD1"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減免(註銷)數</w:t>
                                  </w:r>
                                </w:p>
                              </w:tc>
                              <w:tc>
                                <w:tcPr>
                                  <w:tcW w:w="509" w:type="pct"/>
                                  <w:gridSpan w:val="2"/>
                                  <w:tcBorders>
                                    <w:top w:val="nil"/>
                                    <w:left w:val="nil"/>
                                    <w:bottom w:val="single" w:sz="4" w:space="0" w:color="auto"/>
                                    <w:right w:val="single" w:sz="4" w:space="0" w:color="auto"/>
                                  </w:tcBorders>
                                  <w:shd w:val="clear" w:color="auto" w:fill="auto"/>
                                  <w:vAlign w:val="center"/>
                                  <w:hideMark/>
                                </w:tcPr>
                                <w:p w14:paraId="2BD4011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2,191 </w:t>
                                  </w:r>
                                </w:p>
                              </w:tc>
                              <w:tc>
                                <w:tcPr>
                                  <w:tcW w:w="517" w:type="pct"/>
                                  <w:tcBorders>
                                    <w:top w:val="nil"/>
                                    <w:left w:val="nil"/>
                                    <w:bottom w:val="single" w:sz="4" w:space="0" w:color="auto"/>
                                    <w:right w:val="single" w:sz="4" w:space="0" w:color="auto"/>
                                  </w:tcBorders>
                                  <w:shd w:val="clear" w:color="auto" w:fill="auto"/>
                                  <w:vAlign w:val="center"/>
                                  <w:hideMark/>
                                </w:tcPr>
                                <w:p w14:paraId="7F39942E"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2,191 </w:t>
                                  </w:r>
                                </w:p>
                              </w:tc>
                              <w:tc>
                                <w:tcPr>
                                  <w:tcW w:w="864" w:type="pct"/>
                                  <w:gridSpan w:val="2"/>
                                  <w:tcBorders>
                                    <w:top w:val="nil"/>
                                    <w:left w:val="nil"/>
                                    <w:bottom w:val="single" w:sz="4" w:space="0" w:color="auto"/>
                                    <w:right w:val="single" w:sz="4" w:space="0" w:color="auto"/>
                                  </w:tcBorders>
                                  <w:shd w:val="clear" w:color="auto" w:fill="auto"/>
                                  <w:vAlign w:val="center"/>
                                  <w:hideMark/>
                                </w:tcPr>
                                <w:p w14:paraId="5EF6B2F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393C196D"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2,140 </w:t>
                                  </w:r>
                                </w:p>
                              </w:tc>
                              <w:tc>
                                <w:tcPr>
                                  <w:tcW w:w="548" w:type="pct"/>
                                  <w:tcBorders>
                                    <w:top w:val="nil"/>
                                    <w:left w:val="nil"/>
                                    <w:bottom w:val="single" w:sz="4" w:space="0" w:color="auto"/>
                                    <w:right w:val="single" w:sz="4" w:space="0" w:color="auto"/>
                                  </w:tcBorders>
                                  <w:shd w:val="clear" w:color="auto" w:fill="auto"/>
                                  <w:vAlign w:val="center"/>
                                  <w:hideMark/>
                                </w:tcPr>
                                <w:p w14:paraId="51A83BD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51 </w:t>
                                  </w:r>
                                </w:p>
                              </w:tc>
                              <w:tc>
                                <w:tcPr>
                                  <w:tcW w:w="539" w:type="pct"/>
                                  <w:tcBorders>
                                    <w:top w:val="nil"/>
                                    <w:left w:val="nil"/>
                                    <w:bottom w:val="single" w:sz="4" w:space="0" w:color="auto"/>
                                    <w:right w:val="single" w:sz="4" w:space="0" w:color="auto"/>
                                  </w:tcBorders>
                                  <w:shd w:val="clear" w:color="auto" w:fill="auto"/>
                                  <w:vAlign w:val="center"/>
                                  <w:hideMark/>
                                </w:tcPr>
                                <w:p w14:paraId="3E0BBD3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6367676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r>
                            <w:tr w:rsidR="00A0212B" w:rsidRPr="001B469B" w14:paraId="2DC5884D" w14:textId="77777777" w:rsidTr="004D7C92">
                              <w:trPr>
                                <w:trHeight w:hRule="exact" w:val="340"/>
                                <w:jc w:val="center"/>
                              </w:trPr>
                              <w:tc>
                                <w:tcPr>
                                  <w:tcW w:w="124" w:type="pct"/>
                                  <w:vMerge w:val="restart"/>
                                  <w:tcBorders>
                                    <w:top w:val="nil"/>
                                    <w:left w:val="single" w:sz="4" w:space="0" w:color="auto"/>
                                    <w:right w:val="single" w:sz="4" w:space="0" w:color="auto"/>
                                  </w:tcBorders>
                                  <w:shd w:val="clear" w:color="auto" w:fill="auto"/>
                                  <w:vAlign w:val="center"/>
                                  <w:hideMark/>
                                </w:tcPr>
                                <w:p w14:paraId="49FC7EB3"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第2期</w:t>
                                  </w:r>
                                </w:p>
                              </w:tc>
                              <w:tc>
                                <w:tcPr>
                                  <w:tcW w:w="756" w:type="pct"/>
                                  <w:gridSpan w:val="2"/>
                                  <w:tcBorders>
                                    <w:top w:val="nil"/>
                                    <w:left w:val="nil"/>
                                    <w:bottom w:val="single" w:sz="4" w:space="0" w:color="auto"/>
                                    <w:right w:val="single" w:sz="4" w:space="0" w:color="auto"/>
                                  </w:tcBorders>
                                  <w:shd w:val="clear" w:color="auto" w:fill="auto"/>
                                  <w:vAlign w:val="center"/>
                                  <w:hideMark/>
                                </w:tcPr>
                                <w:p w14:paraId="76958273"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以前年度轉入數</w:t>
                                  </w:r>
                                </w:p>
                              </w:tc>
                              <w:tc>
                                <w:tcPr>
                                  <w:tcW w:w="509" w:type="pct"/>
                                  <w:gridSpan w:val="2"/>
                                  <w:tcBorders>
                                    <w:top w:val="nil"/>
                                    <w:left w:val="nil"/>
                                    <w:bottom w:val="single" w:sz="4" w:space="0" w:color="auto"/>
                                    <w:right w:val="single" w:sz="4" w:space="0" w:color="auto"/>
                                  </w:tcBorders>
                                  <w:shd w:val="clear" w:color="auto" w:fill="auto"/>
                                  <w:vAlign w:val="center"/>
                                  <w:hideMark/>
                                </w:tcPr>
                                <w:p w14:paraId="60BA656B"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3,573,226 </w:t>
                                  </w:r>
                                </w:p>
                              </w:tc>
                              <w:tc>
                                <w:tcPr>
                                  <w:tcW w:w="517" w:type="pct"/>
                                  <w:tcBorders>
                                    <w:top w:val="nil"/>
                                    <w:left w:val="nil"/>
                                    <w:bottom w:val="single" w:sz="4" w:space="0" w:color="auto"/>
                                    <w:right w:val="single" w:sz="4" w:space="0" w:color="auto"/>
                                  </w:tcBorders>
                                  <w:shd w:val="clear" w:color="auto" w:fill="auto"/>
                                  <w:vAlign w:val="center"/>
                                  <w:hideMark/>
                                </w:tcPr>
                                <w:p w14:paraId="69D1AC96"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2,274,821 </w:t>
                                  </w:r>
                                </w:p>
                              </w:tc>
                              <w:tc>
                                <w:tcPr>
                                  <w:tcW w:w="864" w:type="pct"/>
                                  <w:gridSpan w:val="2"/>
                                  <w:tcBorders>
                                    <w:top w:val="nil"/>
                                    <w:left w:val="nil"/>
                                    <w:bottom w:val="single" w:sz="4" w:space="0" w:color="auto"/>
                                    <w:right w:val="single" w:sz="4" w:space="0" w:color="auto"/>
                                  </w:tcBorders>
                                  <w:shd w:val="clear" w:color="auto" w:fill="auto"/>
                                  <w:vAlign w:val="center"/>
                                  <w:hideMark/>
                                </w:tcPr>
                                <w:p w14:paraId="2BD6D3D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55,000 </w:t>
                                  </w:r>
                                </w:p>
                              </w:tc>
                              <w:tc>
                                <w:tcPr>
                                  <w:tcW w:w="605" w:type="pct"/>
                                  <w:tcBorders>
                                    <w:top w:val="nil"/>
                                    <w:left w:val="nil"/>
                                    <w:bottom w:val="single" w:sz="4" w:space="0" w:color="auto"/>
                                    <w:right w:val="single" w:sz="4" w:space="0" w:color="auto"/>
                                  </w:tcBorders>
                                  <w:shd w:val="clear" w:color="auto" w:fill="auto"/>
                                  <w:vAlign w:val="center"/>
                                  <w:hideMark/>
                                </w:tcPr>
                                <w:p w14:paraId="6B8A387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2,158,121 </w:t>
                                  </w:r>
                                </w:p>
                              </w:tc>
                              <w:tc>
                                <w:tcPr>
                                  <w:tcW w:w="548" w:type="pct"/>
                                  <w:tcBorders>
                                    <w:top w:val="nil"/>
                                    <w:left w:val="nil"/>
                                    <w:bottom w:val="single" w:sz="4" w:space="0" w:color="auto"/>
                                    <w:right w:val="single" w:sz="4" w:space="0" w:color="auto"/>
                                  </w:tcBorders>
                                  <w:shd w:val="clear" w:color="auto" w:fill="auto"/>
                                  <w:vAlign w:val="center"/>
                                  <w:hideMark/>
                                </w:tcPr>
                                <w:p w14:paraId="30A5517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61,700 </w:t>
                                  </w:r>
                                </w:p>
                              </w:tc>
                              <w:tc>
                                <w:tcPr>
                                  <w:tcW w:w="539" w:type="pct"/>
                                  <w:tcBorders>
                                    <w:top w:val="nil"/>
                                    <w:left w:val="nil"/>
                                    <w:bottom w:val="single" w:sz="4" w:space="0" w:color="auto"/>
                                    <w:right w:val="single" w:sz="4" w:space="0" w:color="auto"/>
                                  </w:tcBorders>
                                  <w:shd w:val="clear" w:color="auto" w:fill="auto"/>
                                  <w:vAlign w:val="center"/>
                                  <w:hideMark/>
                                </w:tcPr>
                                <w:p w14:paraId="51336ECA"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1,037,000 </w:t>
                                  </w:r>
                                </w:p>
                              </w:tc>
                              <w:tc>
                                <w:tcPr>
                                  <w:tcW w:w="539" w:type="pct"/>
                                  <w:tcBorders>
                                    <w:top w:val="nil"/>
                                    <w:left w:val="nil"/>
                                    <w:bottom w:val="single" w:sz="4" w:space="0" w:color="auto"/>
                                    <w:right w:val="single" w:sz="4" w:space="0" w:color="auto"/>
                                  </w:tcBorders>
                                  <w:shd w:val="clear" w:color="auto" w:fill="auto"/>
                                  <w:vAlign w:val="center"/>
                                  <w:hideMark/>
                                </w:tcPr>
                                <w:p w14:paraId="3D2E217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261,404 </w:t>
                                  </w:r>
                                </w:p>
                              </w:tc>
                            </w:tr>
                            <w:tr w:rsidR="00A0212B" w:rsidRPr="001B469B" w14:paraId="427F7037"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0E0AB7CF"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right w:val="single" w:sz="4" w:space="0" w:color="auto"/>
                                  </w:tcBorders>
                                  <w:shd w:val="clear" w:color="auto" w:fill="auto"/>
                                  <w:vAlign w:val="center"/>
                                </w:tcPr>
                                <w:p w14:paraId="4C3A3EC4"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實現數</w:t>
                                  </w:r>
                                </w:p>
                              </w:tc>
                              <w:tc>
                                <w:tcPr>
                                  <w:tcW w:w="509" w:type="pct"/>
                                  <w:gridSpan w:val="2"/>
                                  <w:tcBorders>
                                    <w:top w:val="nil"/>
                                    <w:left w:val="nil"/>
                                    <w:bottom w:val="single" w:sz="4" w:space="0" w:color="auto"/>
                                    <w:right w:val="single" w:sz="4" w:space="0" w:color="auto"/>
                                  </w:tcBorders>
                                  <w:shd w:val="clear" w:color="auto" w:fill="auto"/>
                                  <w:vAlign w:val="center"/>
                                  <w:hideMark/>
                                </w:tcPr>
                                <w:p w14:paraId="7186B26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945,078 </w:t>
                                  </w:r>
                                </w:p>
                              </w:tc>
                              <w:tc>
                                <w:tcPr>
                                  <w:tcW w:w="517" w:type="pct"/>
                                  <w:tcBorders>
                                    <w:top w:val="nil"/>
                                    <w:left w:val="nil"/>
                                    <w:bottom w:val="single" w:sz="4" w:space="0" w:color="auto"/>
                                    <w:right w:val="single" w:sz="4" w:space="0" w:color="auto"/>
                                  </w:tcBorders>
                                  <w:shd w:val="clear" w:color="auto" w:fill="auto"/>
                                  <w:vAlign w:val="center"/>
                                  <w:hideMark/>
                                </w:tcPr>
                                <w:p w14:paraId="57761086"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514,872 </w:t>
                                  </w:r>
                                </w:p>
                              </w:tc>
                              <w:tc>
                                <w:tcPr>
                                  <w:tcW w:w="864" w:type="pct"/>
                                  <w:gridSpan w:val="2"/>
                                  <w:tcBorders>
                                    <w:top w:val="nil"/>
                                    <w:left w:val="nil"/>
                                    <w:bottom w:val="single" w:sz="4" w:space="0" w:color="auto"/>
                                    <w:right w:val="single" w:sz="4" w:space="0" w:color="auto"/>
                                  </w:tcBorders>
                                  <w:shd w:val="clear" w:color="auto" w:fill="auto"/>
                                  <w:vAlign w:val="center"/>
                                  <w:hideMark/>
                                </w:tcPr>
                                <w:p w14:paraId="6764C41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1FC27C6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514,872 </w:t>
                                  </w:r>
                                </w:p>
                              </w:tc>
                              <w:tc>
                                <w:tcPr>
                                  <w:tcW w:w="548" w:type="pct"/>
                                  <w:tcBorders>
                                    <w:top w:val="nil"/>
                                    <w:left w:val="nil"/>
                                    <w:bottom w:val="single" w:sz="4" w:space="0" w:color="auto"/>
                                    <w:right w:val="single" w:sz="4" w:space="0" w:color="auto"/>
                                  </w:tcBorders>
                                  <w:shd w:val="clear" w:color="auto" w:fill="auto"/>
                                  <w:vAlign w:val="center"/>
                                  <w:hideMark/>
                                </w:tcPr>
                                <w:p w14:paraId="032BF036"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47AB0B3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374,143 </w:t>
                                  </w:r>
                                </w:p>
                              </w:tc>
                              <w:tc>
                                <w:tcPr>
                                  <w:tcW w:w="539" w:type="pct"/>
                                  <w:tcBorders>
                                    <w:top w:val="nil"/>
                                    <w:left w:val="nil"/>
                                    <w:bottom w:val="single" w:sz="4" w:space="0" w:color="auto"/>
                                    <w:right w:val="single" w:sz="4" w:space="0" w:color="auto"/>
                                  </w:tcBorders>
                                  <w:shd w:val="clear" w:color="auto" w:fill="auto"/>
                                  <w:vAlign w:val="center"/>
                                  <w:hideMark/>
                                </w:tcPr>
                                <w:p w14:paraId="07D99D9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56,063 </w:t>
                                  </w:r>
                                </w:p>
                              </w:tc>
                            </w:tr>
                            <w:tr w:rsidR="00A0212B" w:rsidRPr="001B469B" w14:paraId="57FCE166"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2E00B6F6"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66" w:type="pct"/>
                                  <w:tcBorders>
                                    <w:top w:val="nil"/>
                                    <w:left w:val="nil"/>
                                    <w:bottom w:val="single" w:sz="4" w:space="0" w:color="auto"/>
                                    <w:right w:val="single" w:sz="4" w:space="0" w:color="auto"/>
                                  </w:tcBorders>
                                  <w:shd w:val="clear" w:color="auto" w:fill="auto"/>
                                  <w:vAlign w:val="center"/>
                                </w:tcPr>
                                <w:p w14:paraId="6C77D20F" w14:textId="77777777" w:rsidR="00A0212B" w:rsidRPr="001B469B" w:rsidRDefault="00A0212B" w:rsidP="000131EC">
                                  <w:pPr>
                                    <w:widowControl/>
                                    <w:spacing w:line="240" w:lineRule="exact"/>
                                    <w:rPr>
                                      <w:rFonts w:ascii="標楷體" w:eastAsia="標楷體" w:hAnsi="標楷體" w:cs="新細明體"/>
                                      <w:color w:val="000000"/>
                                      <w:kern w:val="0"/>
                                      <w:sz w:val="20"/>
                                    </w:rPr>
                                  </w:pPr>
                                </w:p>
                              </w:tc>
                              <w:tc>
                                <w:tcPr>
                                  <w:tcW w:w="690" w:type="pct"/>
                                  <w:tcBorders>
                                    <w:top w:val="single" w:sz="4" w:space="0" w:color="auto"/>
                                    <w:left w:val="nil"/>
                                    <w:bottom w:val="single" w:sz="4" w:space="0" w:color="auto"/>
                                    <w:right w:val="single" w:sz="4" w:space="0" w:color="auto"/>
                                  </w:tcBorders>
                                  <w:shd w:val="clear" w:color="auto" w:fill="auto"/>
                                  <w:vAlign w:val="center"/>
                                </w:tcPr>
                                <w:p w14:paraId="4BC2695B"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實現率</w:t>
                                  </w:r>
                                  <w:r w:rsidRPr="0078131B">
                                    <w:rPr>
                                      <w:rFonts w:ascii="標楷體" w:eastAsia="標楷體" w:hAnsi="標楷體" w:cs="新細明體" w:hint="eastAsia"/>
                                      <w:color w:val="000000"/>
                                      <w:spacing w:val="-20"/>
                                      <w:kern w:val="0"/>
                                      <w:sz w:val="20"/>
                                    </w:rPr>
                                    <w:t>（註1）</w:t>
                                  </w:r>
                                </w:p>
                              </w:tc>
                              <w:tc>
                                <w:tcPr>
                                  <w:tcW w:w="509" w:type="pct"/>
                                  <w:gridSpan w:val="2"/>
                                  <w:tcBorders>
                                    <w:top w:val="nil"/>
                                    <w:left w:val="nil"/>
                                    <w:bottom w:val="single" w:sz="4" w:space="0" w:color="auto"/>
                                    <w:right w:val="single" w:sz="4" w:space="0" w:color="auto"/>
                                  </w:tcBorders>
                                  <w:shd w:val="clear" w:color="auto" w:fill="auto"/>
                                  <w:vAlign w:val="center"/>
                                  <w:hideMark/>
                                </w:tcPr>
                                <w:p w14:paraId="7C50B513"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26.45</w:t>
                                  </w:r>
                                </w:p>
                              </w:tc>
                              <w:tc>
                                <w:tcPr>
                                  <w:tcW w:w="517" w:type="pct"/>
                                  <w:tcBorders>
                                    <w:top w:val="nil"/>
                                    <w:left w:val="nil"/>
                                    <w:bottom w:val="single" w:sz="4" w:space="0" w:color="auto"/>
                                    <w:right w:val="single" w:sz="4" w:space="0" w:color="auto"/>
                                  </w:tcBorders>
                                  <w:shd w:val="clear" w:color="auto" w:fill="auto"/>
                                  <w:vAlign w:val="center"/>
                                  <w:hideMark/>
                                </w:tcPr>
                                <w:p w14:paraId="3F3FA51F"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22.63</w:t>
                                  </w:r>
                                </w:p>
                              </w:tc>
                              <w:tc>
                                <w:tcPr>
                                  <w:tcW w:w="864" w:type="pct"/>
                                  <w:gridSpan w:val="2"/>
                                  <w:tcBorders>
                                    <w:top w:val="nil"/>
                                    <w:left w:val="nil"/>
                                    <w:bottom w:val="single" w:sz="4" w:space="0" w:color="auto"/>
                                    <w:right w:val="single" w:sz="4" w:space="0" w:color="auto"/>
                                  </w:tcBorders>
                                  <w:shd w:val="clear" w:color="auto" w:fill="auto"/>
                                  <w:vAlign w:val="center"/>
                                  <w:hideMark/>
                                </w:tcPr>
                                <w:p w14:paraId="07AE5CA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472408BE"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23.86</w:t>
                                  </w:r>
                                </w:p>
                              </w:tc>
                              <w:tc>
                                <w:tcPr>
                                  <w:tcW w:w="548" w:type="pct"/>
                                  <w:tcBorders>
                                    <w:top w:val="nil"/>
                                    <w:left w:val="nil"/>
                                    <w:bottom w:val="single" w:sz="4" w:space="0" w:color="auto"/>
                                    <w:right w:val="single" w:sz="4" w:space="0" w:color="auto"/>
                                  </w:tcBorders>
                                  <w:shd w:val="clear" w:color="auto" w:fill="auto"/>
                                  <w:vAlign w:val="center"/>
                                  <w:hideMark/>
                                </w:tcPr>
                                <w:p w14:paraId="4C7037B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0816476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36.08</w:t>
                                  </w:r>
                                </w:p>
                              </w:tc>
                              <w:tc>
                                <w:tcPr>
                                  <w:tcW w:w="539" w:type="pct"/>
                                  <w:tcBorders>
                                    <w:top w:val="nil"/>
                                    <w:left w:val="nil"/>
                                    <w:bottom w:val="single" w:sz="4" w:space="0" w:color="auto"/>
                                    <w:right w:val="single" w:sz="4" w:space="0" w:color="auto"/>
                                  </w:tcBorders>
                                  <w:shd w:val="clear" w:color="auto" w:fill="auto"/>
                                  <w:vAlign w:val="center"/>
                                  <w:hideMark/>
                                </w:tcPr>
                                <w:p w14:paraId="59BD8DF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21.45</w:t>
                                  </w:r>
                                </w:p>
                              </w:tc>
                            </w:tr>
                            <w:tr w:rsidR="00A0212B" w:rsidRPr="001B469B" w14:paraId="051B4E59"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1B5FF2A1"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4AEBC588"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應付保留數</w:t>
                                  </w:r>
                                </w:p>
                              </w:tc>
                              <w:tc>
                                <w:tcPr>
                                  <w:tcW w:w="509" w:type="pct"/>
                                  <w:gridSpan w:val="2"/>
                                  <w:tcBorders>
                                    <w:top w:val="nil"/>
                                    <w:left w:val="nil"/>
                                    <w:bottom w:val="single" w:sz="4" w:space="0" w:color="auto"/>
                                    <w:right w:val="single" w:sz="4" w:space="0" w:color="auto"/>
                                  </w:tcBorders>
                                  <w:shd w:val="clear" w:color="auto" w:fill="auto"/>
                                  <w:vAlign w:val="center"/>
                                  <w:hideMark/>
                                </w:tcPr>
                                <w:p w14:paraId="5205D157"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2,623,599 </w:t>
                                  </w:r>
                                </w:p>
                              </w:tc>
                              <w:tc>
                                <w:tcPr>
                                  <w:tcW w:w="517" w:type="pct"/>
                                  <w:tcBorders>
                                    <w:top w:val="nil"/>
                                    <w:left w:val="nil"/>
                                    <w:bottom w:val="single" w:sz="4" w:space="0" w:color="auto"/>
                                    <w:right w:val="single" w:sz="4" w:space="0" w:color="auto"/>
                                  </w:tcBorders>
                                  <w:shd w:val="clear" w:color="auto" w:fill="auto"/>
                                  <w:vAlign w:val="center"/>
                                  <w:hideMark/>
                                </w:tcPr>
                                <w:p w14:paraId="443CD5C4"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1,759,519 </w:t>
                                  </w:r>
                                </w:p>
                              </w:tc>
                              <w:tc>
                                <w:tcPr>
                                  <w:tcW w:w="864" w:type="pct"/>
                                  <w:gridSpan w:val="2"/>
                                  <w:tcBorders>
                                    <w:top w:val="nil"/>
                                    <w:left w:val="nil"/>
                                    <w:bottom w:val="single" w:sz="4" w:space="0" w:color="auto"/>
                                    <w:right w:val="single" w:sz="4" w:space="0" w:color="auto"/>
                                  </w:tcBorders>
                                  <w:shd w:val="clear" w:color="auto" w:fill="auto"/>
                                  <w:vAlign w:val="center"/>
                                  <w:hideMark/>
                                </w:tcPr>
                                <w:p w14:paraId="6CE18DE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55,000 </w:t>
                                  </w:r>
                                </w:p>
                              </w:tc>
                              <w:tc>
                                <w:tcPr>
                                  <w:tcW w:w="605" w:type="pct"/>
                                  <w:tcBorders>
                                    <w:top w:val="nil"/>
                                    <w:left w:val="nil"/>
                                    <w:bottom w:val="single" w:sz="4" w:space="0" w:color="auto"/>
                                    <w:right w:val="single" w:sz="4" w:space="0" w:color="auto"/>
                                  </w:tcBorders>
                                  <w:shd w:val="clear" w:color="auto" w:fill="auto"/>
                                  <w:vAlign w:val="center"/>
                                  <w:hideMark/>
                                </w:tcPr>
                                <w:p w14:paraId="240DBE9F"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1,643,249 </w:t>
                                  </w:r>
                                </w:p>
                              </w:tc>
                              <w:tc>
                                <w:tcPr>
                                  <w:tcW w:w="548" w:type="pct"/>
                                  <w:tcBorders>
                                    <w:top w:val="nil"/>
                                    <w:left w:val="nil"/>
                                    <w:bottom w:val="single" w:sz="4" w:space="0" w:color="auto"/>
                                    <w:right w:val="single" w:sz="4" w:space="0" w:color="auto"/>
                                  </w:tcBorders>
                                  <w:shd w:val="clear" w:color="auto" w:fill="auto"/>
                                  <w:vAlign w:val="center"/>
                                  <w:hideMark/>
                                </w:tcPr>
                                <w:p w14:paraId="3E569C3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61,270 </w:t>
                                  </w:r>
                                </w:p>
                              </w:tc>
                              <w:tc>
                                <w:tcPr>
                                  <w:tcW w:w="539" w:type="pct"/>
                                  <w:tcBorders>
                                    <w:top w:val="nil"/>
                                    <w:left w:val="nil"/>
                                    <w:bottom w:val="single" w:sz="4" w:space="0" w:color="auto"/>
                                    <w:right w:val="single" w:sz="4" w:space="0" w:color="auto"/>
                                  </w:tcBorders>
                                  <w:shd w:val="clear" w:color="auto" w:fill="auto"/>
                                  <w:vAlign w:val="center"/>
                                  <w:hideMark/>
                                </w:tcPr>
                                <w:p w14:paraId="1BB414F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662,857 </w:t>
                                  </w:r>
                                </w:p>
                              </w:tc>
                              <w:tc>
                                <w:tcPr>
                                  <w:tcW w:w="539" w:type="pct"/>
                                  <w:tcBorders>
                                    <w:top w:val="nil"/>
                                    <w:left w:val="nil"/>
                                    <w:bottom w:val="single" w:sz="4" w:space="0" w:color="auto"/>
                                    <w:right w:val="single" w:sz="4" w:space="0" w:color="auto"/>
                                  </w:tcBorders>
                                  <w:shd w:val="clear" w:color="auto" w:fill="auto"/>
                                  <w:vAlign w:val="center"/>
                                  <w:hideMark/>
                                </w:tcPr>
                                <w:p w14:paraId="669534E6"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201,222 </w:t>
                                  </w:r>
                                </w:p>
                              </w:tc>
                            </w:tr>
                            <w:tr w:rsidR="00A0212B" w:rsidRPr="001B469B" w14:paraId="2D3DD74F" w14:textId="77777777" w:rsidTr="004D7C92">
                              <w:trPr>
                                <w:trHeight w:hRule="exact" w:val="340"/>
                                <w:jc w:val="center"/>
                              </w:trPr>
                              <w:tc>
                                <w:tcPr>
                                  <w:tcW w:w="124" w:type="pct"/>
                                  <w:vMerge/>
                                  <w:tcBorders>
                                    <w:left w:val="single" w:sz="4" w:space="0" w:color="auto"/>
                                    <w:bottom w:val="single" w:sz="4" w:space="0" w:color="auto"/>
                                    <w:right w:val="single" w:sz="4" w:space="0" w:color="auto"/>
                                  </w:tcBorders>
                                  <w:shd w:val="clear" w:color="auto" w:fill="auto"/>
                                  <w:vAlign w:val="center"/>
                                  <w:hideMark/>
                                </w:tcPr>
                                <w:p w14:paraId="03996A4D"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2F8FC7C4"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減免(註銷)數</w:t>
                                  </w:r>
                                </w:p>
                              </w:tc>
                              <w:tc>
                                <w:tcPr>
                                  <w:tcW w:w="509" w:type="pct"/>
                                  <w:gridSpan w:val="2"/>
                                  <w:tcBorders>
                                    <w:top w:val="nil"/>
                                    <w:left w:val="nil"/>
                                    <w:bottom w:val="single" w:sz="4" w:space="0" w:color="auto"/>
                                    <w:right w:val="single" w:sz="4" w:space="0" w:color="auto"/>
                                  </w:tcBorders>
                                  <w:shd w:val="clear" w:color="auto" w:fill="auto"/>
                                  <w:vAlign w:val="center"/>
                                  <w:hideMark/>
                                </w:tcPr>
                                <w:p w14:paraId="39EF821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4,548 </w:t>
                                  </w:r>
                                </w:p>
                              </w:tc>
                              <w:tc>
                                <w:tcPr>
                                  <w:tcW w:w="517" w:type="pct"/>
                                  <w:tcBorders>
                                    <w:top w:val="nil"/>
                                    <w:left w:val="nil"/>
                                    <w:bottom w:val="single" w:sz="4" w:space="0" w:color="auto"/>
                                    <w:right w:val="single" w:sz="4" w:space="0" w:color="auto"/>
                                  </w:tcBorders>
                                  <w:shd w:val="clear" w:color="auto" w:fill="auto"/>
                                  <w:vAlign w:val="center"/>
                                  <w:hideMark/>
                                </w:tcPr>
                                <w:p w14:paraId="345EAF0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430 </w:t>
                                  </w:r>
                                </w:p>
                              </w:tc>
                              <w:tc>
                                <w:tcPr>
                                  <w:tcW w:w="864" w:type="pct"/>
                                  <w:gridSpan w:val="2"/>
                                  <w:tcBorders>
                                    <w:top w:val="nil"/>
                                    <w:left w:val="nil"/>
                                    <w:bottom w:val="single" w:sz="4" w:space="0" w:color="auto"/>
                                    <w:right w:val="single" w:sz="4" w:space="0" w:color="auto"/>
                                  </w:tcBorders>
                                  <w:shd w:val="clear" w:color="auto" w:fill="auto"/>
                                  <w:vAlign w:val="center"/>
                                  <w:hideMark/>
                                </w:tcPr>
                                <w:p w14:paraId="2F6D975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1A54428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48" w:type="pct"/>
                                  <w:tcBorders>
                                    <w:top w:val="nil"/>
                                    <w:left w:val="nil"/>
                                    <w:bottom w:val="single" w:sz="4" w:space="0" w:color="auto"/>
                                    <w:right w:val="single" w:sz="4" w:space="0" w:color="auto"/>
                                  </w:tcBorders>
                                  <w:shd w:val="clear" w:color="auto" w:fill="auto"/>
                                  <w:vAlign w:val="center"/>
                                  <w:hideMark/>
                                </w:tcPr>
                                <w:p w14:paraId="2D89A916"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430 </w:t>
                                  </w:r>
                                </w:p>
                              </w:tc>
                              <w:tc>
                                <w:tcPr>
                                  <w:tcW w:w="539" w:type="pct"/>
                                  <w:tcBorders>
                                    <w:top w:val="nil"/>
                                    <w:left w:val="nil"/>
                                    <w:bottom w:val="single" w:sz="4" w:space="0" w:color="auto"/>
                                    <w:right w:val="single" w:sz="4" w:space="0" w:color="auto"/>
                                  </w:tcBorders>
                                  <w:shd w:val="clear" w:color="auto" w:fill="auto"/>
                                  <w:vAlign w:val="center"/>
                                  <w:hideMark/>
                                </w:tcPr>
                                <w:p w14:paraId="15287BA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4D1B594E"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4,118 </w:t>
                                  </w:r>
                                </w:p>
                              </w:tc>
                            </w:tr>
                            <w:tr w:rsidR="00A0212B" w:rsidRPr="001B469B" w14:paraId="4624E105" w14:textId="77777777" w:rsidTr="004D7C92">
                              <w:trPr>
                                <w:trHeight w:hRule="exact" w:val="340"/>
                                <w:jc w:val="center"/>
                              </w:trPr>
                              <w:tc>
                                <w:tcPr>
                                  <w:tcW w:w="124" w:type="pct"/>
                                  <w:vMerge w:val="restart"/>
                                  <w:tcBorders>
                                    <w:top w:val="nil"/>
                                    <w:left w:val="single" w:sz="4" w:space="0" w:color="auto"/>
                                    <w:right w:val="single" w:sz="4" w:space="0" w:color="auto"/>
                                  </w:tcBorders>
                                  <w:shd w:val="clear" w:color="auto" w:fill="auto"/>
                                  <w:vAlign w:val="center"/>
                                  <w:hideMark/>
                                </w:tcPr>
                                <w:p w14:paraId="3879C099"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第3期</w:t>
                                  </w:r>
                                </w:p>
                              </w:tc>
                              <w:tc>
                                <w:tcPr>
                                  <w:tcW w:w="756" w:type="pct"/>
                                  <w:gridSpan w:val="2"/>
                                  <w:tcBorders>
                                    <w:top w:val="nil"/>
                                    <w:left w:val="nil"/>
                                    <w:bottom w:val="single" w:sz="4" w:space="0" w:color="auto"/>
                                    <w:right w:val="single" w:sz="4" w:space="0" w:color="auto"/>
                                  </w:tcBorders>
                                  <w:shd w:val="clear" w:color="auto" w:fill="auto"/>
                                  <w:vAlign w:val="center"/>
                                  <w:hideMark/>
                                </w:tcPr>
                                <w:p w14:paraId="31DE91B0"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以前年度轉入數</w:t>
                                  </w:r>
                                </w:p>
                              </w:tc>
                              <w:tc>
                                <w:tcPr>
                                  <w:tcW w:w="509" w:type="pct"/>
                                  <w:gridSpan w:val="2"/>
                                  <w:tcBorders>
                                    <w:top w:val="nil"/>
                                    <w:left w:val="nil"/>
                                    <w:bottom w:val="single" w:sz="4" w:space="0" w:color="auto"/>
                                    <w:right w:val="single" w:sz="4" w:space="0" w:color="auto"/>
                                  </w:tcBorders>
                                  <w:shd w:val="clear" w:color="auto" w:fill="auto"/>
                                  <w:vAlign w:val="center"/>
                                  <w:hideMark/>
                                </w:tcPr>
                                <w:p w14:paraId="4287DA3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9,739,180 </w:t>
                                  </w:r>
                                </w:p>
                              </w:tc>
                              <w:tc>
                                <w:tcPr>
                                  <w:tcW w:w="517" w:type="pct"/>
                                  <w:tcBorders>
                                    <w:top w:val="nil"/>
                                    <w:left w:val="nil"/>
                                    <w:bottom w:val="single" w:sz="4" w:space="0" w:color="auto"/>
                                    <w:right w:val="single" w:sz="4" w:space="0" w:color="auto"/>
                                  </w:tcBorders>
                                  <w:shd w:val="clear" w:color="auto" w:fill="auto"/>
                                  <w:vAlign w:val="center"/>
                                  <w:hideMark/>
                                </w:tcPr>
                                <w:p w14:paraId="70CA47B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9,397,868 </w:t>
                                  </w:r>
                                </w:p>
                              </w:tc>
                              <w:tc>
                                <w:tcPr>
                                  <w:tcW w:w="864" w:type="pct"/>
                                  <w:gridSpan w:val="2"/>
                                  <w:tcBorders>
                                    <w:top w:val="nil"/>
                                    <w:left w:val="nil"/>
                                    <w:bottom w:val="single" w:sz="4" w:space="0" w:color="auto"/>
                                    <w:right w:val="single" w:sz="4" w:space="0" w:color="auto"/>
                                  </w:tcBorders>
                                  <w:shd w:val="clear" w:color="auto" w:fill="auto"/>
                                  <w:vAlign w:val="center"/>
                                  <w:hideMark/>
                                </w:tcPr>
                                <w:p w14:paraId="1B2D2C7E"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496,393 </w:t>
                                  </w:r>
                                </w:p>
                              </w:tc>
                              <w:tc>
                                <w:tcPr>
                                  <w:tcW w:w="605" w:type="pct"/>
                                  <w:tcBorders>
                                    <w:top w:val="nil"/>
                                    <w:left w:val="nil"/>
                                    <w:bottom w:val="single" w:sz="4" w:space="0" w:color="auto"/>
                                    <w:right w:val="single" w:sz="4" w:space="0" w:color="auto"/>
                                  </w:tcBorders>
                                  <w:shd w:val="clear" w:color="auto" w:fill="auto"/>
                                  <w:vAlign w:val="center"/>
                                  <w:hideMark/>
                                </w:tcPr>
                                <w:p w14:paraId="2F10938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7,498,260 </w:t>
                                  </w:r>
                                </w:p>
                              </w:tc>
                              <w:tc>
                                <w:tcPr>
                                  <w:tcW w:w="548" w:type="pct"/>
                                  <w:tcBorders>
                                    <w:top w:val="nil"/>
                                    <w:left w:val="nil"/>
                                    <w:bottom w:val="single" w:sz="4" w:space="0" w:color="auto"/>
                                    <w:right w:val="single" w:sz="4" w:space="0" w:color="auto"/>
                                  </w:tcBorders>
                                  <w:shd w:val="clear" w:color="auto" w:fill="auto"/>
                                  <w:vAlign w:val="center"/>
                                  <w:hideMark/>
                                </w:tcPr>
                                <w:p w14:paraId="29F7520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1,403,214 </w:t>
                                  </w:r>
                                </w:p>
                              </w:tc>
                              <w:tc>
                                <w:tcPr>
                                  <w:tcW w:w="539" w:type="pct"/>
                                  <w:tcBorders>
                                    <w:top w:val="nil"/>
                                    <w:left w:val="nil"/>
                                    <w:bottom w:val="single" w:sz="4" w:space="0" w:color="auto"/>
                                    <w:right w:val="single" w:sz="4" w:space="0" w:color="auto"/>
                                  </w:tcBorders>
                                  <w:shd w:val="clear" w:color="auto" w:fill="auto"/>
                                  <w:vAlign w:val="center"/>
                                  <w:hideMark/>
                                </w:tcPr>
                                <w:p w14:paraId="101340D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240,906 </w:t>
                                  </w:r>
                                </w:p>
                              </w:tc>
                              <w:tc>
                                <w:tcPr>
                                  <w:tcW w:w="539" w:type="pct"/>
                                  <w:tcBorders>
                                    <w:top w:val="nil"/>
                                    <w:left w:val="nil"/>
                                    <w:bottom w:val="single" w:sz="4" w:space="0" w:color="auto"/>
                                    <w:right w:val="single" w:sz="4" w:space="0" w:color="auto"/>
                                  </w:tcBorders>
                                  <w:shd w:val="clear" w:color="auto" w:fill="auto"/>
                                  <w:vAlign w:val="center"/>
                                  <w:hideMark/>
                                </w:tcPr>
                                <w:p w14:paraId="4DAB77EF"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100,405 </w:t>
                                  </w:r>
                                </w:p>
                              </w:tc>
                            </w:tr>
                            <w:tr w:rsidR="00A0212B" w:rsidRPr="001B469B" w14:paraId="42F2F9FB"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0FD94473"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right w:val="single" w:sz="4" w:space="0" w:color="auto"/>
                                  </w:tcBorders>
                                  <w:shd w:val="clear" w:color="auto" w:fill="auto"/>
                                  <w:vAlign w:val="center"/>
                                </w:tcPr>
                                <w:p w14:paraId="1D23BC22"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實現數</w:t>
                                  </w:r>
                                </w:p>
                              </w:tc>
                              <w:tc>
                                <w:tcPr>
                                  <w:tcW w:w="509" w:type="pct"/>
                                  <w:gridSpan w:val="2"/>
                                  <w:tcBorders>
                                    <w:top w:val="nil"/>
                                    <w:left w:val="nil"/>
                                    <w:bottom w:val="single" w:sz="4" w:space="0" w:color="auto"/>
                                    <w:right w:val="single" w:sz="4" w:space="0" w:color="auto"/>
                                  </w:tcBorders>
                                  <w:shd w:val="clear" w:color="auto" w:fill="auto"/>
                                  <w:vAlign w:val="center"/>
                                  <w:hideMark/>
                                </w:tcPr>
                                <w:p w14:paraId="7EF51B5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5,469,595 </w:t>
                                  </w:r>
                                </w:p>
                              </w:tc>
                              <w:tc>
                                <w:tcPr>
                                  <w:tcW w:w="517" w:type="pct"/>
                                  <w:tcBorders>
                                    <w:top w:val="nil"/>
                                    <w:left w:val="nil"/>
                                    <w:bottom w:val="single" w:sz="4" w:space="0" w:color="auto"/>
                                    <w:right w:val="single" w:sz="4" w:space="0" w:color="auto"/>
                                  </w:tcBorders>
                                  <w:shd w:val="clear" w:color="auto" w:fill="auto"/>
                                  <w:vAlign w:val="center"/>
                                  <w:hideMark/>
                                </w:tcPr>
                                <w:p w14:paraId="1C270B9D"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5,310,012 </w:t>
                                  </w:r>
                                </w:p>
                              </w:tc>
                              <w:tc>
                                <w:tcPr>
                                  <w:tcW w:w="864" w:type="pct"/>
                                  <w:gridSpan w:val="2"/>
                                  <w:tcBorders>
                                    <w:top w:val="nil"/>
                                    <w:left w:val="nil"/>
                                    <w:bottom w:val="single" w:sz="4" w:space="0" w:color="auto"/>
                                    <w:right w:val="single" w:sz="4" w:space="0" w:color="auto"/>
                                  </w:tcBorders>
                                  <w:shd w:val="clear" w:color="auto" w:fill="auto"/>
                                  <w:vAlign w:val="center"/>
                                  <w:hideMark/>
                                </w:tcPr>
                                <w:p w14:paraId="20F5374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210,153 </w:t>
                                  </w:r>
                                </w:p>
                              </w:tc>
                              <w:tc>
                                <w:tcPr>
                                  <w:tcW w:w="605" w:type="pct"/>
                                  <w:tcBorders>
                                    <w:top w:val="nil"/>
                                    <w:left w:val="nil"/>
                                    <w:bottom w:val="single" w:sz="4" w:space="0" w:color="auto"/>
                                    <w:right w:val="single" w:sz="4" w:space="0" w:color="auto"/>
                                  </w:tcBorders>
                                  <w:shd w:val="clear" w:color="auto" w:fill="auto"/>
                                  <w:vAlign w:val="center"/>
                                  <w:hideMark/>
                                </w:tcPr>
                                <w:p w14:paraId="7A55EC23"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3,716,644 </w:t>
                                  </w:r>
                                </w:p>
                              </w:tc>
                              <w:tc>
                                <w:tcPr>
                                  <w:tcW w:w="548" w:type="pct"/>
                                  <w:tcBorders>
                                    <w:top w:val="nil"/>
                                    <w:left w:val="nil"/>
                                    <w:bottom w:val="single" w:sz="4" w:space="0" w:color="auto"/>
                                    <w:right w:val="single" w:sz="4" w:space="0" w:color="auto"/>
                                  </w:tcBorders>
                                  <w:shd w:val="clear" w:color="auto" w:fill="auto"/>
                                  <w:vAlign w:val="center"/>
                                  <w:hideMark/>
                                </w:tcPr>
                                <w:p w14:paraId="4D51030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1,383,214 </w:t>
                                  </w:r>
                                </w:p>
                              </w:tc>
                              <w:tc>
                                <w:tcPr>
                                  <w:tcW w:w="539" w:type="pct"/>
                                  <w:tcBorders>
                                    <w:top w:val="nil"/>
                                    <w:left w:val="nil"/>
                                    <w:bottom w:val="single" w:sz="4" w:space="0" w:color="auto"/>
                                    <w:right w:val="single" w:sz="4" w:space="0" w:color="auto"/>
                                  </w:tcBorders>
                                  <w:shd w:val="clear" w:color="auto" w:fill="auto"/>
                                  <w:vAlign w:val="center"/>
                                  <w:hideMark/>
                                </w:tcPr>
                                <w:p w14:paraId="37ED4D2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77,714 </w:t>
                                  </w:r>
                                </w:p>
                              </w:tc>
                              <w:tc>
                                <w:tcPr>
                                  <w:tcW w:w="539" w:type="pct"/>
                                  <w:tcBorders>
                                    <w:top w:val="nil"/>
                                    <w:left w:val="nil"/>
                                    <w:bottom w:val="single" w:sz="4" w:space="0" w:color="auto"/>
                                    <w:right w:val="single" w:sz="4" w:space="0" w:color="auto"/>
                                  </w:tcBorders>
                                  <w:shd w:val="clear" w:color="auto" w:fill="auto"/>
                                  <w:vAlign w:val="center"/>
                                  <w:hideMark/>
                                </w:tcPr>
                                <w:p w14:paraId="25B59A73"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81,868 </w:t>
                                  </w:r>
                                </w:p>
                              </w:tc>
                            </w:tr>
                            <w:tr w:rsidR="00A0212B" w:rsidRPr="001B469B" w14:paraId="20CBA026"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7E6CE19B"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66" w:type="pct"/>
                                  <w:tcBorders>
                                    <w:top w:val="nil"/>
                                    <w:left w:val="nil"/>
                                    <w:bottom w:val="single" w:sz="4" w:space="0" w:color="auto"/>
                                    <w:right w:val="single" w:sz="4" w:space="0" w:color="auto"/>
                                  </w:tcBorders>
                                  <w:shd w:val="clear" w:color="auto" w:fill="auto"/>
                                  <w:vAlign w:val="center"/>
                                </w:tcPr>
                                <w:p w14:paraId="3217E5D4" w14:textId="77777777" w:rsidR="00A0212B" w:rsidRPr="001B469B" w:rsidRDefault="00A0212B" w:rsidP="000131EC">
                                  <w:pPr>
                                    <w:widowControl/>
                                    <w:spacing w:line="240" w:lineRule="exact"/>
                                    <w:rPr>
                                      <w:rFonts w:ascii="標楷體" w:eastAsia="標楷體" w:hAnsi="標楷體" w:cs="新細明體"/>
                                      <w:color w:val="000000"/>
                                      <w:kern w:val="0"/>
                                      <w:sz w:val="20"/>
                                    </w:rPr>
                                  </w:pPr>
                                </w:p>
                              </w:tc>
                              <w:tc>
                                <w:tcPr>
                                  <w:tcW w:w="690" w:type="pct"/>
                                  <w:tcBorders>
                                    <w:top w:val="single" w:sz="4" w:space="0" w:color="auto"/>
                                    <w:left w:val="nil"/>
                                    <w:bottom w:val="single" w:sz="4" w:space="0" w:color="auto"/>
                                    <w:right w:val="single" w:sz="4" w:space="0" w:color="auto"/>
                                  </w:tcBorders>
                                  <w:shd w:val="clear" w:color="auto" w:fill="auto"/>
                                  <w:vAlign w:val="center"/>
                                </w:tcPr>
                                <w:p w14:paraId="59D8CCDB"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實現率</w:t>
                                  </w:r>
                                  <w:r w:rsidRPr="0078131B">
                                    <w:rPr>
                                      <w:rFonts w:ascii="標楷體" w:eastAsia="標楷體" w:hAnsi="標楷體" w:cs="新細明體" w:hint="eastAsia"/>
                                      <w:color w:val="000000"/>
                                      <w:spacing w:val="-20"/>
                                      <w:kern w:val="0"/>
                                      <w:sz w:val="20"/>
                                    </w:rPr>
                                    <w:t>（註1）</w:t>
                                  </w:r>
                                </w:p>
                              </w:tc>
                              <w:tc>
                                <w:tcPr>
                                  <w:tcW w:w="509" w:type="pct"/>
                                  <w:gridSpan w:val="2"/>
                                  <w:tcBorders>
                                    <w:top w:val="nil"/>
                                    <w:left w:val="nil"/>
                                    <w:bottom w:val="single" w:sz="4" w:space="0" w:color="auto"/>
                                    <w:right w:val="single" w:sz="4" w:space="0" w:color="auto"/>
                                  </w:tcBorders>
                                  <w:shd w:val="clear" w:color="auto" w:fill="auto"/>
                                  <w:vAlign w:val="center"/>
                                  <w:hideMark/>
                                </w:tcPr>
                                <w:p w14:paraId="6D37DB67"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56.16</w:t>
                                  </w:r>
                                </w:p>
                              </w:tc>
                              <w:tc>
                                <w:tcPr>
                                  <w:tcW w:w="517" w:type="pct"/>
                                  <w:tcBorders>
                                    <w:top w:val="nil"/>
                                    <w:left w:val="nil"/>
                                    <w:bottom w:val="single" w:sz="4" w:space="0" w:color="auto"/>
                                    <w:right w:val="single" w:sz="4" w:space="0" w:color="auto"/>
                                  </w:tcBorders>
                                  <w:shd w:val="clear" w:color="auto" w:fill="auto"/>
                                  <w:vAlign w:val="center"/>
                                  <w:hideMark/>
                                </w:tcPr>
                                <w:p w14:paraId="12E8E333"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56.50</w:t>
                                  </w:r>
                                </w:p>
                              </w:tc>
                              <w:tc>
                                <w:tcPr>
                                  <w:tcW w:w="864" w:type="pct"/>
                                  <w:gridSpan w:val="2"/>
                                  <w:tcBorders>
                                    <w:top w:val="nil"/>
                                    <w:left w:val="nil"/>
                                    <w:bottom w:val="single" w:sz="4" w:space="0" w:color="auto"/>
                                    <w:right w:val="single" w:sz="4" w:space="0" w:color="auto"/>
                                  </w:tcBorders>
                                  <w:shd w:val="clear" w:color="auto" w:fill="auto"/>
                                  <w:vAlign w:val="center"/>
                                  <w:hideMark/>
                                </w:tcPr>
                                <w:p w14:paraId="0B60DAD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42.34</w:t>
                                  </w:r>
                                </w:p>
                              </w:tc>
                              <w:tc>
                                <w:tcPr>
                                  <w:tcW w:w="605" w:type="pct"/>
                                  <w:tcBorders>
                                    <w:top w:val="nil"/>
                                    <w:left w:val="nil"/>
                                    <w:bottom w:val="single" w:sz="4" w:space="0" w:color="auto"/>
                                    <w:right w:val="single" w:sz="4" w:space="0" w:color="auto"/>
                                  </w:tcBorders>
                                  <w:shd w:val="clear" w:color="auto" w:fill="auto"/>
                                  <w:vAlign w:val="center"/>
                                  <w:hideMark/>
                                </w:tcPr>
                                <w:p w14:paraId="1DB8569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49.57</w:t>
                                  </w:r>
                                </w:p>
                              </w:tc>
                              <w:tc>
                                <w:tcPr>
                                  <w:tcW w:w="548" w:type="pct"/>
                                  <w:tcBorders>
                                    <w:top w:val="nil"/>
                                    <w:left w:val="nil"/>
                                    <w:bottom w:val="single" w:sz="4" w:space="0" w:color="auto"/>
                                    <w:right w:val="single" w:sz="4" w:space="0" w:color="auto"/>
                                  </w:tcBorders>
                                  <w:shd w:val="clear" w:color="auto" w:fill="auto"/>
                                  <w:vAlign w:val="center"/>
                                  <w:hideMark/>
                                </w:tcPr>
                                <w:p w14:paraId="43DF2C6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98.57</w:t>
                                  </w:r>
                                </w:p>
                              </w:tc>
                              <w:tc>
                                <w:tcPr>
                                  <w:tcW w:w="539" w:type="pct"/>
                                  <w:tcBorders>
                                    <w:top w:val="nil"/>
                                    <w:left w:val="nil"/>
                                    <w:bottom w:val="single" w:sz="4" w:space="0" w:color="auto"/>
                                    <w:right w:val="single" w:sz="4" w:space="0" w:color="auto"/>
                                  </w:tcBorders>
                                  <w:shd w:val="clear" w:color="auto" w:fill="auto"/>
                                  <w:vAlign w:val="center"/>
                                  <w:hideMark/>
                                </w:tcPr>
                                <w:p w14:paraId="63B68EA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32.26</w:t>
                                  </w:r>
                                </w:p>
                              </w:tc>
                              <w:tc>
                                <w:tcPr>
                                  <w:tcW w:w="539" w:type="pct"/>
                                  <w:tcBorders>
                                    <w:top w:val="nil"/>
                                    <w:left w:val="nil"/>
                                    <w:bottom w:val="single" w:sz="4" w:space="0" w:color="auto"/>
                                    <w:right w:val="single" w:sz="4" w:space="0" w:color="auto"/>
                                  </w:tcBorders>
                                  <w:shd w:val="clear" w:color="auto" w:fill="auto"/>
                                  <w:vAlign w:val="center"/>
                                  <w:hideMark/>
                                </w:tcPr>
                                <w:p w14:paraId="6D8BA1D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81.54</w:t>
                                  </w:r>
                                </w:p>
                              </w:tc>
                            </w:tr>
                            <w:tr w:rsidR="00A0212B" w:rsidRPr="001B469B" w14:paraId="43F5DD48"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3ECBA7BF"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25EF3157"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應付保留數</w:t>
                                  </w:r>
                                </w:p>
                              </w:tc>
                              <w:tc>
                                <w:tcPr>
                                  <w:tcW w:w="509" w:type="pct"/>
                                  <w:gridSpan w:val="2"/>
                                  <w:tcBorders>
                                    <w:top w:val="nil"/>
                                    <w:left w:val="nil"/>
                                    <w:bottom w:val="single" w:sz="4" w:space="0" w:color="auto"/>
                                    <w:right w:val="single" w:sz="4" w:space="0" w:color="auto"/>
                                  </w:tcBorders>
                                  <w:shd w:val="clear" w:color="auto" w:fill="auto"/>
                                  <w:vAlign w:val="center"/>
                                  <w:hideMark/>
                                </w:tcPr>
                                <w:p w14:paraId="6444A01C"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4,135,663 </w:t>
                                  </w:r>
                                </w:p>
                              </w:tc>
                              <w:tc>
                                <w:tcPr>
                                  <w:tcW w:w="517" w:type="pct"/>
                                  <w:tcBorders>
                                    <w:top w:val="nil"/>
                                    <w:left w:val="nil"/>
                                    <w:bottom w:val="single" w:sz="4" w:space="0" w:color="auto"/>
                                    <w:right w:val="single" w:sz="4" w:space="0" w:color="auto"/>
                                  </w:tcBorders>
                                  <w:shd w:val="clear" w:color="auto" w:fill="auto"/>
                                  <w:vAlign w:val="center"/>
                                  <w:hideMark/>
                                </w:tcPr>
                                <w:p w14:paraId="37BF334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3,962,614 </w:t>
                                  </w:r>
                                </w:p>
                              </w:tc>
                              <w:tc>
                                <w:tcPr>
                                  <w:tcW w:w="864" w:type="pct"/>
                                  <w:gridSpan w:val="2"/>
                                  <w:tcBorders>
                                    <w:top w:val="nil"/>
                                    <w:left w:val="nil"/>
                                    <w:bottom w:val="single" w:sz="4" w:space="0" w:color="auto"/>
                                    <w:right w:val="single" w:sz="4" w:space="0" w:color="auto"/>
                                  </w:tcBorders>
                                  <w:shd w:val="clear" w:color="auto" w:fill="auto"/>
                                  <w:vAlign w:val="center"/>
                                  <w:hideMark/>
                                </w:tcPr>
                                <w:p w14:paraId="3D1F143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282,098 </w:t>
                                  </w:r>
                                </w:p>
                              </w:tc>
                              <w:tc>
                                <w:tcPr>
                                  <w:tcW w:w="605" w:type="pct"/>
                                  <w:tcBorders>
                                    <w:top w:val="nil"/>
                                    <w:left w:val="nil"/>
                                    <w:bottom w:val="single" w:sz="4" w:space="0" w:color="auto"/>
                                    <w:right w:val="single" w:sz="4" w:space="0" w:color="auto"/>
                                  </w:tcBorders>
                                  <w:shd w:val="clear" w:color="auto" w:fill="auto"/>
                                  <w:vAlign w:val="center"/>
                                  <w:hideMark/>
                                </w:tcPr>
                                <w:p w14:paraId="6C57719F"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3,660,515 </w:t>
                                  </w:r>
                                </w:p>
                              </w:tc>
                              <w:tc>
                                <w:tcPr>
                                  <w:tcW w:w="548" w:type="pct"/>
                                  <w:tcBorders>
                                    <w:top w:val="nil"/>
                                    <w:left w:val="nil"/>
                                    <w:bottom w:val="single" w:sz="4" w:space="0" w:color="auto"/>
                                    <w:right w:val="single" w:sz="4" w:space="0" w:color="auto"/>
                                  </w:tcBorders>
                                  <w:shd w:val="clear" w:color="auto" w:fill="auto"/>
                                  <w:vAlign w:val="center"/>
                                  <w:hideMark/>
                                </w:tcPr>
                                <w:p w14:paraId="71AED353"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20,000 </w:t>
                                  </w:r>
                                </w:p>
                              </w:tc>
                              <w:tc>
                                <w:tcPr>
                                  <w:tcW w:w="539" w:type="pct"/>
                                  <w:tcBorders>
                                    <w:top w:val="nil"/>
                                    <w:left w:val="nil"/>
                                    <w:bottom w:val="single" w:sz="4" w:space="0" w:color="auto"/>
                                    <w:right w:val="single" w:sz="4" w:space="0" w:color="auto"/>
                                  </w:tcBorders>
                                  <w:shd w:val="clear" w:color="auto" w:fill="auto"/>
                                  <w:vAlign w:val="center"/>
                                  <w:hideMark/>
                                </w:tcPr>
                                <w:p w14:paraId="5AEE0D03"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163,192 </w:t>
                                  </w:r>
                                </w:p>
                              </w:tc>
                              <w:tc>
                                <w:tcPr>
                                  <w:tcW w:w="539" w:type="pct"/>
                                  <w:tcBorders>
                                    <w:top w:val="nil"/>
                                    <w:left w:val="nil"/>
                                    <w:bottom w:val="single" w:sz="4" w:space="0" w:color="auto"/>
                                    <w:right w:val="single" w:sz="4" w:space="0" w:color="auto"/>
                                  </w:tcBorders>
                                  <w:shd w:val="clear" w:color="auto" w:fill="auto"/>
                                  <w:vAlign w:val="center"/>
                                  <w:hideMark/>
                                </w:tcPr>
                                <w:p w14:paraId="797621A6"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9,856 </w:t>
                                  </w:r>
                                </w:p>
                              </w:tc>
                            </w:tr>
                            <w:tr w:rsidR="00A0212B" w:rsidRPr="001B469B" w14:paraId="1B538024" w14:textId="77777777" w:rsidTr="004D7C92">
                              <w:trPr>
                                <w:trHeight w:hRule="exact" w:val="340"/>
                                <w:jc w:val="center"/>
                              </w:trPr>
                              <w:tc>
                                <w:tcPr>
                                  <w:tcW w:w="124" w:type="pct"/>
                                  <w:vMerge/>
                                  <w:tcBorders>
                                    <w:left w:val="single" w:sz="4" w:space="0" w:color="auto"/>
                                    <w:bottom w:val="single" w:sz="4" w:space="0" w:color="auto"/>
                                    <w:right w:val="single" w:sz="4" w:space="0" w:color="auto"/>
                                  </w:tcBorders>
                                  <w:shd w:val="clear" w:color="auto" w:fill="auto"/>
                                  <w:vAlign w:val="center"/>
                                  <w:hideMark/>
                                </w:tcPr>
                                <w:p w14:paraId="4A36F649"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39933446"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減免(註銷)數</w:t>
                                  </w:r>
                                </w:p>
                              </w:tc>
                              <w:tc>
                                <w:tcPr>
                                  <w:tcW w:w="509" w:type="pct"/>
                                  <w:gridSpan w:val="2"/>
                                  <w:tcBorders>
                                    <w:top w:val="nil"/>
                                    <w:left w:val="nil"/>
                                    <w:bottom w:val="single" w:sz="4" w:space="0" w:color="auto"/>
                                    <w:right w:val="single" w:sz="4" w:space="0" w:color="auto"/>
                                  </w:tcBorders>
                                  <w:shd w:val="clear" w:color="auto" w:fill="auto"/>
                                  <w:vAlign w:val="center"/>
                                  <w:hideMark/>
                                </w:tcPr>
                                <w:p w14:paraId="5F492E8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133,920 </w:t>
                                  </w:r>
                                </w:p>
                              </w:tc>
                              <w:tc>
                                <w:tcPr>
                                  <w:tcW w:w="517" w:type="pct"/>
                                  <w:tcBorders>
                                    <w:top w:val="nil"/>
                                    <w:left w:val="nil"/>
                                    <w:bottom w:val="single" w:sz="4" w:space="0" w:color="auto"/>
                                    <w:right w:val="single" w:sz="4" w:space="0" w:color="auto"/>
                                  </w:tcBorders>
                                  <w:shd w:val="clear" w:color="auto" w:fill="auto"/>
                                  <w:vAlign w:val="center"/>
                                  <w:hideMark/>
                                </w:tcPr>
                                <w:p w14:paraId="158AEDBA"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125,240 </w:t>
                                  </w:r>
                                </w:p>
                              </w:tc>
                              <w:tc>
                                <w:tcPr>
                                  <w:tcW w:w="864" w:type="pct"/>
                                  <w:gridSpan w:val="2"/>
                                  <w:tcBorders>
                                    <w:top w:val="nil"/>
                                    <w:left w:val="nil"/>
                                    <w:bottom w:val="single" w:sz="4" w:space="0" w:color="auto"/>
                                    <w:right w:val="single" w:sz="4" w:space="0" w:color="auto"/>
                                  </w:tcBorders>
                                  <w:shd w:val="clear" w:color="auto" w:fill="auto"/>
                                  <w:vAlign w:val="center"/>
                                  <w:hideMark/>
                                </w:tcPr>
                                <w:p w14:paraId="0DCEB5A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4,140 </w:t>
                                  </w:r>
                                </w:p>
                              </w:tc>
                              <w:tc>
                                <w:tcPr>
                                  <w:tcW w:w="605" w:type="pct"/>
                                  <w:tcBorders>
                                    <w:top w:val="nil"/>
                                    <w:left w:val="nil"/>
                                    <w:bottom w:val="single" w:sz="4" w:space="0" w:color="auto"/>
                                    <w:right w:val="single" w:sz="4" w:space="0" w:color="auto"/>
                                  </w:tcBorders>
                                  <w:shd w:val="clear" w:color="auto" w:fill="auto"/>
                                  <w:vAlign w:val="center"/>
                                  <w:hideMark/>
                                </w:tcPr>
                                <w:p w14:paraId="4E1B097A"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121,100 </w:t>
                                  </w:r>
                                </w:p>
                              </w:tc>
                              <w:tc>
                                <w:tcPr>
                                  <w:tcW w:w="548" w:type="pct"/>
                                  <w:tcBorders>
                                    <w:top w:val="nil"/>
                                    <w:left w:val="nil"/>
                                    <w:bottom w:val="single" w:sz="4" w:space="0" w:color="auto"/>
                                    <w:right w:val="single" w:sz="4" w:space="0" w:color="auto"/>
                                  </w:tcBorders>
                                  <w:shd w:val="clear" w:color="auto" w:fill="auto"/>
                                  <w:vAlign w:val="center"/>
                                  <w:hideMark/>
                                </w:tcPr>
                                <w:p w14:paraId="7E47704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15AC11C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053347B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8,679 </w:t>
                                  </w:r>
                                </w:p>
                              </w:tc>
                            </w:tr>
                            <w:tr w:rsidR="00A0212B" w:rsidRPr="001B469B" w14:paraId="2999B364" w14:textId="77777777" w:rsidTr="000131EC">
                              <w:trPr>
                                <w:trHeight w:val="20"/>
                                <w:jc w:val="center"/>
                              </w:trPr>
                              <w:tc>
                                <w:tcPr>
                                  <w:tcW w:w="5000" w:type="pct"/>
                                  <w:gridSpan w:val="12"/>
                                  <w:tcBorders>
                                    <w:top w:val="single" w:sz="4" w:space="0" w:color="auto"/>
                                  </w:tcBorders>
                                  <w:shd w:val="clear" w:color="auto" w:fill="auto"/>
                                  <w:vAlign w:val="center"/>
                                </w:tcPr>
                                <w:p w14:paraId="6D67A92F" w14:textId="77777777" w:rsidR="00A0212B" w:rsidRPr="0078131B" w:rsidRDefault="00A0212B" w:rsidP="000131EC">
                                  <w:pPr>
                                    <w:spacing w:line="240" w:lineRule="exact"/>
                                    <w:rPr>
                                      <w:rFonts w:ascii="標楷體" w:eastAsia="標楷體" w:hAnsi="標楷體" w:cs="新細明體"/>
                                      <w:color w:val="000000"/>
                                      <w:kern w:val="0"/>
                                      <w:sz w:val="18"/>
                                      <w:szCs w:val="18"/>
                                    </w:rPr>
                                  </w:pPr>
                                  <w:r w:rsidRPr="0078131B">
                                    <w:rPr>
                                      <w:rFonts w:ascii="標楷體" w:eastAsia="標楷體" w:hAnsi="標楷體" w:cstheme="minorBidi" w:hint="eastAsia"/>
                                      <w:sz w:val="18"/>
                                      <w:szCs w:val="18"/>
                                    </w:rPr>
                                    <w:t>註：1</w:t>
                                  </w:r>
                                  <w:r w:rsidRPr="0078131B">
                                    <w:rPr>
                                      <w:rFonts w:ascii="標楷體" w:eastAsia="標楷體" w:hAnsi="標楷體" w:cstheme="minorBidi"/>
                                      <w:sz w:val="18"/>
                                      <w:szCs w:val="18"/>
                                    </w:rPr>
                                    <w:t>.</w:t>
                                  </w:r>
                                  <w:r w:rsidRPr="0078131B">
                                    <w:rPr>
                                      <w:rFonts w:ascii="標楷體" w:eastAsia="標楷體" w:hAnsi="標楷體" w:cstheme="minorBidi" w:hint="eastAsia"/>
                                      <w:sz w:val="18"/>
                                      <w:szCs w:val="18"/>
                                    </w:rPr>
                                    <w:t>實現率=實現數/</w:t>
                                  </w:r>
                                  <w:r w:rsidRPr="0078131B">
                                    <w:rPr>
                                      <w:rFonts w:ascii="標楷體" w:eastAsia="標楷體" w:hAnsi="標楷體" w:cs="新細明體" w:hint="eastAsia"/>
                                      <w:color w:val="000000"/>
                                      <w:kern w:val="0"/>
                                      <w:sz w:val="18"/>
                                      <w:szCs w:val="18"/>
                                    </w:rPr>
                                    <w:t>以前年度轉入數</w:t>
                                  </w:r>
                                  <w:r w:rsidRPr="0078131B">
                                    <w:rPr>
                                      <w:rFonts w:ascii="標楷體" w:eastAsia="標楷體" w:hAnsi="標楷體" w:cs="新細明體"/>
                                      <w:color w:val="000000"/>
                                      <w:kern w:val="0"/>
                                      <w:sz w:val="18"/>
                                      <w:szCs w:val="18"/>
                                    </w:rPr>
                                    <w:t>×100</w:t>
                                  </w:r>
                                  <w:r w:rsidRPr="0078131B">
                                    <w:rPr>
                                      <w:rFonts w:ascii="標楷體" w:eastAsia="標楷體" w:hAnsi="標楷體" w:cs="新細明體" w:hint="eastAsia"/>
                                      <w:color w:val="000000"/>
                                      <w:kern w:val="0"/>
                                      <w:sz w:val="18"/>
                                      <w:szCs w:val="18"/>
                                    </w:rPr>
                                    <w:t>％。</w:t>
                                  </w:r>
                                </w:p>
                                <w:p w14:paraId="3CD2748C" w14:textId="77777777" w:rsidR="00A0212B" w:rsidRPr="0078131B" w:rsidRDefault="00A0212B" w:rsidP="000131EC">
                                  <w:pPr>
                                    <w:spacing w:line="240" w:lineRule="exact"/>
                                    <w:ind w:firstLineChars="200" w:firstLine="360"/>
                                    <w:rPr>
                                      <w:rFonts w:ascii="標楷體" w:eastAsia="標楷體" w:hAnsi="標楷體" w:cstheme="minorBidi"/>
                                      <w:kern w:val="0"/>
                                      <w:sz w:val="18"/>
                                      <w:szCs w:val="18"/>
                                    </w:rPr>
                                  </w:pPr>
                                  <w:r w:rsidRPr="0078131B">
                                    <w:rPr>
                                      <w:rFonts w:ascii="標楷體" w:eastAsia="標楷體" w:hAnsi="標楷體" w:cstheme="minorBidi" w:hint="eastAsia"/>
                                      <w:sz w:val="18"/>
                                      <w:szCs w:val="18"/>
                                    </w:rPr>
                                    <w:t>2</w:t>
                                  </w:r>
                                  <w:r w:rsidRPr="0078131B">
                                    <w:rPr>
                                      <w:rFonts w:ascii="標楷體" w:eastAsia="標楷體" w:hAnsi="標楷體" w:cstheme="minorBidi"/>
                                      <w:sz w:val="18"/>
                                      <w:szCs w:val="18"/>
                                    </w:rPr>
                                    <w:t>.</w:t>
                                  </w:r>
                                  <w:r w:rsidRPr="0078131B">
                                    <w:rPr>
                                      <w:rFonts w:ascii="標楷體" w:eastAsia="標楷體" w:hAnsi="標楷體" w:cstheme="minorBidi" w:hint="eastAsia"/>
                                      <w:sz w:val="18"/>
                                      <w:szCs w:val="18"/>
                                    </w:rPr>
                                    <w:t>資料來源：整理自</w:t>
                                  </w:r>
                                  <w:r w:rsidRPr="0078131B">
                                    <w:rPr>
                                      <w:rFonts w:ascii="標楷體" w:eastAsia="標楷體" w:hAnsi="標楷體" w:cs="新細明體" w:hint="eastAsia"/>
                                      <w:kern w:val="0"/>
                                      <w:sz w:val="18"/>
                                      <w:szCs w:val="18"/>
                                    </w:rPr>
                                    <w:t>行政院</w:t>
                                  </w:r>
                                  <w:r w:rsidRPr="0078131B">
                                    <w:rPr>
                                      <w:rFonts w:ascii="標楷體" w:eastAsia="標楷體" w:hAnsi="標楷體" w:cstheme="minorBidi" w:hint="eastAsia"/>
                                      <w:sz w:val="18"/>
                                      <w:szCs w:val="18"/>
                                    </w:rPr>
                                    <w:t>112年度中央政府總決算總說明、主要表及相關附屬表（第1冊）。</w:t>
                                  </w:r>
                                </w:p>
                                <w:p w14:paraId="70CDFE17" w14:textId="77777777" w:rsidR="00A0212B" w:rsidRPr="001B469B" w:rsidRDefault="00A0212B" w:rsidP="000131EC">
                                  <w:pPr>
                                    <w:widowControl/>
                                    <w:spacing w:line="240" w:lineRule="exact"/>
                                    <w:jc w:val="right"/>
                                    <w:rPr>
                                      <w:rFonts w:ascii="標楷體" w:eastAsia="標楷體" w:hAnsi="標楷體" w:cs="新細明體"/>
                                      <w:color w:val="000000"/>
                                      <w:kern w:val="0"/>
                                      <w:sz w:val="20"/>
                                    </w:rPr>
                                  </w:pPr>
                                </w:p>
                              </w:tc>
                            </w:tr>
                          </w:tbl>
                          <w:p w14:paraId="0883C0B3" w14:textId="77777777" w:rsidR="00A0212B" w:rsidRPr="00762D6D" w:rsidRDefault="00A0212B" w:rsidP="00696F16">
                            <w:pPr>
                              <w:spacing w:line="220" w:lineRule="exact"/>
                              <w:ind w:leftChars="155" w:left="552" w:hangingChars="100" w:hanging="180"/>
                              <w:jc w:val="center"/>
                              <w:rPr>
                                <w:rFonts w:ascii="標楷體" w:eastAsia="標楷體" w:hAnsi="標楷體"/>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B41863" id="文字方塊 473" o:spid="_x0000_s1087" type="#_x0000_t202" style="position:absolute;left:0;text-align:left;margin-left:42.55pt;margin-top:104.7pt;width:508.8pt;height:488.4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" fillcolor="window" stroked="f" strokeweight=".5pt">
                <v:textbox>
                  <w:txbxContent>
                    <w:tbl>
                      <w:tblPr>
                        <w:tblW w:w="5000" w:type="pct"/>
                        <w:jc w:val="center"/>
                        <w:tblCellMar>
                          <w:left w:w="28" w:type="dxa"/>
                          <w:right w:w="28" w:type="dxa"/>
                        </w:tblCellMar>
                        <w:tblLook w:val="04A0" w:firstRow="1" w:lastRow="0" w:firstColumn="1" w:lastColumn="0" w:noHBand="0" w:noVBand="1"/>
                      </w:tblPr>
                      <w:tblGrid>
                        <w:gridCol w:w="257"/>
                        <w:gridCol w:w="118"/>
                        <w:gridCol w:w="1360"/>
                        <w:gridCol w:w="7"/>
                        <w:gridCol w:w="1051"/>
                        <w:gridCol w:w="1058"/>
                        <w:gridCol w:w="257"/>
                        <w:gridCol w:w="1453"/>
                        <w:gridCol w:w="1191"/>
                        <w:gridCol w:w="1077"/>
                        <w:gridCol w:w="1061"/>
                        <w:gridCol w:w="1059"/>
                      </w:tblGrid>
                      <w:tr w:rsidR="00A0212B" w:rsidRPr="001B469B" w14:paraId="56867A7D" w14:textId="77777777" w:rsidTr="000131EC">
                        <w:trPr>
                          <w:trHeight w:val="20"/>
                          <w:jc w:val="center"/>
                        </w:trPr>
                        <w:tc>
                          <w:tcPr>
                            <w:tcW w:w="5000" w:type="pct"/>
                            <w:gridSpan w:val="12"/>
                            <w:shd w:val="clear" w:color="auto" w:fill="auto"/>
                            <w:vAlign w:val="center"/>
                          </w:tcPr>
                          <w:p w14:paraId="190456E6" w14:textId="62601246" w:rsidR="00A0212B" w:rsidRPr="001B469B" w:rsidRDefault="00A0212B">
                            <w:pPr>
                              <w:widowControl/>
                              <w:spacing w:line="240" w:lineRule="exact"/>
                              <w:jc w:val="center"/>
                              <w:rPr>
                                <w:rFonts w:ascii="標楷體" w:eastAsia="標楷體" w:hAnsi="標楷體" w:cs="新細明體"/>
                                <w:kern w:val="0"/>
                                <w:sz w:val="18"/>
                                <w:szCs w:val="18"/>
                              </w:rPr>
                            </w:pPr>
                            <w:r w:rsidRPr="00665E5F">
                              <w:rPr>
                                <w:rFonts w:ascii="標楷體" w:eastAsia="標楷體" w:hAnsi="標楷體" w:hint="eastAsia"/>
                                <w:b/>
                                <w:bCs/>
                              </w:rPr>
                              <w:t>表</w:t>
                            </w:r>
                            <w:r>
                              <w:rPr>
                                <w:rFonts w:ascii="標楷體" w:eastAsia="標楷體" w:hAnsi="標楷體"/>
                                <w:b/>
                                <w:bCs/>
                              </w:rPr>
                              <w:t>23</w:t>
                            </w:r>
                            <w:r w:rsidRPr="001B469B">
                              <w:rPr>
                                <w:rFonts w:ascii="標楷體" w:eastAsia="標楷體" w:hAnsi="標楷體" w:hint="eastAsia"/>
                                <w:b/>
                                <w:bCs/>
                              </w:rPr>
                              <w:t xml:space="preserve">　截至1</w:t>
                            </w:r>
                            <w:r w:rsidRPr="001B469B">
                              <w:rPr>
                                <w:rFonts w:ascii="標楷體" w:eastAsia="標楷體" w:hAnsi="標楷體"/>
                                <w:b/>
                                <w:bCs/>
                              </w:rPr>
                              <w:t>12</w:t>
                            </w:r>
                            <w:r w:rsidRPr="001B469B">
                              <w:rPr>
                                <w:rFonts w:ascii="標楷體" w:eastAsia="標楷體" w:hAnsi="標楷體" w:hint="eastAsia"/>
                                <w:b/>
                                <w:bCs/>
                              </w:rPr>
                              <w:t>年底前瞻計畫第</w:t>
                            </w:r>
                            <w:r w:rsidRPr="001B469B">
                              <w:rPr>
                                <w:rFonts w:ascii="標楷體" w:eastAsia="標楷體" w:hAnsi="標楷體"/>
                                <w:b/>
                                <w:bCs/>
                              </w:rPr>
                              <w:t>1期至第3期均編列特別預算</w:t>
                            </w:r>
                            <w:r w:rsidRPr="001B469B">
                              <w:rPr>
                                <w:rFonts w:ascii="標楷體" w:eastAsia="標楷體" w:hAnsi="標楷體" w:hint="eastAsia"/>
                                <w:b/>
                                <w:bCs/>
                              </w:rPr>
                              <w:t>尚</w:t>
                            </w:r>
                            <w:r w:rsidRPr="001B469B">
                              <w:rPr>
                                <w:rFonts w:ascii="標楷體" w:eastAsia="標楷體" w:hAnsi="標楷體"/>
                                <w:b/>
                                <w:bCs/>
                              </w:rPr>
                              <w:t>未執行完竣工作計畫</w:t>
                            </w:r>
                            <w:r w:rsidRPr="001B469B">
                              <w:rPr>
                                <w:rFonts w:ascii="標楷體" w:eastAsia="標楷體" w:hAnsi="標楷體" w:hint="eastAsia"/>
                                <w:b/>
                                <w:bCs/>
                              </w:rPr>
                              <w:t>概況</w:t>
                            </w:r>
                          </w:p>
                        </w:tc>
                      </w:tr>
                      <w:tr w:rsidR="00A0212B" w:rsidRPr="001B469B" w14:paraId="63F64CAD" w14:textId="77777777" w:rsidTr="000131EC">
                        <w:trPr>
                          <w:trHeight w:val="20"/>
                          <w:jc w:val="center"/>
                        </w:trPr>
                        <w:tc>
                          <w:tcPr>
                            <w:tcW w:w="5000" w:type="pct"/>
                            <w:gridSpan w:val="12"/>
                            <w:tcBorders>
                              <w:bottom w:val="single" w:sz="4" w:space="0" w:color="auto"/>
                            </w:tcBorders>
                            <w:shd w:val="clear" w:color="auto" w:fill="auto"/>
                            <w:vAlign w:val="center"/>
                          </w:tcPr>
                          <w:p w14:paraId="0015EB73" w14:textId="77777777" w:rsidR="00A0212B" w:rsidRPr="001B469B" w:rsidRDefault="00A0212B" w:rsidP="000131EC">
                            <w:pPr>
                              <w:widowControl/>
                              <w:spacing w:line="240" w:lineRule="exact"/>
                              <w:jc w:val="right"/>
                              <w:rPr>
                                <w:rFonts w:ascii="標楷體" w:eastAsia="標楷體" w:hAnsi="標楷體" w:cs="新細明體"/>
                                <w:color w:val="000000"/>
                                <w:kern w:val="0"/>
                                <w:sz w:val="20"/>
                              </w:rPr>
                            </w:pPr>
                            <w:r w:rsidRPr="00374A6D">
                              <w:rPr>
                                <w:rFonts w:ascii="標楷體" w:eastAsia="標楷體" w:hAnsi="標楷體" w:cs="新細明體" w:hint="eastAsia"/>
                                <w:kern w:val="0"/>
                                <w:sz w:val="20"/>
                              </w:rPr>
                              <w:t>單位：新臺幣千元、％</w:t>
                            </w:r>
                          </w:p>
                        </w:tc>
                      </w:tr>
                      <w:tr w:rsidR="00A0212B" w:rsidRPr="001B469B" w14:paraId="53038BD8" w14:textId="77777777" w:rsidTr="000131EC">
                        <w:trPr>
                          <w:trHeight w:val="20"/>
                          <w:jc w:val="center"/>
                        </w:trPr>
                        <w:tc>
                          <w:tcPr>
                            <w:tcW w:w="124" w:type="pct"/>
                            <w:vMerge w:val="restart"/>
                            <w:tcBorders>
                              <w:top w:val="single" w:sz="4" w:space="0" w:color="auto"/>
                              <w:left w:val="single" w:sz="4" w:space="0" w:color="auto"/>
                              <w:right w:val="single" w:sz="4" w:space="0" w:color="auto"/>
                            </w:tcBorders>
                            <w:shd w:val="clear" w:color="auto" w:fill="auto"/>
                            <w:vAlign w:val="center"/>
                            <w:hideMark/>
                          </w:tcPr>
                          <w:p w14:paraId="7AE88800"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期別</w:t>
                            </w:r>
                          </w:p>
                        </w:tc>
                        <w:tc>
                          <w:tcPr>
                            <w:tcW w:w="756" w:type="pct"/>
                            <w:gridSpan w:val="2"/>
                            <w:vMerge w:val="restart"/>
                            <w:tcBorders>
                              <w:top w:val="single" w:sz="4" w:space="0" w:color="auto"/>
                              <w:left w:val="nil"/>
                              <w:right w:val="single" w:sz="4" w:space="0" w:color="auto"/>
                            </w:tcBorders>
                            <w:shd w:val="clear" w:color="auto" w:fill="auto"/>
                            <w:vAlign w:val="center"/>
                          </w:tcPr>
                          <w:p w14:paraId="45B658D8"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項目</w:t>
                            </w:r>
                          </w:p>
                        </w:tc>
                        <w:tc>
                          <w:tcPr>
                            <w:tcW w:w="509" w:type="pct"/>
                            <w:gridSpan w:val="2"/>
                            <w:vMerge w:val="restart"/>
                            <w:tcBorders>
                              <w:top w:val="single" w:sz="4" w:space="0" w:color="auto"/>
                              <w:left w:val="nil"/>
                              <w:right w:val="single" w:sz="4" w:space="0" w:color="auto"/>
                            </w:tcBorders>
                            <w:shd w:val="clear" w:color="auto" w:fill="auto"/>
                            <w:vAlign w:val="center"/>
                            <w:hideMark/>
                          </w:tcPr>
                          <w:p w14:paraId="7F7B1F38"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合計</w:t>
                            </w:r>
                          </w:p>
                        </w:tc>
                        <w:tc>
                          <w:tcPr>
                            <w:tcW w:w="2534" w:type="pct"/>
                            <w:gridSpan w:val="5"/>
                            <w:tcBorders>
                              <w:top w:val="single" w:sz="4" w:space="0" w:color="auto"/>
                              <w:left w:val="nil"/>
                              <w:bottom w:val="single" w:sz="4" w:space="0" w:color="auto"/>
                              <w:right w:val="single" w:sz="4" w:space="0" w:color="auto"/>
                            </w:tcBorders>
                            <w:shd w:val="clear" w:color="auto" w:fill="auto"/>
                            <w:vAlign w:val="center"/>
                            <w:hideMark/>
                          </w:tcPr>
                          <w:p w14:paraId="3169B5DC"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軌道建設</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3F727EFB"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綠能建設</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267E36A8"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城鄉建設</w:t>
                            </w:r>
                          </w:p>
                        </w:tc>
                      </w:tr>
                      <w:tr w:rsidR="00A0212B" w:rsidRPr="001B469B" w14:paraId="5FA278D3" w14:textId="77777777" w:rsidTr="000131EC">
                        <w:trPr>
                          <w:trHeight w:val="20"/>
                          <w:jc w:val="center"/>
                        </w:trPr>
                        <w:tc>
                          <w:tcPr>
                            <w:tcW w:w="124" w:type="pct"/>
                            <w:vMerge/>
                            <w:tcBorders>
                              <w:left w:val="single" w:sz="4" w:space="0" w:color="auto"/>
                              <w:right w:val="single" w:sz="4" w:space="0" w:color="auto"/>
                            </w:tcBorders>
                            <w:shd w:val="clear" w:color="auto" w:fill="auto"/>
                            <w:vAlign w:val="center"/>
                            <w:hideMark/>
                          </w:tcPr>
                          <w:p w14:paraId="4A18BBE1"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vMerge/>
                            <w:tcBorders>
                              <w:left w:val="nil"/>
                              <w:right w:val="single" w:sz="4" w:space="0" w:color="auto"/>
                            </w:tcBorders>
                            <w:shd w:val="clear" w:color="auto" w:fill="auto"/>
                            <w:vAlign w:val="center"/>
                          </w:tcPr>
                          <w:p w14:paraId="31EC7B7C"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509" w:type="pct"/>
                            <w:gridSpan w:val="2"/>
                            <w:vMerge/>
                            <w:tcBorders>
                              <w:left w:val="nil"/>
                              <w:right w:val="single" w:sz="4" w:space="0" w:color="auto"/>
                            </w:tcBorders>
                            <w:shd w:val="clear" w:color="auto" w:fill="auto"/>
                            <w:vAlign w:val="center"/>
                          </w:tcPr>
                          <w:p w14:paraId="584A083B"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517" w:type="pct"/>
                            <w:vMerge w:val="restart"/>
                            <w:tcBorders>
                              <w:top w:val="nil"/>
                              <w:left w:val="nil"/>
                              <w:right w:val="single" w:sz="4" w:space="0" w:color="auto"/>
                            </w:tcBorders>
                            <w:shd w:val="clear" w:color="auto" w:fill="auto"/>
                            <w:vAlign w:val="center"/>
                            <w:hideMark/>
                          </w:tcPr>
                          <w:p w14:paraId="2B2AA483"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小計</w:t>
                            </w:r>
                          </w:p>
                        </w:tc>
                        <w:tc>
                          <w:tcPr>
                            <w:tcW w:w="127" w:type="pct"/>
                            <w:tcBorders>
                              <w:top w:val="nil"/>
                              <w:left w:val="nil"/>
                              <w:bottom w:val="single" w:sz="4" w:space="0" w:color="auto"/>
                              <w:right w:val="single" w:sz="4" w:space="0" w:color="auto"/>
                            </w:tcBorders>
                            <w:shd w:val="clear" w:color="auto" w:fill="auto"/>
                            <w:vAlign w:val="center"/>
                          </w:tcPr>
                          <w:p w14:paraId="1DF610B4" w14:textId="77777777" w:rsidR="00A0212B" w:rsidRPr="0078131B" w:rsidRDefault="00A0212B" w:rsidP="000131EC">
                            <w:pPr>
                              <w:widowControl/>
                              <w:spacing w:line="240" w:lineRule="exact"/>
                              <w:jc w:val="center"/>
                              <w:rPr>
                                <w:rFonts w:ascii="標楷體" w:eastAsia="標楷體" w:hAnsi="標楷體" w:cs="新細明體"/>
                                <w:kern w:val="0"/>
                                <w:sz w:val="20"/>
                              </w:rPr>
                            </w:pPr>
                            <w:r w:rsidRPr="0078131B">
                              <w:rPr>
                                <w:rFonts w:ascii="標楷體" w:eastAsia="標楷體" w:hAnsi="標楷體" w:cs="新細明體" w:hint="eastAsia"/>
                                <w:kern w:val="0"/>
                                <w:sz w:val="20"/>
                              </w:rPr>
                              <w:t>計畫別</w:t>
                            </w:r>
                          </w:p>
                        </w:tc>
                        <w:tc>
                          <w:tcPr>
                            <w:tcW w:w="737" w:type="pct"/>
                            <w:tcBorders>
                              <w:top w:val="nil"/>
                              <w:left w:val="nil"/>
                              <w:bottom w:val="single" w:sz="4" w:space="0" w:color="auto"/>
                              <w:right w:val="single" w:sz="4" w:space="0" w:color="auto"/>
                            </w:tcBorders>
                            <w:shd w:val="clear" w:color="auto" w:fill="auto"/>
                            <w:vAlign w:val="center"/>
                          </w:tcPr>
                          <w:p w14:paraId="03EB9E70" w14:textId="77777777" w:rsidR="00A0212B" w:rsidRPr="008A0041" w:rsidRDefault="00A0212B" w:rsidP="000131EC">
                            <w:pPr>
                              <w:widowControl/>
                              <w:spacing w:line="240" w:lineRule="exact"/>
                              <w:jc w:val="center"/>
                              <w:rPr>
                                <w:rFonts w:ascii="標楷體" w:eastAsia="標楷體" w:hAnsi="標楷體" w:cs="新細明體"/>
                                <w:color w:val="000000"/>
                                <w:spacing w:val="-10"/>
                                <w:kern w:val="0"/>
                                <w:sz w:val="20"/>
                              </w:rPr>
                            </w:pPr>
                            <w:r w:rsidRPr="008A0041">
                              <w:rPr>
                                <w:rFonts w:ascii="標楷體" w:eastAsia="標楷體" w:hAnsi="標楷體" w:cs="新細明體" w:hint="eastAsia"/>
                                <w:color w:val="000000"/>
                                <w:spacing w:val="-10"/>
                                <w:kern w:val="0"/>
                                <w:sz w:val="20"/>
                              </w:rPr>
                              <w:t>中南部觀光</w:t>
                            </w:r>
                            <w:r w:rsidRPr="008A0041">
                              <w:rPr>
                                <w:rFonts w:ascii="標楷體" w:eastAsia="標楷體" w:hAnsi="標楷體" w:cs="新細明體" w:hint="eastAsia"/>
                                <w:color w:val="000000"/>
                                <w:spacing w:val="-8"/>
                                <w:kern w:val="0"/>
                                <w:sz w:val="20"/>
                              </w:rPr>
                              <w:t>鐵路</w:t>
                            </w:r>
                          </w:p>
                        </w:tc>
                        <w:tc>
                          <w:tcPr>
                            <w:tcW w:w="605" w:type="pct"/>
                            <w:tcBorders>
                              <w:top w:val="nil"/>
                              <w:left w:val="nil"/>
                              <w:bottom w:val="single" w:sz="4" w:space="0" w:color="auto"/>
                              <w:right w:val="single" w:sz="4" w:space="0" w:color="auto"/>
                            </w:tcBorders>
                            <w:shd w:val="clear" w:color="auto" w:fill="auto"/>
                            <w:vAlign w:val="center"/>
                            <w:hideMark/>
                          </w:tcPr>
                          <w:p w14:paraId="0129E863" w14:textId="77777777" w:rsidR="00A0212B" w:rsidRPr="008A0041" w:rsidRDefault="00A0212B" w:rsidP="000131EC">
                            <w:pPr>
                              <w:widowControl/>
                              <w:spacing w:line="240" w:lineRule="exact"/>
                              <w:jc w:val="center"/>
                              <w:rPr>
                                <w:rFonts w:ascii="標楷體" w:eastAsia="標楷體" w:hAnsi="標楷體" w:cs="新細明體"/>
                                <w:color w:val="000000"/>
                                <w:spacing w:val="-10"/>
                                <w:kern w:val="0"/>
                                <w:sz w:val="20"/>
                              </w:rPr>
                            </w:pPr>
                            <w:r w:rsidRPr="008A0041">
                              <w:rPr>
                                <w:rFonts w:ascii="標楷體" w:eastAsia="標楷體" w:hAnsi="標楷體" w:cs="新細明體" w:hint="eastAsia"/>
                                <w:color w:val="000000"/>
                                <w:spacing w:val="-10"/>
                                <w:kern w:val="0"/>
                                <w:sz w:val="20"/>
                              </w:rPr>
                              <w:t>都市推動捷運</w:t>
                            </w:r>
                          </w:p>
                        </w:tc>
                        <w:tc>
                          <w:tcPr>
                            <w:tcW w:w="548" w:type="pct"/>
                            <w:tcBorders>
                              <w:top w:val="nil"/>
                              <w:left w:val="nil"/>
                              <w:bottom w:val="single" w:sz="4" w:space="0" w:color="auto"/>
                              <w:right w:val="single" w:sz="4" w:space="0" w:color="auto"/>
                            </w:tcBorders>
                            <w:shd w:val="clear" w:color="auto" w:fill="auto"/>
                            <w:vAlign w:val="center"/>
                            <w:hideMark/>
                          </w:tcPr>
                          <w:p w14:paraId="3FC4CC32"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鐵路立體化及通勤提速</w:t>
                            </w:r>
                          </w:p>
                        </w:tc>
                        <w:tc>
                          <w:tcPr>
                            <w:tcW w:w="539" w:type="pct"/>
                            <w:tcBorders>
                              <w:top w:val="nil"/>
                              <w:left w:val="nil"/>
                              <w:bottom w:val="single" w:sz="4" w:space="0" w:color="auto"/>
                              <w:right w:val="single" w:sz="4" w:space="0" w:color="auto"/>
                            </w:tcBorders>
                            <w:shd w:val="clear" w:color="auto" w:fill="auto"/>
                            <w:vAlign w:val="center"/>
                            <w:hideMark/>
                          </w:tcPr>
                          <w:p w14:paraId="7BDA76C6" w14:textId="77777777" w:rsidR="00A0212B" w:rsidRPr="0078131B" w:rsidRDefault="00A0212B" w:rsidP="000131EC">
                            <w:pPr>
                              <w:widowControl/>
                              <w:spacing w:line="240" w:lineRule="exact"/>
                              <w:jc w:val="center"/>
                              <w:rPr>
                                <w:rFonts w:ascii="標楷體" w:eastAsia="標楷體" w:hAnsi="標楷體" w:cs="新細明體"/>
                                <w:color w:val="000000"/>
                                <w:spacing w:val="-20"/>
                                <w:kern w:val="0"/>
                                <w:sz w:val="20"/>
                              </w:rPr>
                            </w:pPr>
                            <w:r w:rsidRPr="008A0041">
                              <w:rPr>
                                <w:rFonts w:ascii="標楷體" w:eastAsia="標楷體" w:hAnsi="標楷體" w:cs="新細明體" w:hint="eastAsia"/>
                                <w:color w:val="000000"/>
                                <w:spacing w:val="-12"/>
                                <w:kern w:val="0"/>
                                <w:sz w:val="20"/>
                              </w:rPr>
                              <w:t>完備綠能技術及建設</w:t>
                            </w:r>
                          </w:p>
                        </w:tc>
                        <w:tc>
                          <w:tcPr>
                            <w:tcW w:w="539" w:type="pct"/>
                            <w:tcBorders>
                              <w:top w:val="nil"/>
                              <w:left w:val="nil"/>
                              <w:bottom w:val="single" w:sz="4" w:space="0" w:color="auto"/>
                              <w:right w:val="single" w:sz="4" w:space="0" w:color="auto"/>
                            </w:tcBorders>
                            <w:shd w:val="clear" w:color="auto" w:fill="auto"/>
                            <w:vAlign w:val="center"/>
                            <w:hideMark/>
                          </w:tcPr>
                          <w:p w14:paraId="070B82B8" w14:textId="77777777" w:rsidR="00A0212B" w:rsidRPr="0078131B" w:rsidRDefault="00A0212B" w:rsidP="000131EC">
                            <w:pPr>
                              <w:widowControl/>
                              <w:spacing w:line="240" w:lineRule="exact"/>
                              <w:jc w:val="center"/>
                              <w:rPr>
                                <w:rFonts w:ascii="標楷體" w:eastAsia="標楷體" w:hAnsi="標楷體" w:cs="新細明體"/>
                                <w:color w:val="000000"/>
                                <w:spacing w:val="-20"/>
                                <w:kern w:val="0"/>
                                <w:sz w:val="20"/>
                              </w:rPr>
                            </w:pPr>
                            <w:r w:rsidRPr="008A0041">
                              <w:rPr>
                                <w:rFonts w:ascii="標楷體" w:eastAsia="標楷體" w:hAnsi="標楷體" w:cs="新細明體" w:hint="eastAsia"/>
                                <w:color w:val="000000"/>
                                <w:spacing w:val="-12"/>
                                <w:kern w:val="0"/>
                                <w:sz w:val="20"/>
                              </w:rPr>
                              <w:t>開發在地型</w:t>
                            </w:r>
                            <w:r w:rsidRPr="0078131B">
                              <w:rPr>
                                <w:rFonts w:ascii="標楷體" w:eastAsia="標楷體" w:hAnsi="標楷體" w:cs="新細明體" w:hint="eastAsia"/>
                                <w:color w:val="000000"/>
                                <w:spacing w:val="-20"/>
                                <w:kern w:val="0"/>
                                <w:sz w:val="20"/>
                              </w:rPr>
                              <w:t>產業園區</w:t>
                            </w:r>
                          </w:p>
                        </w:tc>
                      </w:tr>
                      <w:tr w:rsidR="00A0212B" w:rsidRPr="001B469B" w14:paraId="00E035F6" w14:textId="77777777" w:rsidTr="000131EC">
                        <w:trPr>
                          <w:trHeight w:val="20"/>
                          <w:jc w:val="center"/>
                        </w:trPr>
                        <w:tc>
                          <w:tcPr>
                            <w:tcW w:w="124" w:type="pct"/>
                            <w:vMerge/>
                            <w:tcBorders>
                              <w:left w:val="single" w:sz="4" w:space="0" w:color="auto"/>
                              <w:bottom w:val="single" w:sz="4" w:space="0" w:color="auto"/>
                              <w:right w:val="single" w:sz="4" w:space="0" w:color="auto"/>
                            </w:tcBorders>
                            <w:shd w:val="clear" w:color="auto" w:fill="auto"/>
                            <w:vAlign w:val="center"/>
                            <w:hideMark/>
                          </w:tcPr>
                          <w:p w14:paraId="77022864"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vMerge/>
                            <w:tcBorders>
                              <w:left w:val="nil"/>
                              <w:bottom w:val="single" w:sz="4" w:space="0" w:color="auto"/>
                              <w:right w:val="single" w:sz="4" w:space="0" w:color="auto"/>
                            </w:tcBorders>
                            <w:shd w:val="clear" w:color="auto" w:fill="auto"/>
                            <w:vAlign w:val="center"/>
                          </w:tcPr>
                          <w:p w14:paraId="28D47A31"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509" w:type="pct"/>
                            <w:gridSpan w:val="2"/>
                            <w:vMerge/>
                            <w:tcBorders>
                              <w:left w:val="nil"/>
                              <w:bottom w:val="single" w:sz="4" w:space="0" w:color="auto"/>
                              <w:right w:val="single" w:sz="4" w:space="0" w:color="auto"/>
                            </w:tcBorders>
                            <w:shd w:val="clear" w:color="auto" w:fill="auto"/>
                            <w:vAlign w:val="center"/>
                            <w:hideMark/>
                          </w:tcPr>
                          <w:p w14:paraId="7A6078FF"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517" w:type="pct"/>
                            <w:vMerge/>
                            <w:tcBorders>
                              <w:left w:val="nil"/>
                              <w:bottom w:val="single" w:sz="4" w:space="0" w:color="auto"/>
                              <w:right w:val="single" w:sz="4" w:space="0" w:color="auto"/>
                            </w:tcBorders>
                            <w:shd w:val="clear" w:color="auto" w:fill="auto"/>
                            <w:vAlign w:val="center"/>
                            <w:hideMark/>
                          </w:tcPr>
                          <w:p w14:paraId="620ECE9D"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127" w:type="pct"/>
                            <w:tcBorders>
                              <w:top w:val="nil"/>
                              <w:left w:val="nil"/>
                              <w:bottom w:val="single" w:sz="4" w:space="0" w:color="auto"/>
                              <w:right w:val="single" w:sz="4" w:space="0" w:color="auto"/>
                            </w:tcBorders>
                            <w:shd w:val="clear" w:color="auto" w:fill="auto"/>
                            <w:vAlign w:val="center"/>
                          </w:tcPr>
                          <w:p w14:paraId="6D19402A" w14:textId="77777777" w:rsidR="00A0212B" w:rsidRPr="0078131B" w:rsidRDefault="00A0212B" w:rsidP="000131EC">
                            <w:pPr>
                              <w:widowControl/>
                              <w:spacing w:line="240" w:lineRule="exact"/>
                              <w:jc w:val="both"/>
                              <w:rPr>
                                <w:rFonts w:ascii="標楷體" w:eastAsia="標楷體" w:hAnsi="標楷體" w:cs="新細明體"/>
                                <w:spacing w:val="-20"/>
                                <w:kern w:val="0"/>
                                <w:sz w:val="20"/>
                              </w:rPr>
                            </w:pPr>
                            <w:r w:rsidRPr="0078131B">
                              <w:rPr>
                                <w:rFonts w:ascii="標楷體" w:eastAsia="標楷體" w:hAnsi="標楷體" w:cs="新細明體" w:hint="eastAsia"/>
                                <w:spacing w:val="-20"/>
                                <w:kern w:val="0"/>
                                <w:sz w:val="20"/>
                              </w:rPr>
                              <w:t>單位</w:t>
                            </w:r>
                          </w:p>
                        </w:tc>
                        <w:tc>
                          <w:tcPr>
                            <w:tcW w:w="737" w:type="pct"/>
                            <w:tcBorders>
                              <w:top w:val="nil"/>
                              <w:left w:val="nil"/>
                              <w:bottom w:val="single" w:sz="4" w:space="0" w:color="auto"/>
                              <w:right w:val="single" w:sz="4" w:space="0" w:color="auto"/>
                            </w:tcBorders>
                            <w:shd w:val="clear" w:color="auto" w:fill="auto"/>
                            <w:vAlign w:val="center"/>
                          </w:tcPr>
                          <w:p w14:paraId="7CBF7102" w14:textId="77777777" w:rsidR="00A0212B" w:rsidRPr="008A0041" w:rsidRDefault="00A0212B" w:rsidP="000131EC">
                            <w:pPr>
                              <w:widowControl/>
                              <w:spacing w:line="240" w:lineRule="exact"/>
                              <w:jc w:val="both"/>
                              <w:rPr>
                                <w:rFonts w:ascii="標楷體" w:eastAsia="標楷體" w:hAnsi="標楷體" w:cs="新細明體"/>
                                <w:color w:val="000000"/>
                                <w:spacing w:val="-12"/>
                                <w:kern w:val="0"/>
                                <w:sz w:val="20"/>
                              </w:rPr>
                            </w:pPr>
                            <w:r w:rsidRPr="008A0041">
                              <w:rPr>
                                <w:rFonts w:ascii="標楷體" w:eastAsia="標楷體" w:hAnsi="標楷體" w:cs="新細明體" w:hint="eastAsia"/>
                                <w:color w:val="000000"/>
                                <w:spacing w:val="-12"/>
                                <w:kern w:val="0"/>
                                <w:sz w:val="20"/>
                              </w:rPr>
                              <w:t>交通部、</w:t>
                            </w:r>
                            <w:r w:rsidRPr="008A0041">
                              <w:rPr>
                                <w:rFonts w:ascii="標楷體" w:eastAsia="標楷體" w:hAnsi="標楷體" w:cs="新細明體" w:hint="eastAsia"/>
                                <w:color w:val="000000"/>
                                <w:spacing w:val="-8"/>
                                <w:kern w:val="0"/>
                                <w:sz w:val="20"/>
                              </w:rPr>
                              <w:t>鐵道局</w:t>
                            </w:r>
                            <w:r w:rsidRPr="008A0041">
                              <w:rPr>
                                <w:rFonts w:ascii="標楷體" w:eastAsia="標楷體" w:hAnsi="標楷體" w:cs="新細明體" w:hint="eastAsia"/>
                                <w:color w:val="000000"/>
                                <w:spacing w:val="-12"/>
                                <w:kern w:val="0"/>
                                <w:sz w:val="20"/>
                              </w:rPr>
                              <w:t>及所屬、林業及自然保育署</w:t>
                            </w:r>
                            <w:r w:rsidRPr="008A0041">
                              <w:rPr>
                                <w:rFonts w:ascii="標楷體" w:eastAsia="標楷體" w:hAnsi="標楷體" w:cs="新細明體" w:hint="eastAsia"/>
                                <w:color w:val="000000"/>
                                <w:spacing w:val="-8"/>
                                <w:kern w:val="0"/>
                                <w:sz w:val="20"/>
                              </w:rPr>
                              <w:t>及所</w:t>
                            </w:r>
                            <w:r w:rsidRPr="008A0041">
                              <w:rPr>
                                <w:rFonts w:ascii="標楷體" w:eastAsia="標楷體" w:hAnsi="標楷體" w:cs="新細明體" w:hint="eastAsia"/>
                                <w:color w:val="000000"/>
                                <w:spacing w:val="-12"/>
                                <w:kern w:val="0"/>
                                <w:sz w:val="20"/>
                              </w:rPr>
                              <w:t>屬</w:t>
                            </w:r>
                          </w:p>
                        </w:tc>
                        <w:tc>
                          <w:tcPr>
                            <w:tcW w:w="605" w:type="pct"/>
                            <w:tcBorders>
                              <w:top w:val="nil"/>
                              <w:left w:val="nil"/>
                              <w:bottom w:val="single" w:sz="4" w:space="0" w:color="auto"/>
                              <w:right w:val="single" w:sz="4" w:space="0" w:color="auto"/>
                            </w:tcBorders>
                            <w:shd w:val="clear" w:color="auto" w:fill="auto"/>
                            <w:vAlign w:val="center"/>
                            <w:hideMark/>
                          </w:tcPr>
                          <w:p w14:paraId="575F4D57" w14:textId="77777777" w:rsidR="00A0212B" w:rsidRPr="001B469B" w:rsidRDefault="00A0212B" w:rsidP="000131EC">
                            <w:pPr>
                              <w:widowControl/>
                              <w:spacing w:line="240" w:lineRule="exact"/>
                              <w:jc w:val="both"/>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交通部、鐵道局及所屬</w:t>
                            </w:r>
                          </w:p>
                        </w:tc>
                        <w:tc>
                          <w:tcPr>
                            <w:tcW w:w="548" w:type="pct"/>
                            <w:tcBorders>
                              <w:top w:val="nil"/>
                              <w:left w:val="nil"/>
                              <w:bottom w:val="single" w:sz="4" w:space="0" w:color="auto"/>
                              <w:right w:val="single" w:sz="4" w:space="0" w:color="auto"/>
                            </w:tcBorders>
                            <w:shd w:val="clear" w:color="auto" w:fill="auto"/>
                            <w:vAlign w:val="center"/>
                            <w:hideMark/>
                          </w:tcPr>
                          <w:p w14:paraId="7E26E6EE" w14:textId="77777777" w:rsidR="00A0212B" w:rsidRPr="001B469B" w:rsidRDefault="00A0212B" w:rsidP="000131EC">
                            <w:pPr>
                              <w:widowControl/>
                              <w:spacing w:line="240" w:lineRule="exact"/>
                              <w:jc w:val="both"/>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交通部、鐵道局及所屬</w:t>
                            </w:r>
                          </w:p>
                        </w:tc>
                        <w:tc>
                          <w:tcPr>
                            <w:tcW w:w="539" w:type="pct"/>
                            <w:tcBorders>
                              <w:top w:val="nil"/>
                              <w:left w:val="nil"/>
                              <w:bottom w:val="single" w:sz="4" w:space="0" w:color="auto"/>
                              <w:right w:val="single" w:sz="4" w:space="0" w:color="auto"/>
                            </w:tcBorders>
                            <w:shd w:val="clear" w:color="auto" w:fill="auto"/>
                            <w:vAlign w:val="center"/>
                            <w:hideMark/>
                          </w:tcPr>
                          <w:p w14:paraId="357640FB" w14:textId="77777777" w:rsidR="00A0212B" w:rsidRPr="0001579F" w:rsidRDefault="00A0212B" w:rsidP="000131EC">
                            <w:pPr>
                              <w:widowControl/>
                              <w:spacing w:line="240" w:lineRule="exact"/>
                              <w:jc w:val="both"/>
                              <w:rPr>
                                <w:rFonts w:ascii="標楷體" w:eastAsia="標楷體" w:hAnsi="標楷體" w:cs="新細明體"/>
                                <w:color w:val="000000"/>
                                <w:kern w:val="0"/>
                                <w:sz w:val="20"/>
                              </w:rPr>
                            </w:pPr>
                            <w:r w:rsidRPr="0001579F">
                              <w:rPr>
                                <w:rFonts w:ascii="標楷體" w:eastAsia="標楷體" w:hAnsi="標楷體" w:cs="新細明體" w:hint="eastAsia"/>
                                <w:color w:val="000000"/>
                                <w:kern w:val="0"/>
                                <w:sz w:val="20"/>
                              </w:rPr>
                              <w:t>公路局及所屬、能源署</w:t>
                            </w:r>
                          </w:p>
                        </w:tc>
                        <w:tc>
                          <w:tcPr>
                            <w:tcW w:w="539" w:type="pct"/>
                            <w:tcBorders>
                              <w:top w:val="nil"/>
                              <w:left w:val="nil"/>
                              <w:bottom w:val="single" w:sz="4" w:space="0" w:color="auto"/>
                              <w:right w:val="single" w:sz="4" w:space="0" w:color="auto"/>
                            </w:tcBorders>
                            <w:shd w:val="clear" w:color="auto" w:fill="auto"/>
                            <w:vAlign w:val="center"/>
                            <w:hideMark/>
                          </w:tcPr>
                          <w:p w14:paraId="14A7B53A" w14:textId="77777777" w:rsidR="00A0212B" w:rsidRPr="001B469B" w:rsidRDefault="00A0212B" w:rsidP="000131EC">
                            <w:pPr>
                              <w:widowControl/>
                              <w:spacing w:line="240" w:lineRule="exact"/>
                              <w:jc w:val="both"/>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產業發展署、中小及新創企業署</w:t>
                            </w:r>
                          </w:p>
                        </w:tc>
                      </w:tr>
                      <w:tr w:rsidR="00A0212B" w:rsidRPr="001B469B" w14:paraId="01F6C7DA" w14:textId="77777777" w:rsidTr="004D7C92">
                        <w:trPr>
                          <w:trHeight w:hRule="exact" w:val="340"/>
                          <w:jc w:val="center"/>
                        </w:trPr>
                        <w:tc>
                          <w:tcPr>
                            <w:tcW w:w="124" w:type="pct"/>
                            <w:vMerge w:val="restart"/>
                            <w:tcBorders>
                              <w:top w:val="single" w:sz="4" w:space="0" w:color="auto"/>
                              <w:left w:val="single" w:sz="4" w:space="0" w:color="auto"/>
                              <w:right w:val="single" w:sz="4" w:space="0" w:color="auto"/>
                            </w:tcBorders>
                            <w:shd w:val="clear" w:color="auto" w:fill="auto"/>
                            <w:vAlign w:val="center"/>
                          </w:tcPr>
                          <w:p w14:paraId="3482C136"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合計</w:t>
                            </w:r>
                          </w:p>
                        </w:tc>
                        <w:tc>
                          <w:tcPr>
                            <w:tcW w:w="756" w:type="pct"/>
                            <w:gridSpan w:val="2"/>
                            <w:tcBorders>
                              <w:top w:val="single" w:sz="4" w:space="0" w:color="auto"/>
                              <w:left w:val="nil"/>
                              <w:bottom w:val="single" w:sz="4" w:space="0" w:color="auto"/>
                              <w:right w:val="single" w:sz="4" w:space="0" w:color="auto"/>
                            </w:tcBorders>
                            <w:shd w:val="clear" w:color="auto" w:fill="auto"/>
                            <w:vAlign w:val="center"/>
                          </w:tcPr>
                          <w:p w14:paraId="173AF9DB"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以前年度轉入數</w:t>
                            </w:r>
                          </w:p>
                        </w:tc>
                        <w:tc>
                          <w:tcPr>
                            <w:tcW w:w="509" w:type="pct"/>
                            <w:gridSpan w:val="2"/>
                            <w:tcBorders>
                              <w:top w:val="single" w:sz="4" w:space="0" w:color="auto"/>
                              <w:left w:val="nil"/>
                              <w:bottom w:val="single" w:sz="4" w:space="0" w:color="auto"/>
                              <w:right w:val="single" w:sz="4" w:space="0" w:color="auto"/>
                            </w:tcBorders>
                            <w:shd w:val="clear" w:color="auto" w:fill="auto"/>
                            <w:vAlign w:val="center"/>
                          </w:tcPr>
                          <w:p w14:paraId="4C8FFF3E"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13,748,996 </w:t>
                            </w:r>
                          </w:p>
                        </w:tc>
                        <w:tc>
                          <w:tcPr>
                            <w:tcW w:w="517" w:type="pct"/>
                            <w:tcBorders>
                              <w:top w:val="nil"/>
                              <w:left w:val="nil"/>
                              <w:bottom w:val="single" w:sz="4" w:space="0" w:color="auto"/>
                              <w:right w:val="single" w:sz="4" w:space="0" w:color="auto"/>
                            </w:tcBorders>
                            <w:shd w:val="clear" w:color="auto" w:fill="auto"/>
                            <w:vAlign w:val="center"/>
                          </w:tcPr>
                          <w:p w14:paraId="4B3FC3F4"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11,765,627 </w:t>
                            </w:r>
                          </w:p>
                        </w:tc>
                        <w:tc>
                          <w:tcPr>
                            <w:tcW w:w="864" w:type="pct"/>
                            <w:gridSpan w:val="2"/>
                            <w:tcBorders>
                              <w:top w:val="nil"/>
                              <w:left w:val="nil"/>
                              <w:bottom w:val="single" w:sz="4" w:space="0" w:color="auto"/>
                              <w:right w:val="single" w:sz="4" w:space="0" w:color="auto"/>
                            </w:tcBorders>
                            <w:shd w:val="clear" w:color="auto" w:fill="auto"/>
                            <w:vAlign w:val="center"/>
                          </w:tcPr>
                          <w:p w14:paraId="684D424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576,718 </w:t>
                            </w:r>
                          </w:p>
                        </w:tc>
                        <w:tc>
                          <w:tcPr>
                            <w:tcW w:w="605" w:type="pct"/>
                            <w:tcBorders>
                              <w:top w:val="nil"/>
                              <w:left w:val="nil"/>
                              <w:bottom w:val="single" w:sz="4" w:space="0" w:color="auto"/>
                              <w:right w:val="single" w:sz="4" w:space="0" w:color="auto"/>
                            </w:tcBorders>
                            <w:shd w:val="clear" w:color="auto" w:fill="auto"/>
                            <w:vAlign w:val="center"/>
                          </w:tcPr>
                          <w:p w14:paraId="76F57BEE"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9,707,791 </w:t>
                            </w:r>
                          </w:p>
                        </w:tc>
                        <w:tc>
                          <w:tcPr>
                            <w:tcW w:w="548" w:type="pct"/>
                            <w:tcBorders>
                              <w:top w:val="nil"/>
                              <w:left w:val="nil"/>
                              <w:bottom w:val="single" w:sz="4" w:space="0" w:color="auto"/>
                              <w:right w:val="single" w:sz="4" w:space="0" w:color="auto"/>
                            </w:tcBorders>
                            <w:shd w:val="clear" w:color="auto" w:fill="auto"/>
                            <w:vAlign w:val="center"/>
                          </w:tcPr>
                          <w:p w14:paraId="42A0523F"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1,481,118 </w:t>
                            </w:r>
                          </w:p>
                        </w:tc>
                        <w:tc>
                          <w:tcPr>
                            <w:tcW w:w="539" w:type="pct"/>
                            <w:tcBorders>
                              <w:top w:val="nil"/>
                              <w:left w:val="nil"/>
                              <w:bottom w:val="single" w:sz="4" w:space="0" w:color="auto"/>
                              <w:right w:val="single" w:sz="4" w:space="0" w:color="auto"/>
                            </w:tcBorders>
                            <w:shd w:val="clear" w:color="auto" w:fill="auto"/>
                            <w:vAlign w:val="center"/>
                          </w:tcPr>
                          <w:p w14:paraId="1B800D3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1,599,455 </w:t>
                            </w:r>
                          </w:p>
                        </w:tc>
                        <w:tc>
                          <w:tcPr>
                            <w:tcW w:w="539" w:type="pct"/>
                            <w:tcBorders>
                              <w:top w:val="nil"/>
                              <w:left w:val="nil"/>
                              <w:bottom w:val="single" w:sz="4" w:space="0" w:color="auto"/>
                              <w:right w:val="single" w:sz="4" w:space="0" w:color="auto"/>
                            </w:tcBorders>
                            <w:shd w:val="clear" w:color="auto" w:fill="auto"/>
                            <w:vAlign w:val="center"/>
                          </w:tcPr>
                          <w:p w14:paraId="1A88822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383,913 </w:t>
                            </w:r>
                          </w:p>
                        </w:tc>
                      </w:tr>
                      <w:tr w:rsidR="00A0212B" w:rsidRPr="001B469B" w14:paraId="614ABEE7"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tcPr>
                          <w:p w14:paraId="735D9EF4"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p>
                        </w:tc>
                        <w:tc>
                          <w:tcPr>
                            <w:tcW w:w="759" w:type="pct"/>
                            <w:gridSpan w:val="3"/>
                            <w:tcBorders>
                              <w:top w:val="nil"/>
                              <w:left w:val="nil"/>
                              <w:right w:val="single" w:sz="4" w:space="0" w:color="auto"/>
                            </w:tcBorders>
                            <w:shd w:val="clear" w:color="auto" w:fill="auto"/>
                            <w:vAlign w:val="center"/>
                          </w:tcPr>
                          <w:p w14:paraId="69A7EFA6"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實現數</w:t>
                            </w:r>
                          </w:p>
                        </w:tc>
                        <w:tc>
                          <w:tcPr>
                            <w:tcW w:w="506" w:type="pct"/>
                            <w:tcBorders>
                              <w:top w:val="nil"/>
                              <w:left w:val="nil"/>
                              <w:bottom w:val="single" w:sz="4" w:space="0" w:color="auto"/>
                              <w:right w:val="single" w:sz="4" w:space="0" w:color="auto"/>
                            </w:tcBorders>
                            <w:shd w:val="clear" w:color="auto" w:fill="auto"/>
                            <w:vAlign w:val="center"/>
                          </w:tcPr>
                          <w:p w14:paraId="6AA1B18E"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6,533,763 </w:t>
                            </w:r>
                          </w:p>
                        </w:tc>
                        <w:tc>
                          <w:tcPr>
                            <w:tcW w:w="517" w:type="pct"/>
                            <w:tcBorders>
                              <w:top w:val="nil"/>
                              <w:left w:val="nil"/>
                              <w:bottom w:val="single" w:sz="4" w:space="0" w:color="auto"/>
                              <w:right w:val="single" w:sz="4" w:space="0" w:color="auto"/>
                            </w:tcBorders>
                            <w:shd w:val="clear" w:color="auto" w:fill="auto"/>
                            <w:vAlign w:val="center"/>
                          </w:tcPr>
                          <w:p w14:paraId="58259742"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5,835,525 </w:t>
                            </w:r>
                          </w:p>
                        </w:tc>
                        <w:tc>
                          <w:tcPr>
                            <w:tcW w:w="864" w:type="pct"/>
                            <w:gridSpan w:val="2"/>
                            <w:tcBorders>
                              <w:top w:val="nil"/>
                              <w:left w:val="nil"/>
                              <w:bottom w:val="single" w:sz="4" w:space="0" w:color="auto"/>
                              <w:right w:val="single" w:sz="4" w:space="0" w:color="auto"/>
                            </w:tcBorders>
                            <w:shd w:val="clear" w:color="auto" w:fill="auto"/>
                            <w:vAlign w:val="center"/>
                          </w:tcPr>
                          <w:p w14:paraId="3528B6CA"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210,153 </w:t>
                            </w:r>
                          </w:p>
                        </w:tc>
                        <w:tc>
                          <w:tcPr>
                            <w:tcW w:w="605" w:type="pct"/>
                            <w:tcBorders>
                              <w:top w:val="nil"/>
                              <w:left w:val="nil"/>
                              <w:bottom w:val="single" w:sz="4" w:space="0" w:color="auto"/>
                              <w:right w:val="single" w:sz="4" w:space="0" w:color="auto"/>
                            </w:tcBorders>
                            <w:shd w:val="clear" w:color="auto" w:fill="auto"/>
                            <w:vAlign w:val="center"/>
                          </w:tcPr>
                          <w:p w14:paraId="75F927D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4,236,004 </w:t>
                            </w:r>
                          </w:p>
                        </w:tc>
                        <w:tc>
                          <w:tcPr>
                            <w:tcW w:w="548" w:type="pct"/>
                            <w:tcBorders>
                              <w:top w:val="nil"/>
                              <w:left w:val="nil"/>
                              <w:bottom w:val="single" w:sz="4" w:space="0" w:color="auto"/>
                              <w:right w:val="single" w:sz="4" w:space="0" w:color="auto"/>
                            </w:tcBorders>
                            <w:shd w:val="clear" w:color="auto" w:fill="auto"/>
                            <w:vAlign w:val="center"/>
                          </w:tcPr>
                          <w:p w14:paraId="727B4A3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1,389,367 </w:t>
                            </w:r>
                          </w:p>
                        </w:tc>
                        <w:tc>
                          <w:tcPr>
                            <w:tcW w:w="539" w:type="pct"/>
                            <w:tcBorders>
                              <w:top w:val="nil"/>
                              <w:left w:val="nil"/>
                              <w:bottom w:val="single" w:sz="4" w:space="0" w:color="auto"/>
                              <w:right w:val="single" w:sz="4" w:space="0" w:color="auto"/>
                            </w:tcBorders>
                            <w:shd w:val="clear" w:color="auto" w:fill="auto"/>
                            <w:vAlign w:val="center"/>
                          </w:tcPr>
                          <w:p w14:paraId="7EDBD0D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554,471 </w:t>
                            </w:r>
                          </w:p>
                        </w:tc>
                        <w:tc>
                          <w:tcPr>
                            <w:tcW w:w="539" w:type="pct"/>
                            <w:tcBorders>
                              <w:top w:val="nil"/>
                              <w:left w:val="nil"/>
                              <w:bottom w:val="single" w:sz="4" w:space="0" w:color="auto"/>
                              <w:right w:val="single" w:sz="4" w:space="0" w:color="auto"/>
                            </w:tcBorders>
                            <w:shd w:val="clear" w:color="auto" w:fill="auto"/>
                            <w:vAlign w:val="center"/>
                          </w:tcPr>
                          <w:p w14:paraId="51E88BDF"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143,767 </w:t>
                            </w:r>
                          </w:p>
                        </w:tc>
                      </w:tr>
                      <w:tr w:rsidR="00A0212B" w:rsidRPr="001B469B" w14:paraId="0320D8F3"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tcPr>
                          <w:p w14:paraId="0B8A9C68"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p>
                        </w:tc>
                        <w:tc>
                          <w:tcPr>
                            <w:tcW w:w="66" w:type="pct"/>
                            <w:tcBorders>
                              <w:left w:val="nil"/>
                              <w:bottom w:val="single" w:sz="4" w:space="0" w:color="auto"/>
                              <w:right w:val="single" w:sz="4" w:space="0" w:color="auto"/>
                            </w:tcBorders>
                            <w:shd w:val="clear" w:color="auto" w:fill="auto"/>
                            <w:vAlign w:val="center"/>
                          </w:tcPr>
                          <w:p w14:paraId="5F9EF841"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p>
                        </w:tc>
                        <w:tc>
                          <w:tcPr>
                            <w:tcW w:w="693" w:type="pct"/>
                            <w:gridSpan w:val="2"/>
                            <w:tcBorders>
                              <w:top w:val="single" w:sz="4" w:space="0" w:color="auto"/>
                              <w:left w:val="nil"/>
                              <w:bottom w:val="single" w:sz="4" w:space="0" w:color="auto"/>
                              <w:right w:val="single" w:sz="4" w:space="0" w:color="auto"/>
                            </w:tcBorders>
                            <w:shd w:val="clear" w:color="auto" w:fill="auto"/>
                            <w:vAlign w:val="center"/>
                          </w:tcPr>
                          <w:p w14:paraId="70A6B179"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實現率</w:t>
                            </w:r>
                            <w:r w:rsidRPr="0078131B">
                              <w:rPr>
                                <w:rFonts w:ascii="標楷體" w:eastAsia="標楷體" w:hAnsi="標楷體" w:cs="新細明體" w:hint="eastAsia"/>
                                <w:b/>
                                <w:bCs/>
                                <w:color w:val="000000"/>
                                <w:spacing w:val="-20"/>
                                <w:sz w:val="20"/>
                              </w:rPr>
                              <w:t>（註1）</w:t>
                            </w:r>
                          </w:p>
                        </w:tc>
                        <w:tc>
                          <w:tcPr>
                            <w:tcW w:w="506" w:type="pct"/>
                            <w:tcBorders>
                              <w:top w:val="nil"/>
                              <w:left w:val="nil"/>
                              <w:bottom w:val="single" w:sz="4" w:space="0" w:color="auto"/>
                              <w:right w:val="single" w:sz="4" w:space="0" w:color="auto"/>
                            </w:tcBorders>
                            <w:shd w:val="clear" w:color="auto" w:fill="auto"/>
                            <w:vAlign w:val="center"/>
                          </w:tcPr>
                          <w:p w14:paraId="45F36352"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47.52</w:t>
                            </w:r>
                          </w:p>
                        </w:tc>
                        <w:tc>
                          <w:tcPr>
                            <w:tcW w:w="517" w:type="pct"/>
                            <w:tcBorders>
                              <w:top w:val="nil"/>
                              <w:left w:val="nil"/>
                              <w:bottom w:val="single" w:sz="4" w:space="0" w:color="auto"/>
                              <w:right w:val="single" w:sz="4" w:space="0" w:color="auto"/>
                            </w:tcBorders>
                            <w:shd w:val="clear" w:color="auto" w:fill="auto"/>
                            <w:vAlign w:val="center"/>
                          </w:tcPr>
                          <w:p w14:paraId="25361E14"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49.60</w:t>
                            </w:r>
                          </w:p>
                        </w:tc>
                        <w:tc>
                          <w:tcPr>
                            <w:tcW w:w="864" w:type="pct"/>
                            <w:gridSpan w:val="2"/>
                            <w:tcBorders>
                              <w:top w:val="nil"/>
                              <w:left w:val="nil"/>
                              <w:bottom w:val="single" w:sz="4" w:space="0" w:color="auto"/>
                              <w:right w:val="single" w:sz="4" w:space="0" w:color="auto"/>
                            </w:tcBorders>
                            <w:shd w:val="clear" w:color="auto" w:fill="auto"/>
                            <w:vAlign w:val="center"/>
                          </w:tcPr>
                          <w:p w14:paraId="282C9E37"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36.44</w:t>
                            </w:r>
                          </w:p>
                        </w:tc>
                        <w:tc>
                          <w:tcPr>
                            <w:tcW w:w="605" w:type="pct"/>
                            <w:tcBorders>
                              <w:top w:val="nil"/>
                              <w:left w:val="nil"/>
                              <w:bottom w:val="single" w:sz="4" w:space="0" w:color="auto"/>
                              <w:right w:val="single" w:sz="4" w:space="0" w:color="auto"/>
                            </w:tcBorders>
                            <w:shd w:val="clear" w:color="auto" w:fill="auto"/>
                            <w:vAlign w:val="center"/>
                          </w:tcPr>
                          <w:p w14:paraId="52BE5941"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43.64</w:t>
                            </w:r>
                          </w:p>
                        </w:tc>
                        <w:tc>
                          <w:tcPr>
                            <w:tcW w:w="548" w:type="pct"/>
                            <w:tcBorders>
                              <w:top w:val="nil"/>
                              <w:left w:val="nil"/>
                              <w:bottom w:val="single" w:sz="4" w:space="0" w:color="auto"/>
                              <w:right w:val="single" w:sz="4" w:space="0" w:color="auto"/>
                            </w:tcBorders>
                            <w:shd w:val="clear" w:color="auto" w:fill="auto"/>
                            <w:vAlign w:val="center"/>
                          </w:tcPr>
                          <w:p w14:paraId="6B72F212"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93.81</w:t>
                            </w:r>
                          </w:p>
                        </w:tc>
                        <w:tc>
                          <w:tcPr>
                            <w:tcW w:w="539" w:type="pct"/>
                            <w:tcBorders>
                              <w:top w:val="nil"/>
                              <w:left w:val="nil"/>
                              <w:bottom w:val="single" w:sz="4" w:space="0" w:color="auto"/>
                              <w:right w:val="single" w:sz="4" w:space="0" w:color="auto"/>
                            </w:tcBorders>
                            <w:shd w:val="clear" w:color="auto" w:fill="auto"/>
                            <w:vAlign w:val="center"/>
                          </w:tcPr>
                          <w:p w14:paraId="33BD861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34.67</w:t>
                            </w:r>
                          </w:p>
                        </w:tc>
                        <w:tc>
                          <w:tcPr>
                            <w:tcW w:w="539" w:type="pct"/>
                            <w:tcBorders>
                              <w:top w:val="nil"/>
                              <w:left w:val="nil"/>
                              <w:bottom w:val="single" w:sz="4" w:space="0" w:color="auto"/>
                              <w:right w:val="single" w:sz="4" w:space="0" w:color="auto"/>
                            </w:tcBorders>
                            <w:shd w:val="clear" w:color="auto" w:fill="auto"/>
                            <w:vAlign w:val="center"/>
                          </w:tcPr>
                          <w:p w14:paraId="08CEDDD5"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37.45</w:t>
                            </w:r>
                          </w:p>
                        </w:tc>
                      </w:tr>
                      <w:tr w:rsidR="00A0212B" w:rsidRPr="001B469B" w14:paraId="232173D5"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tcPr>
                          <w:p w14:paraId="1E2F87F8"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p>
                        </w:tc>
                        <w:tc>
                          <w:tcPr>
                            <w:tcW w:w="759" w:type="pct"/>
                            <w:gridSpan w:val="3"/>
                            <w:tcBorders>
                              <w:top w:val="nil"/>
                              <w:left w:val="nil"/>
                              <w:bottom w:val="single" w:sz="4" w:space="0" w:color="auto"/>
                              <w:right w:val="single" w:sz="4" w:space="0" w:color="auto"/>
                            </w:tcBorders>
                            <w:shd w:val="clear" w:color="auto" w:fill="auto"/>
                            <w:vAlign w:val="center"/>
                          </w:tcPr>
                          <w:p w14:paraId="207FF696"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應付保留數</w:t>
                            </w:r>
                          </w:p>
                        </w:tc>
                        <w:tc>
                          <w:tcPr>
                            <w:tcW w:w="506" w:type="pct"/>
                            <w:tcBorders>
                              <w:top w:val="nil"/>
                              <w:left w:val="nil"/>
                              <w:bottom w:val="single" w:sz="4" w:space="0" w:color="auto"/>
                              <w:right w:val="single" w:sz="4" w:space="0" w:color="auto"/>
                            </w:tcBorders>
                            <w:shd w:val="clear" w:color="auto" w:fill="auto"/>
                            <w:vAlign w:val="center"/>
                          </w:tcPr>
                          <w:p w14:paraId="68239987"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7,074,572 </w:t>
                            </w:r>
                          </w:p>
                        </w:tc>
                        <w:tc>
                          <w:tcPr>
                            <w:tcW w:w="517" w:type="pct"/>
                            <w:tcBorders>
                              <w:top w:val="nil"/>
                              <w:left w:val="nil"/>
                              <w:bottom w:val="single" w:sz="4" w:space="0" w:color="auto"/>
                              <w:right w:val="single" w:sz="4" w:space="0" w:color="auto"/>
                            </w:tcBorders>
                            <w:shd w:val="clear" w:color="auto" w:fill="auto"/>
                            <w:vAlign w:val="center"/>
                          </w:tcPr>
                          <w:p w14:paraId="38C5C35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5,802,240 </w:t>
                            </w:r>
                          </w:p>
                        </w:tc>
                        <w:tc>
                          <w:tcPr>
                            <w:tcW w:w="864" w:type="pct"/>
                            <w:gridSpan w:val="2"/>
                            <w:tcBorders>
                              <w:top w:val="nil"/>
                              <w:left w:val="nil"/>
                              <w:bottom w:val="single" w:sz="4" w:space="0" w:color="auto"/>
                              <w:right w:val="single" w:sz="4" w:space="0" w:color="auto"/>
                            </w:tcBorders>
                            <w:shd w:val="clear" w:color="auto" w:fill="auto"/>
                            <w:vAlign w:val="center"/>
                          </w:tcPr>
                          <w:p w14:paraId="15E468CE"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362,423 </w:t>
                            </w:r>
                          </w:p>
                        </w:tc>
                        <w:tc>
                          <w:tcPr>
                            <w:tcW w:w="605" w:type="pct"/>
                            <w:tcBorders>
                              <w:top w:val="nil"/>
                              <w:left w:val="nil"/>
                              <w:bottom w:val="single" w:sz="4" w:space="0" w:color="auto"/>
                              <w:right w:val="single" w:sz="4" w:space="0" w:color="auto"/>
                            </w:tcBorders>
                            <w:shd w:val="clear" w:color="auto" w:fill="auto"/>
                            <w:vAlign w:val="center"/>
                          </w:tcPr>
                          <w:p w14:paraId="76956C24"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5,348,546 </w:t>
                            </w:r>
                          </w:p>
                        </w:tc>
                        <w:tc>
                          <w:tcPr>
                            <w:tcW w:w="548" w:type="pct"/>
                            <w:tcBorders>
                              <w:top w:val="nil"/>
                              <w:left w:val="nil"/>
                              <w:bottom w:val="single" w:sz="4" w:space="0" w:color="auto"/>
                              <w:right w:val="single" w:sz="4" w:space="0" w:color="auto"/>
                            </w:tcBorders>
                            <w:shd w:val="clear" w:color="auto" w:fill="auto"/>
                            <w:vAlign w:val="center"/>
                          </w:tcPr>
                          <w:p w14:paraId="5D62A1F4"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91,270 </w:t>
                            </w:r>
                          </w:p>
                        </w:tc>
                        <w:tc>
                          <w:tcPr>
                            <w:tcW w:w="539" w:type="pct"/>
                            <w:tcBorders>
                              <w:top w:val="nil"/>
                              <w:left w:val="nil"/>
                              <w:bottom w:val="single" w:sz="4" w:space="0" w:color="auto"/>
                              <w:right w:val="single" w:sz="4" w:space="0" w:color="auto"/>
                            </w:tcBorders>
                            <w:shd w:val="clear" w:color="auto" w:fill="auto"/>
                            <w:vAlign w:val="center"/>
                          </w:tcPr>
                          <w:p w14:paraId="2BEBF7AA"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1,044,984 </w:t>
                            </w:r>
                          </w:p>
                        </w:tc>
                        <w:tc>
                          <w:tcPr>
                            <w:tcW w:w="539" w:type="pct"/>
                            <w:tcBorders>
                              <w:top w:val="nil"/>
                              <w:left w:val="nil"/>
                              <w:bottom w:val="single" w:sz="4" w:space="0" w:color="auto"/>
                              <w:right w:val="single" w:sz="4" w:space="0" w:color="auto"/>
                            </w:tcBorders>
                            <w:shd w:val="clear" w:color="auto" w:fill="auto"/>
                            <w:vAlign w:val="center"/>
                          </w:tcPr>
                          <w:p w14:paraId="16890F6D"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227,347 </w:t>
                            </w:r>
                          </w:p>
                        </w:tc>
                      </w:tr>
                      <w:tr w:rsidR="00A0212B" w:rsidRPr="001B469B" w14:paraId="3EC33BDC" w14:textId="77777777" w:rsidTr="004D7C92">
                        <w:trPr>
                          <w:trHeight w:hRule="exact" w:val="340"/>
                          <w:jc w:val="center"/>
                        </w:trPr>
                        <w:tc>
                          <w:tcPr>
                            <w:tcW w:w="124" w:type="pct"/>
                            <w:vMerge/>
                            <w:tcBorders>
                              <w:left w:val="single" w:sz="4" w:space="0" w:color="auto"/>
                              <w:bottom w:val="single" w:sz="4" w:space="0" w:color="auto"/>
                              <w:right w:val="single" w:sz="4" w:space="0" w:color="auto"/>
                            </w:tcBorders>
                            <w:shd w:val="clear" w:color="auto" w:fill="auto"/>
                            <w:vAlign w:val="center"/>
                          </w:tcPr>
                          <w:p w14:paraId="556584CD" w14:textId="77777777" w:rsidR="00A0212B" w:rsidRPr="008A18D7" w:rsidRDefault="00A0212B" w:rsidP="000131EC">
                            <w:pPr>
                              <w:widowControl/>
                              <w:spacing w:line="240" w:lineRule="exact"/>
                              <w:jc w:val="center"/>
                              <w:rPr>
                                <w:rFonts w:ascii="標楷體" w:eastAsia="標楷體" w:hAnsi="標楷體" w:cs="新細明體"/>
                                <w:b/>
                                <w:bCs/>
                                <w:color w:val="000000"/>
                                <w:kern w:val="0"/>
                                <w:sz w:val="20"/>
                              </w:rPr>
                            </w:pPr>
                          </w:p>
                        </w:tc>
                        <w:tc>
                          <w:tcPr>
                            <w:tcW w:w="759" w:type="pct"/>
                            <w:gridSpan w:val="3"/>
                            <w:tcBorders>
                              <w:top w:val="nil"/>
                              <w:left w:val="nil"/>
                              <w:bottom w:val="single" w:sz="4" w:space="0" w:color="auto"/>
                              <w:right w:val="single" w:sz="4" w:space="0" w:color="auto"/>
                            </w:tcBorders>
                            <w:shd w:val="clear" w:color="auto" w:fill="auto"/>
                            <w:vAlign w:val="center"/>
                          </w:tcPr>
                          <w:p w14:paraId="32A47ED2" w14:textId="77777777" w:rsidR="00A0212B" w:rsidRPr="008A18D7" w:rsidRDefault="00A0212B" w:rsidP="000131EC">
                            <w:pPr>
                              <w:widowControl/>
                              <w:spacing w:line="240" w:lineRule="exact"/>
                              <w:rPr>
                                <w:rFonts w:ascii="標楷體" w:eastAsia="標楷體" w:hAnsi="標楷體" w:cs="新細明體"/>
                                <w:b/>
                                <w:bCs/>
                                <w:color w:val="000000"/>
                                <w:kern w:val="0"/>
                                <w:sz w:val="20"/>
                              </w:rPr>
                            </w:pPr>
                            <w:r w:rsidRPr="008A18D7">
                              <w:rPr>
                                <w:rFonts w:ascii="標楷體" w:eastAsia="標楷體" w:hAnsi="標楷體" w:cs="新細明體" w:hint="eastAsia"/>
                                <w:b/>
                                <w:bCs/>
                                <w:color w:val="000000"/>
                                <w:kern w:val="0"/>
                                <w:sz w:val="20"/>
                              </w:rPr>
                              <w:t>減免(註銷)數</w:t>
                            </w:r>
                          </w:p>
                        </w:tc>
                        <w:tc>
                          <w:tcPr>
                            <w:tcW w:w="506" w:type="pct"/>
                            <w:tcBorders>
                              <w:top w:val="nil"/>
                              <w:left w:val="nil"/>
                              <w:bottom w:val="single" w:sz="4" w:space="0" w:color="auto"/>
                              <w:right w:val="single" w:sz="4" w:space="0" w:color="auto"/>
                            </w:tcBorders>
                            <w:shd w:val="clear" w:color="auto" w:fill="auto"/>
                            <w:vAlign w:val="center"/>
                          </w:tcPr>
                          <w:p w14:paraId="6BA209AA"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140,660 </w:t>
                            </w:r>
                          </w:p>
                        </w:tc>
                        <w:tc>
                          <w:tcPr>
                            <w:tcW w:w="517" w:type="pct"/>
                            <w:tcBorders>
                              <w:top w:val="nil"/>
                              <w:left w:val="nil"/>
                              <w:bottom w:val="single" w:sz="4" w:space="0" w:color="auto"/>
                              <w:right w:val="single" w:sz="4" w:space="0" w:color="auto"/>
                            </w:tcBorders>
                            <w:shd w:val="clear" w:color="auto" w:fill="auto"/>
                            <w:vAlign w:val="center"/>
                          </w:tcPr>
                          <w:p w14:paraId="4259B49F"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127,862 </w:t>
                            </w:r>
                          </w:p>
                        </w:tc>
                        <w:tc>
                          <w:tcPr>
                            <w:tcW w:w="864" w:type="pct"/>
                            <w:gridSpan w:val="2"/>
                            <w:tcBorders>
                              <w:top w:val="nil"/>
                              <w:left w:val="nil"/>
                              <w:bottom w:val="single" w:sz="4" w:space="0" w:color="auto"/>
                              <w:right w:val="single" w:sz="4" w:space="0" w:color="auto"/>
                            </w:tcBorders>
                            <w:shd w:val="clear" w:color="auto" w:fill="auto"/>
                            <w:vAlign w:val="center"/>
                          </w:tcPr>
                          <w:p w14:paraId="067306F7"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4,140 </w:t>
                            </w:r>
                          </w:p>
                        </w:tc>
                        <w:tc>
                          <w:tcPr>
                            <w:tcW w:w="605" w:type="pct"/>
                            <w:tcBorders>
                              <w:top w:val="nil"/>
                              <w:left w:val="nil"/>
                              <w:bottom w:val="single" w:sz="4" w:space="0" w:color="auto"/>
                              <w:right w:val="single" w:sz="4" w:space="0" w:color="auto"/>
                            </w:tcBorders>
                            <w:shd w:val="clear" w:color="auto" w:fill="auto"/>
                            <w:vAlign w:val="center"/>
                          </w:tcPr>
                          <w:p w14:paraId="05DEE4FC"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123,240 </w:t>
                            </w:r>
                          </w:p>
                        </w:tc>
                        <w:tc>
                          <w:tcPr>
                            <w:tcW w:w="548" w:type="pct"/>
                            <w:tcBorders>
                              <w:top w:val="nil"/>
                              <w:left w:val="nil"/>
                              <w:bottom w:val="single" w:sz="4" w:space="0" w:color="auto"/>
                              <w:right w:val="single" w:sz="4" w:space="0" w:color="auto"/>
                            </w:tcBorders>
                            <w:shd w:val="clear" w:color="auto" w:fill="auto"/>
                            <w:vAlign w:val="center"/>
                          </w:tcPr>
                          <w:p w14:paraId="53035450"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481 </w:t>
                            </w:r>
                          </w:p>
                        </w:tc>
                        <w:tc>
                          <w:tcPr>
                            <w:tcW w:w="539" w:type="pct"/>
                            <w:tcBorders>
                              <w:top w:val="nil"/>
                              <w:left w:val="nil"/>
                              <w:bottom w:val="single" w:sz="4" w:space="0" w:color="auto"/>
                              <w:right w:val="single" w:sz="4" w:space="0" w:color="auto"/>
                            </w:tcBorders>
                            <w:shd w:val="clear" w:color="auto" w:fill="auto"/>
                            <w:vAlign w:val="center"/>
                          </w:tcPr>
                          <w:p w14:paraId="41C666D1"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 </w:t>
                            </w:r>
                          </w:p>
                        </w:tc>
                        <w:tc>
                          <w:tcPr>
                            <w:tcW w:w="539" w:type="pct"/>
                            <w:tcBorders>
                              <w:top w:val="nil"/>
                              <w:left w:val="nil"/>
                              <w:bottom w:val="single" w:sz="4" w:space="0" w:color="auto"/>
                              <w:right w:val="single" w:sz="4" w:space="0" w:color="auto"/>
                            </w:tcBorders>
                            <w:shd w:val="clear" w:color="auto" w:fill="auto"/>
                            <w:vAlign w:val="center"/>
                          </w:tcPr>
                          <w:p w14:paraId="73632D06" w14:textId="77777777" w:rsidR="00A0212B" w:rsidRPr="008A18D7" w:rsidRDefault="00A0212B" w:rsidP="000131EC">
                            <w:pPr>
                              <w:widowControl/>
                              <w:spacing w:line="240" w:lineRule="exact"/>
                              <w:jc w:val="right"/>
                              <w:rPr>
                                <w:rFonts w:ascii="標楷體" w:eastAsia="標楷體" w:hAnsi="標楷體"/>
                                <w:b/>
                                <w:bCs/>
                                <w:sz w:val="20"/>
                              </w:rPr>
                            </w:pPr>
                            <w:r w:rsidRPr="008A18D7">
                              <w:rPr>
                                <w:rFonts w:ascii="標楷體" w:eastAsia="標楷體" w:hAnsi="標楷體" w:hint="eastAsia"/>
                                <w:b/>
                                <w:bCs/>
                                <w:sz w:val="20"/>
                              </w:rPr>
                              <w:t xml:space="preserve">12,798 </w:t>
                            </w:r>
                          </w:p>
                        </w:tc>
                      </w:tr>
                      <w:tr w:rsidR="00A0212B" w:rsidRPr="001B469B" w14:paraId="68653542" w14:textId="77777777" w:rsidTr="004D7C92">
                        <w:trPr>
                          <w:trHeight w:hRule="exact" w:val="340"/>
                          <w:jc w:val="center"/>
                        </w:trPr>
                        <w:tc>
                          <w:tcPr>
                            <w:tcW w:w="124" w:type="pct"/>
                            <w:vMerge w:val="restart"/>
                            <w:tcBorders>
                              <w:top w:val="nil"/>
                              <w:left w:val="single" w:sz="4" w:space="0" w:color="auto"/>
                              <w:right w:val="single" w:sz="4" w:space="0" w:color="auto"/>
                            </w:tcBorders>
                            <w:shd w:val="clear" w:color="auto" w:fill="auto"/>
                            <w:vAlign w:val="center"/>
                            <w:hideMark/>
                          </w:tcPr>
                          <w:p w14:paraId="62DC4A5A"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第1期</w:t>
                            </w:r>
                          </w:p>
                        </w:tc>
                        <w:tc>
                          <w:tcPr>
                            <w:tcW w:w="756" w:type="pct"/>
                            <w:gridSpan w:val="2"/>
                            <w:tcBorders>
                              <w:top w:val="nil"/>
                              <w:left w:val="nil"/>
                              <w:bottom w:val="single" w:sz="4" w:space="0" w:color="auto"/>
                              <w:right w:val="single" w:sz="4" w:space="0" w:color="auto"/>
                            </w:tcBorders>
                            <w:shd w:val="clear" w:color="auto" w:fill="auto"/>
                            <w:vAlign w:val="center"/>
                            <w:hideMark/>
                          </w:tcPr>
                          <w:p w14:paraId="381D39F5"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以前年度轉入數</w:t>
                            </w:r>
                          </w:p>
                        </w:tc>
                        <w:tc>
                          <w:tcPr>
                            <w:tcW w:w="509" w:type="pct"/>
                            <w:gridSpan w:val="2"/>
                            <w:tcBorders>
                              <w:top w:val="nil"/>
                              <w:left w:val="nil"/>
                              <w:bottom w:val="single" w:sz="4" w:space="0" w:color="auto"/>
                              <w:right w:val="single" w:sz="4" w:space="0" w:color="auto"/>
                            </w:tcBorders>
                            <w:shd w:val="clear" w:color="auto" w:fill="auto"/>
                            <w:vAlign w:val="center"/>
                            <w:hideMark/>
                          </w:tcPr>
                          <w:p w14:paraId="54454EFC"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436,589 </w:t>
                            </w:r>
                          </w:p>
                        </w:tc>
                        <w:tc>
                          <w:tcPr>
                            <w:tcW w:w="517" w:type="pct"/>
                            <w:tcBorders>
                              <w:top w:val="nil"/>
                              <w:left w:val="nil"/>
                              <w:bottom w:val="single" w:sz="4" w:space="0" w:color="auto"/>
                              <w:right w:val="single" w:sz="4" w:space="0" w:color="auto"/>
                            </w:tcBorders>
                            <w:shd w:val="clear" w:color="auto" w:fill="auto"/>
                            <w:vAlign w:val="center"/>
                            <w:hideMark/>
                          </w:tcPr>
                          <w:p w14:paraId="01F3F15E"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92,937 </w:t>
                            </w:r>
                          </w:p>
                        </w:tc>
                        <w:tc>
                          <w:tcPr>
                            <w:tcW w:w="864" w:type="pct"/>
                            <w:gridSpan w:val="2"/>
                            <w:tcBorders>
                              <w:top w:val="nil"/>
                              <w:left w:val="nil"/>
                              <w:bottom w:val="single" w:sz="4" w:space="0" w:color="auto"/>
                              <w:right w:val="single" w:sz="4" w:space="0" w:color="auto"/>
                            </w:tcBorders>
                            <w:shd w:val="clear" w:color="auto" w:fill="auto"/>
                            <w:vAlign w:val="center"/>
                            <w:hideMark/>
                          </w:tcPr>
                          <w:p w14:paraId="067F522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25,325 </w:t>
                            </w:r>
                          </w:p>
                        </w:tc>
                        <w:tc>
                          <w:tcPr>
                            <w:tcW w:w="605" w:type="pct"/>
                            <w:tcBorders>
                              <w:top w:val="nil"/>
                              <w:left w:val="nil"/>
                              <w:bottom w:val="single" w:sz="4" w:space="0" w:color="auto"/>
                              <w:right w:val="single" w:sz="4" w:space="0" w:color="auto"/>
                            </w:tcBorders>
                            <w:shd w:val="clear" w:color="auto" w:fill="auto"/>
                            <w:vAlign w:val="center"/>
                            <w:hideMark/>
                          </w:tcPr>
                          <w:p w14:paraId="5D7E918F"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51,408 </w:t>
                            </w:r>
                          </w:p>
                        </w:tc>
                        <w:tc>
                          <w:tcPr>
                            <w:tcW w:w="548" w:type="pct"/>
                            <w:tcBorders>
                              <w:top w:val="nil"/>
                              <w:left w:val="nil"/>
                              <w:bottom w:val="single" w:sz="4" w:space="0" w:color="auto"/>
                              <w:right w:val="single" w:sz="4" w:space="0" w:color="auto"/>
                            </w:tcBorders>
                            <w:shd w:val="clear" w:color="auto" w:fill="auto"/>
                            <w:vAlign w:val="center"/>
                            <w:hideMark/>
                          </w:tcPr>
                          <w:p w14:paraId="5BA2F60D"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16,204 </w:t>
                            </w:r>
                          </w:p>
                        </w:tc>
                        <w:tc>
                          <w:tcPr>
                            <w:tcW w:w="539" w:type="pct"/>
                            <w:tcBorders>
                              <w:top w:val="nil"/>
                              <w:left w:val="nil"/>
                              <w:bottom w:val="single" w:sz="4" w:space="0" w:color="auto"/>
                              <w:right w:val="single" w:sz="4" w:space="0" w:color="auto"/>
                            </w:tcBorders>
                            <w:shd w:val="clear" w:color="auto" w:fill="auto"/>
                            <w:vAlign w:val="center"/>
                            <w:hideMark/>
                          </w:tcPr>
                          <w:p w14:paraId="15C63CD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321,548 </w:t>
                            </w:r>
                          </w:p>
                        </w:tc>
                        <w:tc>
                          <w:tcPr>
                            <w:tcW w:w="539" w:type="pct"/>
                            <w:tcBorders>
                              <w:top w:val="nil"/>
                              <w:left w:val="nil"/>
                              <w:bottom w:val="single" w:sz="4" w:space="0" w:color="auto"/>
                              <w:right w:val="single" w:sz="4" w:space="0" w:color="auto"/>
                            </w:tcBorders>
                            <w:shd w:val="clear" w:color="auto" w:fill="auto"/>
                            <w:vAlign w:val="center"/>
                            <w:hideMark/>
                          </w:tcPr>
                          <w:p w14:paraId="7119086D"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22,103 </w:t>
                            </w:r>
                          </w:p>
                        </w:tc>
                      </w:tr>
                      <w:tr w:rsidR="00A0212B" w:rsidRPr="001B469B" w14:paraId="4AF6C1E0"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0DB901F7"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single" w:sz="4" w:space="0" w:color="auto"/>
                              <w:left w:val="nil"/>
                              <w:right w:val="single" w:sz="4" w:space="0" w:color="auto"/>
                            </w:tcBorders>
                            <w:shd w:val="clear" w:color="auto" w:fill="auto"/>
                            <w:vAlign w:val="center"/>
                          </w:tcPr>
                          <w:p w14:paraId="0D8D242B"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實現數</w:t>
                            </w:r>
                          </w:p>
                        </w:tc>
                        <w:tc>
                          <w:tcPr>
                            <w:tcW w:w="509" w:type="pct"/>
                            <w:gridSpan w:val="2"/>
                            <w:tcBorders>
                              <w:top w:val="nil"/>
                              <w:left w:val="nil"/>
                              <w:bottom w:val="single" w:sz="4" w:space="0" w:color="auto"/>
                              <w:right w:val="single" w:sz="4" w:space="0" w:color="auto"/>
                            </w:tcBorders>
                            <w:shd w:val="clear" w:color="auto" w:fill="auto"/>
                            <w:vAlign w:val="center"/>
                            <w:hideMark/>
                          </w:tcPr>
                          <w:p w14:paraId="7AB14B6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119,089 </w:t>
                            </w:r>
                          </w:p>
                        </w:tc>
                        <w:tc>
                          <w:tcPr>
                            <w:tcW w:w="517" w:type="pct"/>
                            <w:tcBorders>
                              <w:top w:val="nil"/>
                              <w:left w:val="nil"/>
                              <w:bottom w:val="single" w:sz="4" w:space="0" w:color="auto"/>
                              <w:right w:val="single" w:sz="4" w:space="0" w:color="auto"/>
                            </w:tcBorders>
                            <w:shd w:val="clear" w:color="auto" w:fill="auto"/>
                            <w:vAlign w:val="center"/>
                            <w:hideMark/>
                          </w:tcPr>
                          <w:p w14:paraId="7EA5A632"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10,640 </w:t>
                            </w:r>
                          </w:p>
                        </w:tc>
                        <w:tc>
                          <w:tcPr>
                            <w:tcW w:w="864" w:type="pct"/>
                            <w:gridSpan w:val="2"/>
                            <w:tcBorders>
                              <w:top w:val="nil"/>
                              <w:left w:val="nil"/>
                              <w:bottom w:val="single" w:sz="4" w:space="0" w:color="auto"/>
                              <w:right w:val="single" w:sz="4" w:space="0" w:color="auto"/>
                            </w:tcBorders>
                            <w:shd w:val="clear" w:color="auto" w:fill="auto"/>
                            <w:vAlign w:val="center"/>
                            <w:hideMark/>
                          </w:tcPr>
                          <w:p w14:paraId="33E5C3FA"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109C126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4,487 </w:t>
                            </w:r>
                          </w:p>
                        </w:tc>
                        <w:tc>
                          <w:tcPr>
                            <w:tcW w:w="548" w:type="pct"/>
                            <w:tcBorders>
                              <w:top w:val="nil"/>
                              <w:left w:val="nil"/>
                              <w:bottom w:val="single" w:sz="4" w:space="0" w:color="auto"/>
                              <w:right w:val="single" w:sz="4" w:space="0" w:color="auto"/>
                            </w:tcBorders>
                            <w:shd w:val="clear" w:color="auto" w:fill="auto"/>
                            <w:vAlign w:val="center"/>
                            <w:hideMark/>
                          </w:tcPr>
                          <w:p w14:paraId="4E79F4C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6,152 </w:t>
                            </w:r>
                          </w:p>
                        </w:tc>
                        <w:tc>
                          <w:tcPr>
                            <w:tcW w:w="539" w:type="pct"/>
                            <w:tcBorders>
                              <w:top w:val="nil"/>
                              <w:left w:val="nil"/>
                              <w:bottom w:val="single" w:sz="4" w:space="0" w:color="auto"/>
                              <w:right w:val="single" w:sz="4" w:space="0" w:color="auto"/>
                            </w:tcBorders>
                            <w:shd w:val="clear" w:color="auto" w:fill="auto"/>
                            <w:vAlign w:val="center"/>
                            <w:hideMark/>
                          </w:tcPr>
                          <w:p w14:paraId="37B0FC9E"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102,613 </w:t>
                            </w:r>
                          </w:p>
                        </w:tc>
                        <w:tc>
                          <w:tcPr>
                            <w:tcW w:w="539" w:type="pct"/>
                            <w:tcBorders>
                              <w:top w:val="nil"/>
                              <w:left w:val="nil"/>
                              <w:bottom w:val="single" w:sz="4" w:space="0" w:color="auto"/>
                              <w:right w:val="single" w:sz="4" w:space="0" w:color="auto"/>
                            </w:tcBorders>
                            <w:shd w:val="clear" w:color="auto" w:fill="auto"/>
                            <w:vAlign w:val="center"/>
                            <w:hideMark/>
                          </w:tcPr>
                          <w:p w14:paraId="1BD81051"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5,835 </w:t>
                            </w:r>
                          </w:p>
                        </w:tc>
                      </w:tr>
                      <w:tr w:rsidR="00A0212B" w:rsidRPr="001B469B" w14:paraId="7FA4E7E6"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77788F08"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66" w:type="pct"/>
                            <w:tcBorders>
                              <w:left w:val="nil"/>
                              <w:bottom w:val="single" w:sz="4" w:space="0" w:color="auto"/>
                              <w:right w:val="single" w:sz="4" w:space="0" w:color="auto"/>
                            </w:tcBorders>
                            <w:shd w:val="clear" w:color="auto" w:fill="auto"/>
                            <w:vAlign w:val="center"/>
                          </w:tcPr>
                          <w:p w14:paraId="67140BE2" w14:textId="77777777" w:rsidR="00A0212B" w:rsidRPr="001B469B" w:rsidRDefault="00A0212B" w:rsidP="000131EC">
                            <w:pPr>
                              <w:widowControl/>
                              <w:spacing w:line="240" w:lineRule="exact"/>
                              <w:rPr>
                                <w:rFonts w:ascii="標楷體" w:eastAsia="標楷體" w:hAnsi="標楷體" w:cs="新細明體"/>
                                <w:color w:val="000000"/>
                                <w:kern w:val="0"/>
                                <w:sz w:val="20"/>
                              </w:rPr>
                            </w:pPr>
                          </w:p>
                        </w:tc>
                        <w:tc>
                          <w:tcPr>
                            <w:tcW w:w="690" w:type="pct"/>
                            <w:tcBorders>
                              <w:top w:val="single" w:sz="4" w:space="0" w:color="auto"/>
                              <w:left w:val="nil"/>
                              <w:bottom w:val="single" w:sz="4" w:space="0" w:color="auto"/>
                              <w:right w:val="single" w:sz="4" w:space="0" w:color="auto"/>
                            </w:tcBorders>
                            <w:shd w:val="clear" w:color="auto" w:fill="auto"/>
                            <w:vAlign w:val="center"/>
                          </w:tcPr>
                          <w:p w14:paraId="0718BF30"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實現率</w:t>
                            </w:r>
                            <w:r w:rsidRPr="0078131B">
                              <w:rPr>
                                <w:rFonts w:ascii="標楷體" w:eastAsia="標楷體" w:hAnsi="標楷體" w:cs="新細明體" w:hint="eastAsia"/>
                                <w:color w:val="000000"/>
                                <w:spacing w:val="-20"/>
                                <w:kern w:val="0"/>
                                <w:sz w:val="20"/>
                              </w:rPr>
                              <w:t>（註1）</w:t>
                            </w:r>
                          </w:p>
                        </w:tc>
                        <w:tc>
                          <w:tcPr>
                            <w:tcW w:w="509" w:type="pct"/>
                            <w:gridSpan w:val="2"/>
                            <w:tcBorders>
                              <w:top w:val="nil"/>
                              <w:left w:val="nil"/>
                              <w:bottom w:val="single" w:sz="4" w:space="0" w:color="auto"/>
                              <w:right w:val="single" w:sz="4" w:space="0" w:color="auto"/>
                            </w:tcBorders>
                            <w:shd w:val="clear" w:color="auto" w:fill="auto"/>
                            <w:vAlign w:val="center"/>
                            <w:hideMark/>
                          </w:tcPr>
                          <w:p w14:paraId="5B6B3EFF"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27.28</w:t>
                            </w:r>
                          </w:p>
                        </w:tc>
                        <w:tc>
                          <w:tcPr>
                            <w:tcW w:w="517" w:type="pct"/>
                            <w:tcBorders>
                              <w:top w:val="nil"/>
                              <w:left w:val="nil"/>
                              <w:bottom w:val="single" w:sz="4" w:space="0" w:color="auto"/>
                              <w:right w:val="single" w:sz="4" w:space="0" w:color="auto"/>
                            </w:tcBorders>
                            <w:shd w:val="clear" w:color="auto" w:fill="auto"/>
                            <w:vAlign w:val="center"/>
                            <w:hideMark/>
                          </w:tcPr>
                          <w:p w14:paraId="3C5C9D12"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11.45</w:t>
                            </w:r>
                          </w:p>
                        </w:tc>
                        <w:tc>
                          <w:tcPr>
                            <w:tcW w:w="864" w:type="pct"/>
                            <w:gridSpan w:val="2"/>
                            <w:tcBorders>
                              <w:top w:val="nil"/>
                              <w:left w:val="nil"/>
                              <w:bottom w:val="single" w:sz="4" w:space="0" w:color="auto"/>
                              <w:right w:val="single" w:sz="4" w:space="0" w:color="auto"/>
                            </w:tcBorders>
                            <w:shd w:val="clear" w:color="auto" w:fill="auto"/>
                            <w:vAlign w:val="center"/>
                            <w:hideMark/>
                          </w:tcPr>
                          <w:p w14:paraId="48028C9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24D92B0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8.73</w:t>
                            </w:r>
                          </w:p>
                        </w:tc>
                        <w:tc>
                          <w:tcPr>
                            <w:tcW w:w="548" w:type="pct"/>
                            <w:tcBorders>
                              <w:top w:val="nil"/>
                              <w:left w:val="nil"/>
                              <w:bottom w:val="single" w:sz="4" w:space="0" w:color="auto"/>
                              <w:right w:val="single" w:sz="4" w:space="0" w:color="auto"/>
                            </w:tcBorders>
                            <w:shd w:val="clear" w:color="auto" w:fill="auto"/>
                            <w:vAlign w:val="center"/>
                            <w:hideMark/>
                          </w:tcPr>
                          <w:p w14:paraId="3A550DD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37.97</w:t>
                            </w:r>
                          </w:p>
                        </w:tc>
                        <w:tc>
                          <w:tcPr>
                            <w:tcW w:w="539" w:type="pct"/>
                            <w:tcBorders>
                              <w:top w:val="nil"/>
                              <w:left w:val="nil"/>
                              <w:bottom w:val="single" w:sz="4" w:space="0" w:color="auto"/>
                              <w:right w:val="single" w:sz="4" w:space="0" w:color="auto"/>
                            </w:tcBorders>
                            <w:shd w:val="clear" w:color="auto" w:fill="auto"/>
                            <w:vAlign w:val="center"/>
                            <w:hideMark/>
                          </w:tcPr>
                          <w:p w14:paraId="6C0046C5"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31.91</w:t>
                            </w:r>
                          </w:p>
                        </w:tc>
                        <w:tc>
                          <w:tcPr>
                            <w:tcW w:w="539" w:type="pct"/>
                            <w:tcBorders>
                              <w:top w:val="nil"/>
                              <w:left w:val="nil"/>
                              <w:bottom w:val="single" w:sz="4" w:space="0" w:color="auto"/>
                              <w:right w:val="single" w:sz="4" w:space="0" w:color="auto"/>
                            </w:tcBorders>
                            <w:shd w:val="clear" w:color="auto" w:fill="auto"/>
                            <w:vAlign w:val="center"/>
                            <w:hideMark/>
                          </w:tcPr>
                          <w:p w14:paraId="61A7DBB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26.40</w:t>
                            </w:r>
                          </w:p>
                        </w:tc>
                      </w:tr>
                      <w:tr w:rsidR="00A0212B" w:rsidRPr="001B469B" w14:paraId="04ACFEE6"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74615C63"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5622294A"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應付保留數</w:t>
                            </w:r>
                          </w:p>
                        </w:tc>
                        <w:tc>
                          <w:tcPr>
                            <w:tcW w:w="509" w:type="pct"/>
                            <w:gridSpan w:val="2"/>
                            <w:tcBorders>
                              <w:top w:val="nil"/>
                              <w:left w:val="nil"/>
                              <w:bottom w:val="single" w:sz="4" w:space="0" w:color="auto"/>
                              <w:right w:val="single" w:sz="4" w:space="0" w:color="auto"/>
                            </w:tcBorders>
                            <w:shd w:val="clear" w:color="auto" w:fill="auto"/>
                            <w:vAlign w:val="center"/>
                            <w:hideMark/>
                          </w:tcPr>
                          <w:p w14:paraId="7796E84D"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315,309 </w:t>
                            </w:r>
                          </w:p>
                        </w:tc>
                        <w:tc>
                          <w:tcPr>
                            <w:tcW w:w="517" w:type="pct"/>
                            <w:tcBorders>
                              <w:top w:val="nil"/>
                              <w:left w:val="nil"/>
                              <w:bottom w:val="single" w:sz="4" w:space="0" w:color="auto"/>
                              <w:right w:val="single" w:sz="4" w:space="0" w:color="auto"/>
                            </w:tcBorders>
                            <w:shd w:val="clear" w:color="auto" w:fill="auto"/>
                            <w:vAlign w:val="center"/>
                            <w:hideMark/>
                          </w:tcPr>
                          <w:p w14:paraId="735ACBCE"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80,106 </w:t>
                            </w:r>
                          </w:p>
                        </w:tc>
                        <w:tc>
                          <w:tcPr>
                            <w:tcW w:w="864" w:type="pct"/>
                            <w:gridSpan w:val="2"/>
                            <w:tcBorders>
                              <w:top w:val="nil"/>
                              <w:left w:val="nil"/>
                              <w:bottom w:val="single" w:sz="4" w:space="0" w:color="auto"/>
                              <w:right w:val="single" w:sz="4" w:space="0" w:color="auto"/>
                            </w:tcBorders>
                            <w:shd w:val="clear" w:color="auto" w:fill="auto"/>
                            <w:vAlign w:val="center"/>
                            <w:hideMark/>
                          </w:tcPr>
                          <w:p w14:paraId="7D49852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25,325 </w:t>
                            </w:r>
                          </w:p>
                        </w:tc>
                        <w:tc>
                          <w:tcPr>
                            <w:tcW w:w="605" w:type="pct"/>
                            <w:tcBorders>
                              <w:top w:val="nil"/>
                              <w:left w:val="nil"/>
                              <w:bottom w:val="single" w:sz="4" w:space="0" w:color="auto"/>
                              <w:right w:val="single" w:sz="4" w:space="0" w:color="auto"/>
                            </w:tcBorders>
                            <w:shd w:val="clear" w:color="auto" w:fill="auto"/>
                            <w:vAlign w:val="center"/>
                            <w:hideMark/>
                          </w:tcPr>
                          <w:p w14:paraId="0886625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44,781 </w:t>
                            </w:r>
                          </w:p>
                        </w:tc>
                        <w:tc>
                          <w:tcPr>
                            <w:tcW w:w="548" w:type="pct"/>
                            <w:tcBorders>
                              <w:top w:val="nil"/>
                              <w:left w:val="nil"/>
                              <w:bottom w:val="single" w:sz="4" w:space="0" w:color="auto"/>
                              <w:right w:val="single" w:sz="4" w:space="0" w:color="auto"/>
                            </w:tcBorders>
                            <w:shd w:val="clear" w:color="auto" w:fill="auto"/>
                            <w:vAlign w:val="center"/>
                            <w:hideMark/>
                          </w:tcPr>
                          <w:p w14:paraId="267690F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10,000 </w:t>
                            </w:r>
                          </w:p>
                        </w:tc>
                        <w:tc>
                          <w:tcPr>
                            <w:tcW w:w="539" w:type="pct"/>
                            <w:tcBorders>
                              <w:top w:val="nil"/>
                              <w:left w:val="nil"/>
                              <w:bottom w:val="single" w:sz="4" w:space="0" w:color="auto"/>
                              <w:right w:val="single" w:sz="4" w:space="0" w:color="auto"/>
                            </w:tcBorders>
                            <w:shd w:val="clear" w:color="auto" w:fill="auto"/>
                            <w:vAlign w:val="center"/>
                            <w:hideMark/>
                          </w:tcPr>
                          <w:p w14:paraId="2DA4683D"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218,934 </w:t>
                            </w:r>
                          </w:p>
                        </w:tc>
                        <w:tc>
                          <w:tcPr>
                            <w:tcW w:w="539" w:type="pct"/>
                            <w:tcBorders>
                              <w:top w:val="nil"/>
                              <w:left w:val="nil"/>
                              <w:bottom w:val="single" w:sz="4" w:space="0" w:color="auto"/>
                              <w:right w:val="single" w:sz="4" w:space="0" w:color="auto"/>
                            </w:tcBorders>
                            <w:shd w:val="clear" w:color="auto" w:fill="auto"/>
                            <w:vAlign w:val="center"/>
                            <w:hideMark/>
                          </w:tcPr>
                          <w:p w14:paraId="173FC67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16,268 </w:t>
                            </w:r>
                          </w:p>
                        </w:tc>
                      </w:tr>
                      <w:tr w:rsidR="00A0212B" w:rsidRPr="001B469B" w14:paraId="10F60A79" w14:textId="77777777" w:rsidTr="004D7C92">
                        <w:trPr>
                          <w:trHeight w:hRule="exact" w:val="340"/>
                          <w:jc w:val="center"/>
                        </w:trPr>
                        <w:tc>
                          <w:tcPr>
                            <w:tcW w:w="124" w:type="pct"/>
                            <w:vMerge/>
                            <w:tcBorders>
                              <w:left w:val="single" w:sz="4" w:space="0" w:color="auto"/>
                              <w:bottom w:val="single" w:sz="4" w:space="0" w:color="auto"/>
                              <w:right w:val="single" w:sz="4" w:space="0" w:color="auto"/>
                            </w:tcBorders>
                            <w:shd w:val="clear" w:color="auto" w:fill="auto"/>
                            <w:vAlign w:val="center"/>
                            <w:hideMark/>
                          </w:tcPr>
                          <w:p w14:paraId="7BBB7E37"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62E5FAD1"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減免(註銷)數</w:t>
                            </w:r>
                          </w:p>
                        </w:tc>
                        <w:tc>
                          <w:tcPr>
                            <w:tcW w:w="509" w:type="pct"/>
                            <w:gridSpan w:val="2"/>
                            <w:tcBorders>
                              <w:top w:val="nil"/>
                              <w:left w:val="nil"/>
                              <w:bottom w:val="single" w:sz="4" w:space="0" w:color="auto"/>
                              <w:right w:val="single" w:sz="4" w:space="0" w:color="auto"/>
                            </w:tcBorders>
                            <w:shd w:val="clear" w:color="auto" w:fill="auto"/>
                            <w:vAlign w:val="center"/>
                            <w:hideMark/>
                          </w:tcPr>
                          <w:p w14:paraId="2BD4011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2,191 </w:t>
                            </w:r>
                          </w:p>
                        </w:tc>
                        <w:tc>
                          <w:tcPr>
                            <w:tcW w:w="517" w:type="pct"/>
                            <w:tcBorders>
                              <w:top w:val="nil"/>
                              <w:left w:val="nil"/>
                              <w:bottom w:val="single" w:sz="4" w:space="0" w:color="auto"/>
                              <w:right w:val="single" w:sz="4" w:space="0" w:color="auto"/>
                            </w:tcBorders>
                            <w:shd w:val="clear" w:color="auto" w:fill="auto"/>
                            <w:vAlign w:val="center"/>
                            <w:hideMark/>
                          </w:tcPr>
                          <w:p w14:paraId="7F39942E"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2,191 </w:t>
                            </w:r>
                          </w:p>
                        </w:tc>
                        <w:tc>
                          <w:tcPr>
                            <w:tcW w:w="864" w:type="pct"/>
                            <w:gridSpan w:val="2"/>
                            <w:tcBorders>
                              <w:top w:val="nil"/>
                              <w:left w:val="nil"/>
                              <w:bottom w:val="single" w:sz="4" w:space="0" w:color="auto"/>
                              <w:right w:val="single" w:sz="4" w:space="0" w:color="auto"/>
                            </w:tcBorders>
                            <w:shd w:val="clear" w:color="auto" w:fill="auto"/>
                            <w:vAlign w:val="center"/>
                            <w:hideMark/>
                          </w:tcPr>
                          <w:p w14:paraId="5EF6B2F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393C196D"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2,140 </w:t>
                            </w:r>
                          </w:p>
                        </w:tc>
                        <w:tc>
                          <w:tcPr>
                            <w:tcW w:w="548" w:type="pct"/>
                            <w:tcBorders>
                              <w:top w:val="nil"/>
                              <w:left w:val="nil"/>
                              <w:bottom w:val="single" w:sz="4" w:space="0" w:color="auto"/>
                              <w:right w:val="single" w:sz="4" w:space="0" w:color="auto"/>
                            </w:tcBorders>
                            <w:shd w:val="clear" w:color="auto" w:fill="auto"/>
                            <w:vAlign w:val="center"/>
                            <w:hideMark/>
                          </w:tcPr>
                          <w:p w14:paraId="51A83BD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51 </w:t>
                            </w:r>
                          </w:p>
                        </w:tc>
                        <w:tc>
                          <w:tcPr>
                            <w:tcW w:w="539" w:type="pct"/>
                            <w:tcBorders>
                              <w:top w:val="nil"/>
                              <w:left w:val="nil"/>
                              <w:bottom w:val="single" w:sz="4" w:space="0" w:color="auto"/>
                              <w:right w:val="single" w:sz="4" w:space="0" w:color="auto"/>
                            </w:tcBorders>
                            <w:shd w:val="clear" w:color="auto" w:fill="auto"/>
                            <w:vAlign w:val="center"/>
                            <w:hideMark/>
                          </w:tcPr>
                          <w:p w14:paraId="3E0BBD3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6367676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r>
                      <w:tr w:rsidR="00A0212B" w:rsidRPr="001B469B" w14:paraId="2DC5884D" w14:textId="77777777" w:rsidTr="004D7C92">
                        <w:trPr>
                          <w:trHeight w:hRule="exact" w:val="340"/>
                          <w:jc w:val="center"/>
                        </w:trPr>
                        <w:tc>
                          <w:tcPr>
                            <w:tcW w:w="124" w:type="pct"/>
                            <w:vMerge w:val="restart"/>
                            <w:tcBorders>
                              <w:top w:val="nil"/>
                              <w:left w:val="single" w:sz="4" w:space="0" w:color="auto"/>
                              <w:right w:val="single" w:sz="4" w:space="0" w:color="auto"/>
                            </w:tcBorders>
                            <w:shd w:val="clear" w:color="auto" w:fill="auto"/>
                            <w:vAlign w:val="center"/>
                            <w:hideMark/>
                          </w:tcPr>
                          <w:p w14:paraId="49FC7EB3"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第2期</w:t>
                            </w:r>
                          </w:p>
                        </w:tc>
                        <w:tc>
                          <w:tcPr>
                            <w:tcW w:w="756" w:type="pct"/>
                            <w:gridSpan w:val="2"/>
                            <w:tcBorders>
                              <w:top w:val="nil"/>
                              <w:left w:val="nil"/>
                              <w:bottom w:val="single" w:sz="4" w:space="0" w:color="auto"/>
                              <w:right w:val="single" w:sz="4" w:space="0" w:color="auto"/>
                            </w:tcBorders>
                            <w:shd w:val="clear" w:color="auto" w:fill="auto"/>
                            <w:vAlign w:val="center"/>
                            <w:hideMark/>
                          </w:tcPr>
                          <w:p w14:paraId="76958273"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以前年度轉入數</w:t>
                            </w:r>
                          </w:p>
                        </w:tc>
                        <w:tc>
                          <w:tcPr>
                            <w:tcW w:w="509" w:type="pct"/>
                            <w:gridSpan w:val="2"/>
                            <w:tcBorders>
                              <w:top w:val="nil"/>
                              <w:left w:val="nil"/>
                              <w:bottom w:val="single" w:sz="4" w:space="0" w:color="auto"/>
                              <w:right w:val="single" w:sz="4" w:space="0" w:color="auto"/>
                            </w:tcBorders>
                            <w:shd w:val="clear" w:color="auto" w:fill="auto"/>
                            <w:vAlign w:val="center"/>
                            <w:hideMark/>
                          </w:tcPr>
                          <w:p w14:paraId="60BA656B"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3,573,226 </w:t>
                            </w:r>
                          </w:p>
                        </w:tc>
                        <w:tc>
                          <w:tcPr>
                            <w:tcW w:w="517" w:type="pct"/>
                            <w:tcBorders>
                              <w:top w:val="nil"/>
                              <w:left w:val="nil"/>
                              <w:bottom w:val="single" w:sz="4" w:space="0" w:color="auto"/>
                              <w:right w:val="single" w:sz="4" w:space="0" w:color="auto"/>
                            </w:tcBorders>
                            <w:shd w:val="clear" w:color="auto" w:fill="auto"/>
                            <w:vAlign w:val="center"/>
                            <w:hideMark/>
                          </w:tcPr>
                          <w:p w14:paraId="69D1AC96"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2,274,821 </w:t>
                            </w:r>
                          </w:p>
                        </w:tc>
                        <w:tc>
                          <w:tcPr>
                            <w:tcW w:w="864" w:type="pct"/>
                            <w:gridSpan w:val="2"/>
                            <w:tcBorders>
                              <w:top w:val="nil"/>
                              <w:left w:val="nil"/>
                              <w:bottom w:val="single" w:sz="4" w:space="0" w:color="auto"/>
                              <w:right w:val="single" w:sz="4" w:space="0" w:color="auto"/>
                            </w:tcBorders>
                            <w:shd w:val="clear" w:color="auto" w:fill="auto"/>
                            <w:vAlign w:val="center"/>
                            <w:hideMark/>
                          </w:tcPr>
                          <w:p w14:paraId="2BD6D3D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55,000 </w:t>
                            </w:r>
                          </w:p>
                        </w:tc>
                        <w:tc>
                          <w:tcPr>
                            <w:tcW w:w="605" w:type="pct"/>
                            <w:tcBorders>
                              <w:top w:val="nil"/>
                              <w:left w:val="nil"/>
                              <w:bottom w:val="single" w:sz="4" w:space="0" w:color="auto"/>
                              <w:right w:val="single" w:sz="4" w:space="0" w:color="auto"/>
                            </w:tcBorders>
                            <w:shd w:val="clear" w:color="auto" w:fill="auto"/>
                            <w:vAlign w:val="center"/>
                            <w:hideMark/>
                          </w:tcPr>
                          <w:p w14:paraId="6B8A387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2,158,121 </w:t>
                            </w:r>
                          </w:p>
                        </w:tc>
                        <w:tc>
                          <w:tcPr>
                            <w:tcW w:w="548" w:type="pct"/>
                            <w:tcBorders>
                              <w:top w:val="nil"/>
                              <w:left w:val="nil"/>
                              <w:bottom w:val="single" w:sz="4" w:space="0" w:color="auto"/>
                              <w:right w:val="single" w:sz="4" w:space="0" w:color="auto"/>
                            </w:tcBorders>
                            <w:shd w:val="clear" w:color="auto" w:fill="auto"/>
                            <w:vAlign w:val="center"/>
                            <w:hideMark/>
                          </w:tcPr>
                          <w:p w14:paraId="30A5517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61,700 </w:t>
                            </w:r>
                          </w:p>
                        </w:tc>
                        <w:tc>
                          <w:tcPr>
                            <w:tcW w:w="539" w:type="pct"/>
                            <w:tcBorders>
                              <w:top w:val="nil"/>
                              <w:left w:val="nil"/>
                              <w:bottom w:val="single" w:sz="4" w:space="0" w:color="auto"/>
                              <w:right w:val="single" w:sz="4" w:space="0" w:color="auto"/>
                            </w:tcBorders>
                            <w:shd w:val="clear" w:color="auto" w:fill="auto"/>
                            <w:vAlign w:val="center"/>
                            <w:hideMark/>
                          </w:tcPr>
                          <w:p w14:paraId="51336ECA"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1,037,000 </w:t>
                            </w:r>
                          </w:p>
                        </w:tc>
                        <w:tc>
                          <w:tcPr>
                            <w:tcW w:w="539" w:type="pct"/>
                            <w:tcBorders>
                              <w:top w:val="nil"/>
                              <w:left w:val="nil"/>
                              <w:bottom w:val="single" w:sz="4" w:space="0" w:color="auto"/>
                              <w:right w:val="single" w:sz="4" w:space="0" w:color="auto"/>
                            </w:tcBorders>
                            <w:shd w:val="clear" w:color="auto" w:fill="auto"/>
                            <w:vAlign w:val="center"/>
                            <w:hideMark/>
                          </w:tcPr>
                          <w:p w14:paraId="3D2E217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261,404 </w:t>
                            </w:r>
                          </w:p>
                        </w:tc>
                      </w:tr>
                      <w:tr w:rsidR="00A0212B" w:rsidRPr="001B469B" w14:paraId="427F7037"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0E0AB7CF"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right w:val="single" w:sz="4" w:space="0" w:color="auto"/>
                            </w:tcBorders>
                            <w:shd w:val="clear" w:color="auto" w:fill="auto"/>
                            <w:vAlign w:val="center"/>
                          </w:tcPr>
                          <w:p w14:paraId="4C3A3EC4"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實現數</w:t>
                            </w:r>
                          </w:p>
                        </w:tc>
                        <w:tc>
                          <w:tcPr>
                            <w:tcW w:w="509" w:type="pct"/>
                            <w:gridSpan w:val="2"/>
                            <w:tcBorders>
                              <w:top w:val="nil"/>
                              <w:left w:val="nil"/>
                              <w:bottom w:val="single" w:sz="4" w:space="0" w:color="auto"/>
                              <w:right w:val="single" w:sz="4" w:space="0" w:color="auto"/>
                            </w:tcBorders>
                            <w:shd w:val="clear" w:color="auto" w:fill="auto"/>
                            <w:vAlign w:val="center"/>
                            <w:hideMark/>
                          </w:tcPr>
                          <w:p w14:paraId="7186B26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945,078 </w:t>
                            </w:r>
                          </w:p>
                        </w:tc>
                        <w:tc>
                          <w:tcPr>
                            <w:tcW w:w="517" w:type="pct"/>
                            <w:tcBorders>
                              <w:top w:val="nil"/>
                              <w:left w:val="nil"/>
                              <w:bottom w:val="single" w:sz="4" w:space="0" w:color="auto"/>
                              <w:right w:val="single" w:sz="4" w:space="0" w:color="auto"/>
                            </w:tcBorders>
                            <w:shd w:val="clear" w:color="auto" w:fill="auto"/>
                            <w:vAlign w:val="center"/>
                            <w:hideMark/>
                          </w:tcPr>
                          <w:p w14:paraId="57761086"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514,872 </w:t>
                            </w:r>
                          </w:p>
                        </w:tc>
                        <w:tc>
                          <w:tcPr>
                            <w:tcW w:w="864" w:type="pct"/>
                            <w:gridSpan w:val="2"/>
                            <w:tcBorders>
                              <w:top w:val="nil"/>
                              <w:left w:val="nil"/>
                              <w:bottom w:val="single" w:sz="4" w:space="0" w:color="auto"/>
                              <w:right w:val="single" w:sz="4" w:space="0" w:color="auto"/>
                            </w:tcBorders>
                            <w:shd w:val="clear" w:color="auto" w:fill="auto"/>
                            <w:vAlign w:val="center"/>
                            <w:hideMark/>
                          </w:tcPr>
                          <w:p w14:paraId="6764C41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1FC27C6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514,872 </w:t>
                            </w:r>
                          </w:p>
                        </w:tc>
                        <w:tc>
                          <w:tcPr>
                            <w:tcW w:w="548" w:type="pct"/>
                            <w:tcBorders>
                              <w:top w:val="nil"/>
                              <w:left w:val="nil"/>
                              <w:bottom w:val="single" w:sz="4" w:space="0" w:color="auto"/>
                              <w:right w:val="single" w:sz="4" w:space="0" w:color="auto"/>
                            </w:tcBorders>
                            <w:shd w:val="clear" w:color="auto" w:fill="auto"/>
                            <w:vAlign w:val="center"/>
                            <w:hideMark/>
                          </w:tcPr>
                          <w:p w14:paraId="032BF036"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47AB0B3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374,143 </w:t>
                            </w:r>
                          </w:p>
                        </w:tc>
                        <w:tc>
                          <w:tcPr>
                            <w:tcW w:w="539" w:type="pct"/>
                            <w:tcBorders>
                              <w:top w:val="nil"/>
                              <w:left w:val="nil"/>
                              <w:bottom w:val="single" w:sz="4" w:space="0" w:color="auto"/>
                              <w:right w:val="single" w:sz="4" w:space="0" w:color="auto"/>
                            </w:tcBorders>
                            <w:shd w:val="clear" w:color="auto" w:fill="auto"/>
                            <w:vAlign w:val="center"/>
                            <w:hideMark/>
                          </w:tcPr>
                          <w:p w14:paraId="07D99D9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56,063 </w:t>
                            </w:r>
                          </w:p>
                        </w:tc>
                      </w:tr>
                      <w:tr w:rsidR="00A0212B" w:rsidRPr="001B469B" w14:paraId="57FCE166"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2E00B6F6"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66" w:type="pct"/>
                            <w:tcBorders>
                              <w:top w:val="nil"/>
                              <w:left w:val="nil"/>
                              <w:bottom w:val="single" w:sz="4" w:space="0" w:color="auto"/>
                              <w:right w:val="single" w:sz="4" w:space="0" w:color="auto"/>
                            </w:tcBorders>
                            <w:shd w:val="clear" w:color="auto" w:fill="auto"/>
                            <w:vAlign w:val="center"/>
                          </w:tcPr>
                          <w:p w14:paraId="6C77D20F" w14:textId="77777777" w:rsidR="00A0212B" w:rsidRPr="001B469B" w:rsidRDefault="00A0212B" w:rsidP="000131EC">
                            <w:pPr>
                              <w:widowControl/>
                              <w:spacing w:line="240" w:lineRule="exact"/>
                              <w:rPr>
                                <w:rFonts w:ascii="標楷體" w:eastAsia="標楷體" w:hAnsi="標楷體" w:cs="新細明體"/>
                                <w:color w:val="000000"/>
                                <w:kern w:val="0"/>
                                <w:sz w:val="20"/>
                              </w:rPr>
                            </w:pPr>
                          </w:p>
                        </w:tc>
                        <w:tc>
                          <w:tcPr>
                            <w:tcW w:w="690" w:type="pct"/>
                            <w:tcBorders>
                              <w:top w:val="single" w:sz="4" w:space="0" w:color="auto"/>
                              <w:left w:val="nil"/>
                              <w:bottom w:val="single" w:sz="4" w:space="0" w:color="auto"/>
                              <w:right w:val="single" w:sz="4" w:space="0" w:color="auto"/>
                            </w:tcBorders>
                            <w:shd w:val="clear" w:color="auto" w:fill="auto"/>
                            <w:vAlign w:val="center"/>
                          </w:tcPr>
                          <w:p w14:paraId="4BC2695B"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實現率</w:t>
                            </w:r>
                            <w:r w:rsidRPr="0078131B">
                              <w:rPr>
                                <w:rFonts w:ascii="標楷體" w:eastAsia="標楷體" w:hAnsi="標楷體" w:cs="新細明體" w:hint="eastAsia"/>
                                <w:color w:val="000000"/>
                                <w:spacing w:val="-20"/>
                                <w:kern w:val="0"/>
                                <w:sz w:val="20"/>
                              </w:rPr>
                              <w:t>（註1）</w:t>
                            </w:r>
                          </w:p>
                        </w:tc>
                        <w:tc>
                          <w:tcPr>
                            <w:tcW w:w="509" w:type="pct"/>
                            <w:gridSpan w:val="2"/>
                            <w:tcBorders>
                              <w:top w:val="nil"/>
                              <w:left w:val="nil"/>
                              <w:bottom w:val="single" w:sz="4" w:space="0" w:color="auto"/>
                              <w:right w:val="single" w:sz="4" w:space="0" w:color="auto"/>
                            </w:tcBorders>
                            <w:shd w:val="clear" w:color="auto" w:fill="auto"/>
                            <w:vAlign w:val="center"/>
                            <w:hideMark/>
                          </w:tcPr>
                          <w:p w14:paraId="7C50B513"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26.45</w:t>
                            </w:r>
                          </w:p>
                        </w:tc>
                        <w:tc>
                          <w:tcPr>
                            <w:tcW w:w="517" w:type="pct"/>
                            <w:tcBorders>
                              <w:top w:val="nil"/>
                              <w:left w:val="nil"/>
                              <w:bottom w:val="single" w:sz="4" w:space="0" w:color="auto"/>
                              <w:right w:val="single" w:sz="4" w:space="0" w:color="auto"/>
                            </w:tcBorders>
                            <w:shd w:val="clear" w:color="auto" w:fill="auto"/>
                            <w:vAlign w:val="center"/>
                            <w:hideMark/>
                          </w:tcPr>
                          <w:p w14:paraId="3F3FA51F"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22.63</w:t>
                            </w:r>
                          </w:p>
                        </w:tc>
                        <w:tc>
                          <w:tcPr>
                            <w:tcW w:w="864" w:type="pct"/>
                            <w:gridSpan w:val="2"/>
                            <w:tcBorders>
                              <w:top w:val="nil"/>
                              <w:left w:val="nil"/>
                              <w:bottom w:val="single" w:sz="4" w:space="0" w:color="auto"/>
                              <w:right w:val="single" w:sz="4" w:space="0" w:color="auto"/>
                            </w:tcBorders>
                            <w:shd w:val="clear" w:color="auto" w:fill="auto"/>
                            <w:vAlign w:val="center"/>
                            <w:hideMark/>
                          </w:tcPr>
                          <w:p w14:paraId="07AE5CA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472408BE"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23.86</w:t>
                            </w:r>
                          </w:p>
                        </w:tc>
                        <w:tc>
                          <w:tcPr>
                            <w:tcW w:w="548" w:type="pct"/>
                            <w:tcBorders>
                              <w:top w:val="nil"/>
                              <w:left w:val="nil"/>
                              <w:bottom w:val="single" w:sz="4" w:space="0" w:color="auto"/>
                              <w:right w:val="single" w:sz="4" w:space="0" w:color="auto"/>
                            </w:tcBorders>
                            <w:shd w:val="clear" w:color="auto" w:fill="auto"/>
                            <w:vAlign w:val="center"/>
                            <w:hideMark/>
                          </w:tcPr>
                          <w:p w14:paraId="4C7037B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0816476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36.08</w:t>
                            </w:r>
                          </w:p>
                        </w:tc>
                        <w:tc>
                          <w:tcPr>
                            <w:tcW w:w="539" w:type="pct"/>
                            <w:tcBorders>
                              <w:top w:val="nil"/>
                              <w:left w:val="nil"/>
                              <w:bottom w:val="single" w:sz="4" w:space="0" w:color="auto"/>
                              <w:right w:val="single" w:sz="4" w:space="0" w:color="auto"/>
                            </w:tcBorders>
                            <w:shd w:val="clear" w:color="auto" w:fill="auto"/>
                            <w:vAlign w:val="center"/>
                            <w:hideMark/>
                          </w:tcPr>
                          <w:p w14:paraId="59BD8DF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21.45</w:t>
                            </w:r>
                          </w:p>
                        </w:tc>
                      </w:tr>
                      <w:tr w:rsidR="00A0212B" w:rsidRPr="001B469B" w14:paraId="051B4E59"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1B5FF2A1"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4AEBC588"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應付保留數</w:t>
                            </w:r>
                          </w:p>
                        </w:tc>
                        <w:tc>
                          <w:tcPr>
                            <w:tcW w:w="509" w:type="pct"/>
                            <w:gridSpan w:val="2"/>
                            <w:tcBorders>
                              <w:top w:val="nil"/>
                              <w:left w:val="nil"/>
                              <w:bottom w:val="single" w:sz="4" w:space="0" w:color="auto"/>
                              <w:right w:val="single" w:sz="4" w:space="0" w:color="auto"/>
                            </w:tcBorders>
                            <w:shd w:val="clear" w:color="auto" w:fill="auto"/>
                            <w:vAlign w:val="center"/>
                            <w:hideMark/>
                          </w:tcPr>
                          <w:p w14:paraId="5205D157"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2,623,599 </w:t>
                            </w:r>
                          </w:p>
                        </w:tc>
                        <w:tc>
                          <w:tcPr>
                            <w:tcW w:w="517" w:type="pct"/>
                            <w:tcBorders>
                              <w:top w:val="nil"/>
                              <w:left w:val="nil"/>
                              <w:bottom w:val="single" w:sz="4" w:space="0" w:color="auto"/>
                              <w:right w:val="single" w:sz="4" w:space="0" w:color="auto"/>
                            </w:tcBorders>
                            <w:shd w:val="clear" w:color="auto" w:fill="auto"/>
                            <w:vAlign w:val="center"/>
                            <w:hideMark/>
                          </w:tcPr>
                          <w:p w14:paraId="443CD5C4"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1,759,519 </w:t>
                            </w:r>
                          </w:p>
                        </w:tc>
                        <w:tc>
                          <w:tcPr>
                            <w:tcW w:w="864" w:type="pct"/>
                            <w:gridSpan w:val="2"/>
                            <w:tcBorders>
                              <w:top w:val="nil"/>
                              <w:left w:val="nil"/>
                              <w:bottom w:val="single" w:sz="4" w:space="0" w:color="auto"/>
                              <w:right w:val="single" w:sz="4" w:space="0" w:color="auto"/>
                            </w:tcBorders>
                            <w:shd w:val="clear" w:color="auto" w:fill="auto"/>
                            <w:vAlign w:val="center"/>
                            <w:hideMark/>
                          </w:tcPr>
                          <w:p w14:paraId="6CE18DE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55,000 </w:t>
                            </w:r>
                          </w:p>
                        </w:tc>
                        <w:tc>
                          <w:tcPr>
                            <w:tcW w:w="605" w:type="pct"/>
                            <w:tcBorders>
                              <w:top w:val="nil"/>
                              <w:left w:val="nil"/>
                              <w:bottom w:val="single" w:sz="4" w:space="0" w:color="auto"/>
                              <w:right w:val="single" w:sz="4" w:space="0" w:color="auto"/>
                            </w:tcBorders>
                            <w:shd w:val="clear" w:color="auto" w:fill="auto"/>
                            <w:vAlign w:val="center"/>
                            <w:hideMark/>
                          </w:tcPr>
                          <w:p w14:paraId="240DBE9F"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1,643,249 </w:t>
                            </w:r>
                          </w:p>
                        </w:tc>
                        <w:tc>
                          <w:tcPr>
                            <w:tcW w:w="548" w:type="pct"/>
                            <w:tcBorders>
                              <w:top w:val="nil"/>
                              <w:left w:val="nil"/>
                              <w:bottom w:val="single" w:sz="4" w:space="0" w:color="auto"/>
                              <w:right w:val="single" w:sz="4" w:space="0" w:color="auto"/>
                            </w:tcBorders>
                            <w:shd w:val="clear" w:color="auto" w:fill="auto"/>
                            <w:vAlign w:val="center"/>
                            <w:hideMark/>
                          </w:tcPr>
                          <w:p w14:paraId="3E569C3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61,270 </w:t>
                            </w:r>
                          </w:p>
                        </w:tc>
                        <w:tc>
                          <w:tcPr>
                            <w:tcW w:w="539" w:type="pct"/>
                            <w:tcBorders>
                              <w:top w:val="nil"/>
                              <w:left w:val="nil"/>
                              <w:bottom w:val="single" w:sz="4" w:space="0" w:color="auto"/>
                              <w:right w:val="single" w:sz="4" w:space="0" w:color="auto"/>
                            </w:tcBorders>
                            <w:shd w:val="clear" w:color="auto" w:fill="auto"/>
                            <w:vAlign w:val="center"/>
                            <w:hideMark/>
                          </w:tcPr>
                          <w:p w14:paraId="1BB414F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662,857 </w:t>
                            </w:r>
                          </w:p>
                        </w:tc>
                        <w:tc>
                          <w:tcPr>
                            <w:tcW w:w="539" w:type="pct"/>
                            <w:tcBorders>
                              <w:top w:val="nil"/>
                              <w:left w:val="nil"/>
                              <w:bottom w:val="single" w:sz="4" w:space="0" w:color="auto"/>
                              <w:right w:val="single" w:sz="4" w:space="0" w:color="auto"/>
                            </w:tcBorders>
                            <w:shd w:val="clear" w:color="auto" w:fill="auto"/>
                            <w:vAlign w:val="center"/>
                            <w:hideMark/>
                          </w:tcPr>
                          <w:p w14:paraId="669534E6"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201,222 </w:t>
                            </w:r>
                          </w:p>
                        </w:tc>
                      </w:tr>
                      <w:tr w:rsidR="00A0212B" w:rsidRPr="001B469B" w14:paraId="2D3DD74F" w14:textId="77777777" w:rsidTr="004D7C92">
                        <w:trPr>
                          <w:trHeight w:hRule="exact" w:val="340"/>
                          <w:jc w:val="center"/>
                        </w:trPr>
                        <w:tc>
                          <w:tcPr>
                            <w:tcW w:w="124" w:type="pct"/>
                            <w:vMerge/>
                            <w:tcBorders>
                              <w:left w:val="single" w:sz="4" w:space="0" w:color="auto"/>
                              <w:bottom w:val="single" w:sz="4" w:space="0" w:color="auto"/>
                              <w:right w:val="single" w:sz="4" w:space="0" w:color="auto"/>
                            </w:tcBorders>
                            <w:shd w:val="clear" w:color="auto" w:fill="auto"/>
                            <w:vAlign w:val="center"/>
                            <w:hideMark/>
                          </w:tcPr>
                          <w:p w14:paraId="03996A4D"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2F8FC7C4"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減免(註銷)數</w:t>
                            </w:r>
                          </w:p>
                        </w:tc>
                        <w:tc>
                          <w:tcPr>
                            <w:tcW w:w="509" w:type="pct"/>
                            <w:gridSpan w:val="2"/>
                            <w:tcBorders>
                              <w:top w:val="nil"/>
                              <w:left w:val="nil"/>
                              <w:bottom w:val="single" w:sz="4" w:space="0" w:color="auto"/>
                              <w:right w:val="single" w:sz="4" w:space="0" w:color="auto"/>
                            </w:tcBorders>
                            <w:shd w:val="clear" w:color="auto" w:fill="auto"/>
                            <w:vAlign w:val="center"/>
                            <w:hideMark/>
                          </w:tcPr>
                          <w:p w14:paraId="39EF821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4,548 </w:t>
                            </w:r>
                          </w:p>
                        </w:tc>
                        <w:tc>
                          <w:tcPr>
                            <w:tcW w:w="517" w:type="pct"/>
                            <w:tcBorders>
                              <w:top w:val="nil"/>
                              <w:left w:val="nil"/>
                              <w:bottom w:val="single" w:sz="4" w:space="0" w:color="auto"/>
                              <w:right w:val="single" w:sz="4" w:space="0" w:color="auto"/>
                            </w:tcBorders>
                            <w:shd w:val="clear" w:color="auto" w:fill="auto"/>
                            <w:vAlign w:val="center"/>
                            <w:hideMark/>
                          </w:tcPr>
                          <w:p w14:paraId="345EAF0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430 </w:t>
                            </w:r>
                          </w:p>
                        </w:tc>
                        <w:tc>
                          <w:tcPr>
                            <w:tcW w:w="864" w:type="pct"/>
                            <w:gridSpan w:val="2"/>
                            <w:tcBorders>
                              <w:top w:val="nil"/>
                              <w:left w:val="nil"/>
                              <w:bottom w:val="single" w:sz="4" w:space="0" w:color="auto"/>
                              <w:right w:val="single" w:sz="4" w:space="0" w:color="auto"/>
                            </w:tcBorders>
                            <w:shd w:val="clear" w:color="auto" w:fill="auto"/>
                            <w:vAlign w:val="center"/>
                            <w:hideMark/>
                          </w:tcPr>
                          <w:p w14:paraId="2F6D975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605" w:type="pct"/>
                            <w:tcBorders>
                              <w:top w:val="nil"/>
                              <w:left w:val="nil"/>
                              <w:bottom w:val="single" w:sz="4" w:space="0" w:color="auto"/>
                              <w:right w:val="single" w:sz="4" w:space="0" w:color="auto"/>
                            </w:tcBorders>
                            <w:shd w:val="clear" w:color="auto" w:fill="auto"/>
                            <w:vAlign w:val="center"/>
                            <w:hideMark/>
                          </w:tcPr>
                          <w:p w14:paraId="1A54428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48" w:type="pct"/>
                            <w:tcBorders>
                              <w:top w:val="nil"/>
                              <w:left w:val="nil"/>
                              <w:bottom w:val="single" w:sz="4" w:space="0" w:color="auto"/>
                              <w:right w:val="single" w:sz="4" w:space="0" w:color="auto"/>
                            </w:tcBorders>
                            <w:shd w:val="clear" w:color="auto" w:fill="auto"/>
                            <w:vAlign w:val="center"/>
                            <w:hideMark/>
                          </w:tcPr>
                          <w:p w14:paraId="2D89A916"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430 </w:t>
                            </w:r>
                          </w:p>
                        </w:tc>
                        <w:tc>
                          <w:tcPr>
                            <w:tcW w:w="539" w:type="pct"/>
                            <w:tcBorders>
                              <w:top w:val="nil"/>
                              <w:left w:val="nil"/>
                              <w:bottom w:val="single" w:sz="4" w:space="0" w:color="auto"/>
                              <w:right w:val="single" w:sz="4" w:space="0" w:color="auto"/>
                            </w:tcBorders>
                            <w:shd w:val="clear" w:color="auto" w:fill="auto"/>
                            <w:vAlign w:val="center"/>
                            <w:hideMark/>
                          </w:tcPr>
                          <w:p w14:paraId="15287BA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4D1B594E"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4,118 </w:t>
                            </w:r>
                          </w:p>
                        </w:tc>
                      </w:tr>
                      <w:tr w:rsidR="00A0212B" w:rsidRPr="001B469B" w14:paraId="4624E105" w14:textId="77777777" w:rsidTr="004D7C92">
                        <w:trPr>
                          <w:trHeight w:hRule="exact" w:val="340"/>
                          <w:jc w:val="center"/>
                        </w:trPr>
                        <w:tc>
                          <w:tcPr>
                            <w:tcW w:w="124" w:type="pct"/>
                            <w:vMerge w:val="restart"/>
                            <w:tcBorders>
                              <w:top w:val="nil"/>
                              <w:left w:val="single" w:sz="4" w:space="0" w:color="auto"/>
                              <w:right w:val="single" w:sz="4" w:space="0" w:color="auto"/>
                            </w:tcBorders>
                            <w:shd w:val="clear" w:color="auto" w:fill="auto"/>
                            <w:vAlign w:val="center"/>
                            <w:hideMark/>
                          </w:tcPr>
                          <w:p w14:paraId="3879C099"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第3期</w:t>
                            </w:r>
                          </w:p>
                        </w:tc>
                        <w:tc>
                          <w:tcPr>
                            <w:tcW w:w="756" w:type="pct"/>
                            <w:gridSpan w:val="2"/>
                            <w:tcBorders>
                              <w:top w:val="nil"/>
                              <w:left w:val="nil"/>
                              <w:bottom w:val="single" w:sz="4" w:space="0" w:color="auto"/>
                              <w:right w:val="single" w:sz="4" w:space="0" w:color="auto"/>
                            </w:tcBorders>
                            <w:shd w:val="clear" w:color="auto" w:fill="auto"/>
                            <w:vAlign w:val="center"/>
                            <w:hideMark/>
                          </w:tcPr>
                          <w:p w14:paraId="31DE91B0"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以前年度轉入數</w:t>
                            </w:r>
                          </w:p>
                        </w:tc>
                        <w:tc>
                          <w:tcPr>
                            <w:tcW w:w="509" w:type="pct"/>
                            <w:gridSpan w:val="2"/>
                            <w:tcBorders>
                              <w:top w:val="nil"/>
                              <w:left w:val="nil"/>
                              <w:bottom w:val="single" w:sz="4" w:space="0" w:color="auto"/>
                              <w:right w:val="single" w:sz="4" w:space="0" w:color="auto"/>
                            </w:tcBorders>
                            <w:shd w:val="clear" w:color="auto" w:fill="auto"/>
                            <w:vAlign w:val="center"/>
                            <w:hideMark/>
                          </w:tcPr>
                          <w:p w14:paraId="4287DA3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9,739,180 </w:t>
                            </w:r>
                          </w:p>
                        </w:tc>
                        <w:tc>
                          <w:tcPr>
                            <w:tcW w:w="517" w:type="pct"/>
                            <w:tcBorders>
                              <w:top w:val="nil"/>
                              <w:left w:val="nil"/>
                              <w:bottom w:val="single" w:sz="4" w:space="0" w:color="auto"/>
                              <w:right w:val="single" w:sz="4" w:space="0" w:color="auto"/>
                            </w:tcBorders>
                            <w:shd w:val="clear" w:color="auto" w:fill="auto"/>
                            <w:vAlign w:val="center"/>
                            <w:hideMark/>
                          </w:tcPr>
                          <w:p w14:paraId="70CA47B0"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9,397,868 </w:t>
                            </w:r>
                          </w:p>
                        </w:tc>
                        <w:tc>
                          <w:tcPr>
                            <w:tcW w:w="864" w:type="pct"/>
                            <w:gridSpan w:val="2"/>
                            <w:tcBorders>
                              <w:top w:val="nil"/>
                              <w:left w:val="nil"/>
                              <w:bottom w:val="single" w:sz="4" w:space="0" w:color="auto"/>
                              <w:right w:val="single" w:sz="4" w:space="0" w:color="auto"/>
                            </w:tcBorders>
                            <w:shd w:val="clear" w:color="auto" w:fill="auto"/>
                            <w:vAlign w:val="center"/>
                            <w:hideMark/>
                          </w:tcPr>
                          <w:p w14:paraId="1B2D2C7E"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496,393 </w:t>
                            </w:r>
                          </w:p>
                        </w:tc>
                        <w:tc>
                          <w:tcPr>
                            <w:tcW w:w="605" w:type="pct"/>
                            <w:tcBorders>
                              <w:top w:val="nil"/>
                              <w:left w:val="nil"/>
                              <w:bottom w:val="single" w:sz="4" w:space="0" w:color="auto"/>
                              <w:right w:val="single" w:sz="4" w:space="0" w:color="auto"/>
                            </w:tcBorders>
                            <w:shd w:val="clear" w:color="auto" w:fill="auto"/>
                            <w:vAlign w:val="center"/>
                            <w:hideMark/>
                          </w:tcPr>
                          <w:p w14:paraId="2F10938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7,498,260 </w:t>
                            </w:r>
                          </w:p>
                        </w:tc>
                        <w:tc>
                          <w:tcPr>
                            <w:tcW w:w="548" w:type="pct"/>
                            <w:tcBorders>
                              <w:top w:val="nil"/>
                              <w:left w:val="nil"/>
                              <w:bottom w:val="single" w:sz="4" w:space="0" w:color="auto"/>
                              <w:right w:val="single" w:sz="4" w:space="0" w:color="auto"/>
                            </w:tcBorders>
                            <w:shd w:val="clear" w:color="auto" w:fill="auto"/>
                            <w:vAlign w:val="center"/>
                            <w:hideMark/>
                          </w:tcPr>
                          <w:p w14:paraId="29F7520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1,403,214 </w:t>
                            </w:r>
                          </w:p>
                        </w:tc>
                        <w:tc>
                          <w:tcPr>
                            <w:tcW w:w="539" w:type="pct"/>
                            <w:tcBorders>
                              <w:top w:val="nil"/>
                              <w:left w:val="nil"/>
                              <w:bottom w:val="single" w:sz="4" w:space="0" w:color="auto"/>
                              <w:right w:val="single" w:sz="4" w:space="0" w:color="auto"/>
                            </w:tcBorders>
                            <w:shd w:val="clear" w:color="auto" w:fill="auto"/>
                            <w:vAlign w:val="center"/>
                            <w:hideMark/>
                          </w:tcPr>
                          <w:p w14:paraId="101340D9"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240,906 </w:t>
                            </w:r>
                          </w:p>
                        </w:tc>
                        <w:tc>
                          <w:tcPr>
                            <w:tcW w:w="539" w:type="pct"/>
                            <w:tcBorders>
                              <w:top w:val="nil"/>
                              <w:left w:val="nil"/>
                              <w:bottom w:val="single" w:sz="4" w:space="0" w:color="auto"/>
                              <w:right w:val="single" w:sz="4" w:space="0" w:color="auto"/>
                            </w:tcBorders>
                            <w:shd w:val="clear" w:color="auto" w:fill="auto"/>
                            <w:vAlign w:val="center"/>
                            <w:hideMark/>
                          </w:tcPr>
                          <w:p w14:paraId="4DAB77EF"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100,405 </w:t>
                            </w:r>
                          </w:p>
                        </w:tc>
                      </w:tr>
                      <w:tr w:rsidR="00A0212B" w:rsidRPr="001B469B" w14:paraId="42F2F9FB"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0FD94473"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right w:val="single" w:sz="4" w:space="0" w:color="auto"/>
                            </w:tcBorders>
                            <w:shd w:val="clear" w:color="auto" w:fill="auto"/>
                            <w:vAlign w:val="center"/>
                          </w:tcPr>
                          <w:p w14:paraId="1D23BC22"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實現數</w:t>
                            </w:r>
                          </w:p>
                        </w:tc>
                        <w:tc>
                          <w:tcPr>
                            <w:tcW w:w="509" w:type="pct"/>
                            <w:gridSpan w:val="2"/>
                            <w:tcBorders>
                              <w:top w:val="nil"/>
                              <w:left w:val="nil"/>
                              <w:bottom w:val="single" w:sz="4" w:space="0" w:color="auto"/>
                              <w:right w:val="single" w:sz="4" w:space="0" w:color="auto"/>
                            </w:tcBorders>
                            <w:shd w:val="clear" w:color="auto" w:fill="auto"/>
                            <w:vAlign w:val="center"/>
                            <w:hideMark/>
                          </w:tcPr>
                          <w:p w14:paraId="7EF51B5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5,469,595 </w:t>
                            </w:r>
                          </w:p>
                        </w:tc>
                        <w:tc>
                          <w:tcPr>
                            <w:tcW w:w="517" w:type="pct"/>
                            <w:tcBorders>
                              <w:top w:val="nil"/>
                              <w:left w:val="nil"/>
                              <w:bottom w:val="single" w:sz="4" w:space="0" w:color="auto"/>
                              <w:right w:val="single" w:sz="4" w:space="0" w:color="auto"/>
                            </w:tcBorders>
                            <w:shd w:val="clear" w:color="auto" w:fill="auto"/>
                            <w:vAlign w:val="center"/>
                            <w:hideMark/>
                          </w:tcPr>
                          <w:p w14:paraId="1C270B9D"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5,310,012 </w:t>
                            </w:r>
                          </w:p>
                        </w:tc>
                        <w:tc>
                          <w:tcPr>
                            <w:tcW w:w="864" w:type="pct"/>
                            <w:gridSpan w:val="2"/>
                            <w:tcBorders>
                              <w:top w:val="nil"/>
                              <w:left w:val="nil"/>
                              <w:bottom w:val="single" w:sz="4" w:space="0" w:color="auto"/>
                              <w:right w:val="single" w:sz="4" w:space="0" w:color="auto"/>
                            </w:tcBorders>
                            <w:shd w:val="clear" w:color="auto" w:fill="auto"/>
                            <w:vAlign w:val="center"/>
                            <w:hideMark/>
                          </w:tcPr>
                          <w:p w14:paraId="20F5374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210,153 </w:t>
                            </w:r>
                          </w:p>
                        </w:tc>
                        <w:tc>
                          <w:tcPr>
                            <w:tcW w:w="605" w:type="pct"/>
                            <w:tcBorders>
                              <w:top w:val="nil"/>
                              <w:left w:val="nil"/>
                              <w:bottom w:val="single" w:sz="4" w:space="0" w:color="auto"/>
                              <w:right w:val="single" w:sz="4" w:space="0" w:color="auto"/>
                            </w:tcBorders>
                            <w:shd w:val="clear" w:color="auto" w:fill="auto"/>
                            <w:vAlign w:val="center"/>
                            <w:hideMark/>
                          </w:tcPr>
                          <w:p w14:paraId="7A55EC23"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3,716,644 </w:t>
                            </w:r>
                          </w:p>
                        </w:tc>
                        <w:tc>
                          <w:tcPr>
                            <w:tcW w:w="548" w:type="pct"/>
                            <w:tcBorders>
                              <w:top w:val="nil"/>
                              <w:left w:val="nil"/>
                              <w:bottom w:val="single" w:sz="4" w:space="0" w:color="auto"/>
                              <w:right w:val="single" w:sz="4" w:space="0" w:color="auto"/>
                            </w:tcBorders>
                            <w:shd w:val="clear" w:color="auto" w:fill="auto"/>
                            <w:vAlign w:val="center"/>
                            <w:hideMark/>
                          </w:tcPr>
                          <w:p w14:paraId="4D51030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1,383,214 </w:t>
                            </w:r>
                          </w:p>
                        </w:tc>
                        <w:tc>
                          <w:tcPr>
                            <w:tcW w:w="539" w:type="pct"/>
                            <w:tcBorders>
                              <w:top w:val="nil"/>
                              <w:left w:val="nil"/>
                              <w:bottom w:val="single" w:sz="4" w:space="0" w:color="auto"/>
                              <w:right w:val="single" w:sz="4" w:space="0" w:color="auto"/>
                            </w:tcBorders>
                            <w:shd w:val="clear" w:color="auto" w:fill="auto"/>
                            <w:vAlign w:val="center"/>
                            <w:hideMark/>
                          </w:tcPr>
                          <w:p w14:paraId="37ED4D27"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77,714 </w:t>
                            </w:r>
                          </w:p>
                        </w:tc>
                        <w:tc>
                          <w:tcPr>
                            <w:tcW w:w="539" w:type="pct"/>
                            <w:tcBorders>
                              <w:top w:val="nil"/>
                              <w:left w:val="nil"/>
                              <w:bottom w:val="single" w:sz="4" w:space="0" w:color="auto"/>
                              <w:right w:val="single" w:sz="4" w:space="0" w:color="auto"/>
                            </w:tcBorders>
                            <w:shd w:val="clear" w:color="auto" w:fill="auto"/>
                            <w:vAlign w:val="center"/>
                            <w:hideMark/>
                          </w:tcPr>
                          <w:p w14:paraId="25B59A73"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81,868 </w:t>
                            </w:r>
                          </w:p>
                        </w:tc>
                      </w:tr>
                      <w:tr w:rsidR="00A0212B" w:rsidRPr="001B469B" w14:paraId="20CBA026"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7E6CE19B"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66" w:type="pct"/>
                            <w:tcBorders>
                              <w:top w:val="nil"/>
                              <w:left w:val="nil"/>
                              <w:bottom w:val="single" w:sz="4" w:space="0" w:color="auto"/>
                              <w:right w:val="single" w:sz="4" w:space="0" w:color="auto"/>
                            </w:tcBorders>
                            <w:shd w:val="clear" w:color="auto" w:fill="auto"/>
                            <w:vAlign w:val="center"/>
                          </w:tcPr>
                          <w:p w14:paraId="3217E5D4" w14:textId="77777777" w:rsidR="00A0212B" w:rsidRPr="001B469B" w:rsidRDefault="00A0212B" w:rsidP="000131EC">
                            <w:pPr>
                              <w:widowControl/>
                              <w:spacing w:line="240" w:lineRule="exact"/>
                              <w:rPr>
                                <w:rFonts w:ascii="標楷體" w:eastAsia="標楷體" w:hAnsi="標楷體" w:cs="新細明體"/>
                                <w:color w:val="000000"/>
                                <w:kern w:val="0"/>
                                <w:sz w:val="20"/>
                              </w:rPr>
                            </w:pPr>
                          </w:p>
                        </w:tc>
                        <w:tc>
                          <w:tcPr>
                            <w:tcW w:w="690" w:type="pct"/>
                            <w:tcBorders>
                              <w:top w:val="single" w:sz="4" w:space="0" w:color="auto"/>
                              <w:left w:val="nil"/>
                              <w:bottom w:val="single" w:sz="4" w:space="0" w:color="auto"/>
                              <w:right w:val="single" w:sz="4" w:space="0" w:color="auto"/>
                            </w:tcBorders>
                            <w:shd w:val="clear" w:color="auto" w:fill="auto"/>
                            <w:vAlign w:val="center"/>
                          </w:tcPr>
                          <w:p w14:paraId="59D8CCDB"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實現率</w:t>
                            </w:r>
                            <w:r w:rsidRPr="0078131B">
                              <w:rPr>
                                <w:rFonts w:ascii="標楷體" w:eastAsia="標楷體" w:hAnsi="標楷體" w:cs="新細明體" w:hint="eastAsia"/>
                                <w:color w:val="000000"/>
                                <w:spacing w:val="-20"/>
                                <w:kern w:val="0"/>
                                <w:sz w:val="20"/>
                              </w:rPr>
                              <w:t>（註1）</w:t>
                            </w:r>
                          </w:p>
                        </w:tc>
                        <w:tc>
                          <w:tcPr>
                            <w:tcW w:w="509" w:type="pct"/>
                            <w:gridSpan w:val="2"/>
                            <w:tcBorders>
                              <w:top w:val="nil"/>
                              <w:left w:val="nil"/>
                              <w:bottom w:val="single" w:sz="4" w:space="0" w:color="auto"/>
                              <w:right w:val="single" w:sz="4" w:space="0" w:color="auto"/>
                            </w:tcBorders>
                            <w:shd w:val="clear" w:color="auto" w:fill="auto"/>
                            <w:vAlign w:val="center"/>
                            <w:hideMark/>
                          </w:tcPr>
                          <w:p w14:paraId="6D37DB67"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56.16</w:t>
                            </w:r>
                          </w:p>
                        </w:tc>
                        <w:tc>
                          <w:tcPr>
                            <w:tcW w:w="517" w:type="pct"/>
                            <w:tcBorders>
                              <w:top w:val="nil"/>
                              <w:left w:val="nil"/>
                              <w:bottom w:val="single" w:sz="4" w:space="0" w:color="auto"/>
                              <w:right w:val="single" w:sz="4" w:space="0" w:color="auto"/>
                            </w:tcBorders>
                            <w:shd w:val="clear" w:color="auto" w:fill="auto"/>
                            <w:vAlign w:val="center"/>
                            <w:hideMark/>
                          </w:tcPr>
                          <w:p w14:paraId="12E8E333"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56.50</w:t>
                            </w:r>
                          </w:p>
                        </w:tc>
                        <w:tc>
                          <w:tcPr>
                            <w:tcW w:w="864" w:type="pct"/>
                            <w:gridSpan w:val="2"/>
                            <w:tcBorders>
                              <w:top w:val="nil"/>
                              <w:left w:val="nil"/>
                              <w:bottom w:val="single" w:sz="4" w:space="0" w:color="auto"/>
                              <w:right w:val="single" w:sz="4" w:space="0" w:color="auto"/>
                            </w:tcBorders>
                            <w:shd w:val="clear" w:color="auto" w:fill="auto"/>
                            <w:vAlign w:val="center"/>
                            <w:hideMark/>
                          </w:tcPr>
                          <w:p w14:paraId="0B60DAD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42.34</w:t>
                            </w:r>
                          </w:p>
                        </w:tc>
                        <w:tc>
                          <w:tcPr>
                            <w:tcW w:w="605" w:type="pct"/>
                            <w:tcBorders>
                              <w:top w:val="nil"/>
                              <w:left w:val="nil"/>
                              <w:bottom w:val="single" w:sz="4" w:space="0" w:color="auto"/>
                              <w:right w:val="single" w:sz="4" w:space="0" w:color="auto"/>
                            </w:tcBorders>
                            <w:shd w:val="clear" w:color="auto" w:fill="auto"/>
                            <w:vAlign w:val="center"/>
                            <w:hideMark/>
                          </w:tcPr>
                          <w:p w14:paraId="1DB8569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49.57</w:t>
                            </w:r>
                          </w:p>
                        </w:tc>
                        <w:tc>
                          <w:tcPr>
                            <w:tcW w:w="548" w:type="pct"/>
                            <w:tcBorders>
                              <w:top w:val="nil"/>
                              <w:left w:val="nil"/>
                              <w:bottom w:val="single" w:sz="4" w:space="0" w:color="auto"/>
                              <w:right w:val="single" w:sz="4" w:space="0" w:color="auto"/>
                            </w:tcBorders>
                            <w:shd w:val="clear" w:color="auto" w:fill="auto"/>
                            <w:vAlign w:val="center"/>
                            <w:hideMark/>
                          </w:tcPr>
                          <w:p w14:paraId="43DF2C62"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98.57</w:t>
                            </w:r>
                          </w:p>
                        </w:tc>
                        <w:tc>
                          <w:tcPr>
                            <w:tcW w:w="539" w:type="pct"/>
                            <w:tcBorders>
                              <w:top w:val="nil"/>
                              <w:left w:val="nil"/>
                              <w:bottom w:val="single" w:sz="4" w:space="0" w:color="auto"/>
                              <w:right w:val="single" w:sz="4" w:space="0" w:color="auto"/>
                            </w:tcBorders>
                            <w:shd w:val="clear" w:color="auto" w:fill="auto"/>
                            <w:vAlign w:val="center"/>
                            <w:hideMark/>
                          </w:tcPr>
                          <w:p w14:paraId="63B68EA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32.26</w:t>
                            </w:r>
                          </w:p>
                        </w:tc>
                        <w:tc>
                          <w:tcPr>
                            <w:tcW w:w="539" w:type="pct"/>
                            <w:tcBorders>
                              <w:top w:val="nil"/>
                              <w:left w:val="nil"/>
                              <w:bottom w:val="single" w:sz="4" w:space="0" w:color="auto"/>
                              <w:right w:val="single" w:sz="4" w:space="0" w:color="auto"/>
                            </w:tcBorders>
                            <w:shd w:val="clear" w:color="auto" w:fill="auto"/>
                            <w:vAlign w:val="center"/>
                            <w:hideMark/>
                          </w:tcPr>
                          <w:p w14:paraId="6D8BA1D0"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81.54</w:t>
                            </w:r>
                          </w:p>
                        </w:tc>
                      </w:tr>
                      <w:tr w:rsidR="00A0212B" w:rsidRPr="001B469B" w14:paraId="43F5DD48" w14:textId="77777777" w:rsidTr="004D7C92">
                        <w:trPr>
                          <w:trHeight w:hRule="exact" w:val="340"/>
                          <w:jc w:val="center"/>
                        </w:trPr>
                        <w:tc>
                          <w:tcPr>
                            <w:tcW w:w="124" w:type="pct"/>
                            <w:vMerge/>
                            <w:tcBorders>
                              <w:left w:val="single" w:sz="4" w:space="0" w:color="auto"/>
                              <w:right w:val="single" w:sz="4" w:space="0" w:color="auto"/>
                            </w:tcBorders>
                            <w:shd w:val="clear" w:color="auto" w:fill="auto"/>
                            <w:vAlign w:val="center"/>
                            <w:hideMark/>
                          </w:tcPr>
                          <w:p w14:paraId="3ECBA7BF"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25EF3157"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應付保留數</w:t>
                            </w:r>
                          </w:p>
                        </w:tc>
                        <w:tc>
                          <w:tcPr>
                            <w:tcW w:w="509" w:type="pct"/>
                            <w:gridSpan w:val="2"/>
                            <w:tcBorders>
                              <w:top w:val="nil"/>
                              <w:left w:val="nil"/>
                              <w:bottom w:val="single" w:sz="4" w:space="0" w:color="auto"/>
                              <w:right w:val="single" w:sz="4" w:space="0" w:color="auto"/>
                            </w:tcBorders>
                            <w:shd w:val="clear" w:color="auto" w:fill="auto"/>
                            <w:vAlign w:val="center"/>
                            <w:hideMark/>
                          </w:tcPr>
                          <w:p w14:paraId="6444A01C"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4,135,663 </w:t>
                            </w:r>
                          </w:p>
                        </w:tc>
                        <w:tc>
                          <w:tcPr>
                            <w:tcW w:w="517" w:type="pct"/>
                            <w:tcBorders>
                              <w:top w:val="nil"/>
                              <w:left w:val="nil"/>
                              <w:bottom w:val="single" w:sz="4" w:space="0" w:color="auto"/>
                              <w:right w:val="single" w:sz="4" w:space="0" w:color="auto"/>
                            </w:tcBorders>
                            <w:shd w:val="clear" w:color="auto" w:fill="auto"/>
                            <w:vAlign w:val="center"/>
                            <w:hideMark/>
                          </w:tcPr>
                          <w:p w14:paraId="37BF334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3,962,614 </w:t>
                            </w:r>
                          </w:p>
                        </w:tc>
                        <w:tc>
                          <w:tcPr>
                            <w:tcW w:w="864" w:type="pct"/>
                            <w:gridSpan w:val="2"/>
                            <w:tcBorders>
                              <w:top w:val="nil"/>
                              <w:left w:val="nil"/>
                              <w:bottom w:val="single" w:sz="4" w:space="0" w:color="auto"/>
                              <w:right w:val="single" w:sz="4" w:space="0" w:color="auto"/>
                            </w:tcBorders>
                            <w:shd w:val="clear" w:color="auto" w:fill="auto"/>
                            <w:vAlign w:val="center"/>
                            <w:hideMark/>
                          </w:tcPr>
                          <w:p w14:paraId="3D1F1438"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282,098 </w:t>
                            </w:r>
                          </w:p>
                        </w:tc>
                        <w:tc>
                          <w:tcPr>
                            <w:tcW w:w="605" w:type="pct"/>
                            <w:tcBorders>
                              <w:top w:val="nil"/>
                              <w:left w:val="nil"/>
                              <w:bottom w:val="single" w:sz="4" w:space="0" w:color="auto"/>
                              <w:right w:val="single" w:sz="4" w:space="0" w:color="auto"/>
                            </w:tcBorders>
                            <w:shd w:val="clear" w:color="auto" w:fill="auto"/>
                            <w:vAlign w:val="center"/>
                            <w:hideMark/>
                          </w:tcPr>
                          <w:p w14:paraId="6C57719F"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3,660,515 </w:t>
                            </w:r>
                          </w:p>
                        </w:tc>
                        <w:tc>
                          <w:tcPr>
                            <w:tcW w:w="548" w:type="pct"/>
                            <w:tcBorders>
                              <w:top w:val="nil"/>
                              <w:left w:val="nil"/>
                              <w:bottom w:val="single" w:sz="4" w:space="0" w:color="auto"/>
                              <w:right w:val="single" w:sz="4" w:space="0" w:color="auto"/>
                            </w:tcBorders>
                            <w:shd w:val="clear" w:color="auto" w:fill="auto"/>
                            <w:vAlign w:val="center"/>
                            <w:hideMark/>
                          </w:tcPr>
                          <w:p w14:paraId="71AED353"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20,000 </w:t>
                            </w:r>
                          </w:p>
                        </w:tc>
                        <w:tc>
                          <w:tcPr>
                            <w:tcW w:w="539" w:type="pct"/>
                            <w:tcBorders>
                              <w:top w:val="nil"/>
                              <w:left w:val="nil"/>
                              <w:bottom w:val="single" w:sz="4" w:space="0" w:color="auto"/>
                              <w:right w:val="single" w:sz="4" w:space="0" w:color="auto"/>
                            </w:tcBorders>
                            <w:shd w:val="clear" w:color="auto" w:fill="auto"/>
                            <w:vAlign w:val="center"/>
                            <w:hideMark/>
                          </w:tcPr>
                          <w:p w14:paraId="5AEE0D03"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163,192 </w:t>
                            </w:r>
                          </w:p>
                        </w:tc>
                        <w:tc>
                          <w:tcPr>
                            <w:tcW w:w="539" w:type="pct"/>
                            <w:tcBorders>
                              <w:top w:val="nil"/>
                              <w:left w:val="nil"/>
                              <w:bottom w:val="single" w:sz="4" w:space="0" w:color="auto"/>
                              <w:right w:val="single" w:sz="4" w:space="0" w:color="auto"/>
                            </w:tcBorders>
                            <w:shd w:val="clear" w:color="auto" w:fill="auto"/>
                            <w:vAlign w:val="center"/>
                            <w:hideMark/>
                          </w:tcPr>
                          <w:p w14:paraId="797621A6"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9,856 </w:t>
                            </w:r>
                          </w:p>
                        </w:tc>
                      </w:tr>
                      <w:tr w:rsidR="00A0212B" w:rsidRPr="001B469B" w14:paraId="1B538024" w14:textId="77777777" w:rsidTr="004D7C92">
                        <w:trPr>
                          <w:trHeight w:hRule="exact" w:val="340"/>
                          <w:jc w:val="center"/>
                        </w:trPr>
                        <w:tc>
                          <w:tcPr>
                            <w:tcW w:w="124" w:type="pct"/>
                            <w:vMerge/>
                            <w:tcBorders>
                              <w:left w:val="single" w:sz="4" w:space="0" w:color="auto"/>
                              <w:bottom w:val="single" w:sz="4" w:space="0" w:color="auto"/>
                              <w:right w:val="single" w:sz="4" w:space="0" w:color="auto"/>
                            </w:tcBorders>
                            <w:shd w:val="clear" w:color="auto" w:fill="auto"/>
                            <w:vAlign w:val="center"/>
                            <w:hideMark/>
                          </w:tcPr>
                          <w:p w14:paraId="4A36F649" w14:textId="77777777" w:rsidR="00A0212B" w:rsidRPr="001B469B" w:rsidRDefault="00A0212B" w:rsidP="000131EC">
                            <w:pPr>
                              <w:widowControl/>
                              <w:spacing w:line="240" w:lineRule="exact"/>
                              <w:jc w:val="center"/>
                              <w:rPr>
                                <w:rFonts w:ascii="標楷體" w:eastAsia="標楷體" w:hAnsi="標楷體" w:cs="新細明體"/>
                                <w:color w:val="000000"/>
                                <w:kern w:val="0"/>
                                <w:sz w:val="20"/>
                              </w:rPr>
                            </w:pPr>
                          </w:p>
                        </w:tc>
                        <w:tc>
                          <w:tcPr>
                            <w:tcW w:w="756" w:type="pct"/>
                            <w:gridSpan w:val="2"/>
                            <w:tcBorders>
                              <w:top w:val="nil"/>
                              <w:left w:val="nil"/>
                              <w:bottom w:val="single" w:sz="4" w:space="0" w:color="auto"/>
                              <w:right w:val="single" w:sz="4" w:space="0" w:color="auto"/>
                            </w:tcBorders>
                            <w:shd w:val="clear" w:color="auto" w:fill="auto"/>
                            <w:vAlign w:val="center"/>
                            <w:hideMark/>
                          </w:tcPr>
                          <w:p w14:paraId="39933446" w14:textId="77777777" w:rsidR="00A0212B" w:rsidRPr="001B469B" w:rsidRDefault="00A0212B" w:rsidP="000131EC">
                            <w:pPr>
                              <w:widowControl/>
                              <w:spacing w:line="240" w:lineRule="exact"/>
                              <w:rPr>
                                <w:rFonts w:ascii="標楷體" w:eastAsia="標楷體" w:hAnsi="標楷體" w:cs="新細明體"/>
                                <w:color w:val="000000"/>
                                <w:kern w:val="0"/>
                                <w:sz w:val="20"/>
                              </w:rPr>
                            </w:pPr>
                            <w:r w:rsidRPr="001B469B">
                              <w:rPr>
                                <w:rFonts w:ascii="標楷體" w:eastAsia="標楷體" w:hAnsi="標楷體" w:cs="新細明體" w:hint="eastAsia"/>
                                <w:color w:val="000000"/>
                                <w:kern w:val="0"/>
                                <w:sz w:val="20"/>
                              </w:rPr>
                              <w:t>減免(註銷)數</w:t>
                            </w:r>
                          </w:p>
                        </w:tc>
                        <w:tc>
                          <w:tcPr>
                            <w:tcW w:w="509" w:type="pct"/>
                            <w:gridSpan w:val="2"/>
                            <w:tcBorders>
                              <w:top w:val="nil"/>
                              <w:left w:val="nil"/>
                              <w:bottom w:val="single" w:sz="4" w:space="0" w:color="auto"/>
                              <w:right w:val="single" w:sz="4" w:space="0" w:color="auto"/>
                            </w:tcBorders>
                            <w:shd w:val="clear" w:color="auto" w:fill="auto"/>
                            <w:vAlign w:val="center"/>
                            <w:hideMark/>
                          </w:tcPr>
                          <w:p w14:paraId="5F492E88"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133,920 </w:t>
                            </w:r>
                          </w:p>
                        </w:tc>
                        <w:tc>
                          <w:tcPr>
                            <w:tcW w:w="517" w:type="pct"/>
                            <w:tcBorders>
                              <w:top w:val="nil"/>
                              <w:left w:val="nil"/>
                              <w:bottom w:val="single" w:sz="4" w:space="0" w:color="auto"/>
                              <w:right w:val="single" w:sz="4" w:space="0" w:color="auto"/>
                            </w:tcBorders>
                            <w:shd w:val="clear" w:color="auto" w:fill="auto"/>
                            <w:vAlign w:val="center"/>
                            <w:hideMark/>
                          </w:tcPr>
                          <w:p w14:paraId="158AEDBA" w14:textId="77777777" w:rsidR="00A0212B" w:rsidRPr="00E64BA8" w:rsidRDefault="00A0212B" w:rsidP="000131EC">
                            <w:pPr>
                              <w:widowControl/>
                              <w:spacing w:line="240" w:lineRule="exact"/>
                              <w:jc w:val="right"/>
                              <w:rPr>
                                <w:rFonts w:ascii="標楷體" w:eastAsia="標楷體" w:hAnsi="標楷體"/>
                                <w:b/>
                                <w:bCs/>
                                <w:sz w:val="20"/>
                              </w:rPr>
                            </w:pPr>
                            <w:r w:rsidRPr="00E64BA8">
                              <w:rPr>
                                <w:rFonts w:ascii="標楷體" w:eastAsia="標楷體" w:hAnsi="標楷體" w:hint="eastAsia"/>
                                <w:b/>
                                <w:bCs/>
                                <w:sz w:val="20"/>
                              </w:rPr>
                              <w:t xml:space="preserve">125,240 </w:t>
                            </w:r>
                          </w:p>
                        </w:tc>
                        <w:tc>
                          <w:tcPr>
                            <w:tcW w:w="864" w:type="pct"/>
                            <w:gridSpan w:val="2"/>
                            <w:tcBorders>
                              <w:top w:val="nil"/>
                              <w:left w:val="nil"/>
                              <w:bottom w:val="single" w:sz="4" w:space="0" w:color="auto"/>
                              <w:right w:val="single" w:sz="4" w:space="0" w:color="auto"/>
                            </w:tcBorders>
                            <w:shd w:val="clear" w:color="auto" w:fill="auto"/>
                            <w:vAlign w:val="center"/>
                            <w:hideMark/>
                          </w:tcPr>
                          <w:p w14:paraId="0DCEB5A4"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4,140 </w:t>
                            </w:r>
                          </w:p>
                        </w:tc>
                        <w:tc>
                          <w:tcPr>
                            <w:tcW w:w="605" w:type="pct"/>
                            <w:tcBorders>
                              <w:top w:val="nil"/>
                              <w:left w:val="nil"/>
                              <w:bottom w:val="single" w:sz="4" w:space="0" w:color="auto"/>
                              <w:right w:val="single" w:sz="4" w:space="0" w:color="auto"/>
                            </w:tcBorders>
                            <w:shd w:val="clear" w:color="auto" w:fill="auto"/>
                            <w:vAlign w:val="center"/>
                            <w:hideMark/>
                          </w:tcPr>
                          <w:p w14:paraId="4E1B097A"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121,100 </w:t>
                            </w:r>
                          </w:p>
                        </w:tc>
                        <w:tc>
                          <w:tcPr>
                            <w:tcW w:w="548" w:type="pct"/>
                            <w:tcBorders>
                              <w:top w:val="nil"/>
                              <w:left w:val="nil"/>
                              <w:bottom w:val="single" w:sz="4" w:space="0" w:color="auto"/>
                              <w:right w:val="single" w:sz="4" w:space="0" w:color="auto"/>
                            </w:tcBorders>
                            <w:shd w:val="clear" w:color="auto" w:fill="auto"/>
                            <w:vAlign w:val="center"/>
                            <w:hideMark/>
                          </w:tcPr>
                          <w:p w14:paraId="7E47704C"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15AC11C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 </w:t>
                            </w:r>
                          </w:p>
                        </w:tc>
                        <w:tc>
                          <w:tcPr>
                            <w:tcW w:w="539" w:type="pct"/>
                            <w:tcBorders>
                              <w:top w:val="nil"/>
                              <w:left w:val="nil"/>
                              <w:bottom w:val="single" w:sz="4" w:space="0" w:color="auto"/>
                              <w:right w:val="single" w:sz="4" w:space="0" w:color="auto"/>
                            </w:tcBorders>
                            <w:shd w:val="clear" w:color="auto" w:fill="auto"/>
                            <w:vAlign w:val="center"/>
                            <w:hideMark/>
                          </w:tcPr>
                          <w:p w14:paraId="053347BB" w14:textId="77777777" w:rsidR="00A0212B" w:rsidRPr="00E64BA8" w:rsidRDefault="00A0212B" w:rsidP="000131EC">
                            <w:pPr>
                              <w:widowControl/>
                              <w:spacing w:line="240" w:lineRule="exact"/>
                              <w:jc w:val="right"/>
                              <w:rPr>
                                <w:rFonts w:ascii="標楷體" w:eastAsia="標楷體" w:hAnsi="標楷體"/>
                                <w:sz w:val="20"/>
                              </w:rPr>
                            </w:pPr>
                            <w:r w:rsidRPr="00E64BA8">
                              <w:rPr>
                                <w:rFonts w:ascii="標楷體" w:eastAsia="標楷體" w:hAnsi="標楷體" w:hint="eastAsia"/>
                                <w:sz w:val="20"/>
                              </w:rPr>
                              <w:t xml:space="preserve">8,679 </w:t>
                            </w:r>
                          </w:p>
                        </w:tc>
                      </w:tr>
                      <w:tr w:rsidR="00A0212B" w:rsidRPr="001B469B" w14:paraId="2999B364" w14:textId="77777777" w:rsidTr="000131EC">
                        <w:trPr>
                          <w:trHeight w:val="20"/>
                          <w:jc w:val="center"/>
                        </w:trPr>
                        <w:tc>
                          <w:tcPr>
                            <w:tcW w:w="5000" w:type="pct"/>
                            <w:gridSpan w:val="12"/>
                            <w:tcBorders>
                              <w:top w:val="single" w:sz="4" w:space="0" w:color="auto"/>
                            </w:tcBorders>
                            <w:shd w:val="clear" w:color="auto" w:fill="auto"/>
                            <w:vAlign w:val="center"/>
                          </w:tcPr>
                          <w:p w14:paraId="6D67A92F" w14:textId="77777777" w:rsidR="00A0212B" w:rsidRPr="0078131B" w:rsidRDefault="00A0212B" w:rsidP="000131EC">
                            <w:pPr>
                              <w:spacing w:line="240" w:lineRule="exact"/>
                              <w:rPr>
                                <w:rFonts w:ascii="標楷體" w:eastAsia="標楷體" w:hAnsi="標楷體" w:cs="新細明體"/>
                                <w:color w:val="000000"/>
                                <w:kern w:val="0"/>
                                <w:sz w:val="18"/>
                                <w:szCs w:val="18"/>
                              </w:rPr>
                            </w:pPr>
                            <w:r w:rsidRPr="0078131B">
                              <w:rPr>
                                <w:rFonts w:ascii="標楷體" w:eastAsia="標楷體" w:hAnsi="標楷體" w:cstheme="minorBidi" w:hint="eastAsia"/>
                                <w:sz w:val="18"/>
                                <w:szCs w:val="18"/>
                              </w:rPr>
                              <w:t>註：1</w:t>
                            </w:r>
                            <w:r w:rsidRPr="0078131B">
                              <w:rPr>
                                <w:rFonts w:ascii="標楷體" w:eastAsia="標楷體" w:hAnsi="標楷體" w:cstheme="minorBidi"/>
                                <w:sz w:val="18"/>
                                <w:szCs w:val="18"/>
                              </w:rPr>
                              <w:t>.</w:t>
                            </w:r>
                            <w:r w:rsidRPr="0078131B">
                              <w:rPr>
                                <w:rFonts w:ascii="標楷體" w:eastAsia="標楷體" w:hAnsi="標楷體" w:cstheme="minorBidi" w:hint="eastAsia"/>
                                <w:sz w:val="18"/>
                                <w:szCs w:val="18"/>
                              </w:rPr>
                              <w:t>實現率=實現數/</w:t>
                            </w:r>
                            <w:r w:rsidRPr="0078131B">
                              <w:rPr>
                                <w:rFonts w:ascii="標楷體" w:eastAsia="標楷體" w:hAnsi="標楷體" w:cs="新細明體" w:hint="eastAsia"/>
                                <w:color w:val="000000"/>
                                <w:kern w:val="0"/>
                                <w:sz w:val="18"/>
                                <w:szCs w:val="18"/>
                              </w:rPr>
                              <w:t>以前年度轉入數</w:t>
                            </w:r>
                            <w:r w:rsidRPr="0078131B">
                              <w:rPr>
                                <w:rFonts w:ascii="標楷體" w:eastAsia="標楷體" w:hAnsi="標楷體" w:cs="新細明體"/>
                                <w:color w:val="000000"/>
                                <w:kern w:val="0"/>
                                <w:sz w:val="18"/>
                                <w:szCs w:val="18"/>
                              </w:rPr>
                              <w:t>×100</w:t>
                            </w:r>
                            <w:r w:rsidRPr="0078131B">
                              <w:rPr>
                                <w:rFonts w:ascii="標楷體" w:eastAsia="標楷體" w:hAnsi="標楷體" w:cs="新細明體" w:hint="eastAsia"/>
                                <w:color w:val="000000"/>
                                <w:kern w:val="0"/>
                                <w:sz w:val="18"/>
                                <w:szCs w:val="18"/>
                              </w:rPr>
                              <w:t>％。</w:t>
                            </w:r>
                          </w:p>
                          <w:p w14:paraId="3CD2748C" w14:textId="77777777" w:rsidR="00A0212B" w:rsidRPr="0078131B" w:rsidRDefault="00A0212B" w:rsidP="000131EC">
                            <w:pPr>
                              <w:spacing w:line="240" w:lineRule="exact"/>
                              <w:ind w:firstLineChars="200" w:firstLine="360"/>
                              <w:rPr>
                                <w:rFonts w:ascii="標楷體" w:eastAsia="標楷體" w:hAnsi="標楷體" w:cstheme="minorBidi"/>
                                <w:kern w:val="0"/>
                                <w:sz w:val="18"/>
                                <w:szCs w:val="18"/>
                              </w:rPr>
                            </w:pPr>
                            <w:r w:rsidRPr="0078131B">
                              <w:rPr>
                                <w:rFonts w:ascii="標楷體" w:eastAsia="標楷體" w:hAnsi="標楷體" w:cstheme="minorBidi" w:hint="eastAsia"/>
                                <w:sz w:val="18"/>
                                <w:szCs w:val="18"/>
                              </w:rPr>
                              <w:t>2</w:t>
                            </w:r>
                            <w:r w:rsidRPr="0078131B">
                              <w:rPr>
                                <w:rFonts w:ascii="標楷體" w:eastAsia="標楷體" w:hAnsi="標楷體" w:cstheme="minorBidi"/>
                                <w:sz w:val="18"/>
                                <w:szCs w:val="18"/>
                              </w:rPr>
                              <w:t>.</w:t>
                            </w:r>
                            <w:r w:rsidRPr="0078131B">
                              <w:rPr>
                                <w:rFonts w:ascii="標楷體" w:eastAsia="標楷體" w:hAnsi="標楷體" w:cstheme="minorBidi" w:hint="eastAsia"/>
                                <w:sz w:val="18"/>
                                <w:szCs w:val="18"/>
                              </w:rPr>
                              <w:t>資料來源：整理自</w:t>
                            </w:r>
                            <w:r w:rsidRPr="0078131B">
                              <w:rPr>
                                <w:rFonts w:ascii="標楷體" w:eastAsia="標楷體" w:hAnsi="標楷體" w:cs="新細明體" w:hint="eastAsia"/>
                                <w:kern w:val="0"/>
                                <w:sz w:val="18"/>
                                <w:szCs w:val="18"/>
                              </w:rPr>
                              <w:t>行政院</w:t>
                            </w:r>
                            <w:r w:rsidRPr="0078131B">
                              <w:rPr>
                                <w:rFonts w:ascii="標楷體" w:eastAsia="標楷體" w:hAnsi="標楷體" w:cstheme="minorBidi" w:hint="eastAsia"/>
                                <w:sz w:val="18"/>
                                <w:szCs w:val="18"/>
                              </w:rPr>
                              <w:t>112年度中央政府總決算總說明、主要表及相關附屬表（第1冊）。</w:t>
                            </w:r>
                          </w:p>
                          <w:p w14:paraId="70CDFE17" w14:textId="77777777" w:rsidR="00A0212B" w:rsidRPr="001B469B" w:rsidRDefault="00A0212B" w:rsidP="000131EC">
                            <w:pPr>
                              <w:widowControl/>
                              <w:spacing w:line="240" w:lineRule="exact"/>
                              <w:jc w:val="right"/>
                              <w:rPr>
                                <w:rFonts w:ascii="標楷體" w:eastAsia="標楷體" w:hAnsi="標楷體" w:cs="新細明體"/>
                                <w:color w:val="000000"/>
                                <w:kern w:val="0"/>
                                <w:sz w:val="20"/>
                              </w:rPr>
                            </w:pPr>
                          </w:p>
                        </w:tc>
                      </w:tr>
                    </w:tbl>
                    <w:p w14:paraId="0883C0B3" w14:textId="77777777" w:rsidR="00A0212B" w:rsidRPr="00762D6D" w:rsidRDefault="00A0212B" w:rsidP="00696F16">
                      <w:pPr>
                        <w:spacing w:line="220" w:lineRule="exact"/>
                        <w:ind w:leftChars="155" w:left="552" w:hangingChars="100" w:hanging="180"/>
                        <w:jc w:val="center"/>
                        <w:rPr>
                          <w:rFonts w:ascii="標楷體" w:eastAsia="標楷體" w:hAnsi="標楷體"/>
                          <w:sz w:val="18"/>
                        </w:rPr>
                      </w:pPr>
                    </w:p>
                  </w:txbxContent>
                </v:textbox>
                <w10:wrap type="square" anchorx="page" anchory="margin"/>
              </v:shape>
            </w:pict>
          </mc:Fallback>
        </mc:AlternateContent>
      </w:r>
      <w:r w:rsidRPr="00FE4B26">
        <w:rPr>
          <w:rFonts w:ascii="標楷體" w:eastAsia="標楷體" w:hAnsi="標楷體" w:hint="eastAsia"/>
          <w:szCs w:val="28"/>
        </w:rPr>
        <w:t>境建設之水與安全、水與發展、水與環境</w:t>
      </w:r>
      <w:r w:rsidR="00EC5988">
        <w:rPr>
          <w:rFonts w:ascii="標楷體" w:eastAsia="標楷體" w:hAnsi="標楷體" w:hint="eastAsia"/>
          <w:szCs w:val="28"/>
        </w:rPr>
        <w:t>，</w:t>
      </w:r>
      <w:r w:rsidRPr="00FE4B26">
        <w:rPr>
          <w:rFonts w:ascii="標楷體" w:eastAsia="標楷體" w:hAnsi="標楷體" w:hint="eastAsia"/>
          <w:szCs w:val="28"/>
        </w:rPr>
        <w:t>城鄉建設之公共服務據點整備、文化生活圈建設</w:t>
      </w:r>
      <w:r w:rsidR="00EC5988">
        <w:rPr>
          <w:rFonts w:ascii="標楷體" w:eastAsia="標楷體" w:hAnsi="標楷體" w:hint="eastAsia"/>
          <w:szCs w:val="28"/>
        </w:rPr>
        <w:t>，</w:t>
      </w:r>
      <w:r w:rsidRPr="00FE4B26">
        <w:rPr>
          <w:rFonts w:ascii="標楷體" w:eastAsia="標楷體" w:hAnsi="標楷體" w:hint="eastAsia"/>
          <w:szCs w:val="28"/>
        </w:rPr>
        <w:t>食品安全建設之食品安全建設等</w:t>
      </w:r>
      <w:r>
        <w:rPr>
          <w:rFonts w:ascii="標楷體" w:eastAsia="標楷體" w:hAnsi="標楷體" w:hint="eastAsia"/>
          <w:szCs w:val="28"/>
        </w:rPr>
        <w:t>，共</w:t>
      </w:r>
      <w:r>
        <w:rPr>
          <w:rFonts w:ascii="標楷體" w:eastAsia="標楷體" w:hAnsi="標楷體"/>
          <w:szCs w:val="28"/>
        </w:rPr>
        <w:t>6</w:t>
      </w:r>
      <w:r w:rsidRPr="00FE4B26">
        <w:rPr>
          <w:rFonts w:ascii="標楷體" w:eastAsia="標楷體" w:hAnsi="標楷體" w:hint="eastAsia"/>
          <w:szCs w:val="28"/>
        </w:rPr>
        <w:t>項，分由</w:t>
      </w:r>
      <w:r w:rsidR="00EC5988">
        <w:rPr>
          <w:rFonts w:ascii="標楷體" w:eastAsia="標楷體" w:hAnsi="標楷體" w:hint="eastAsia"/>
          <w:szCs w:val="28"/>
        </w:rPr>
        <w:t>內政部</w:t>
      </w:r>
      <w:r w:rsidRPr="00FE4B26">
        <w:rPr>
          <w:rFonts w:ascii="標楷體" w:eastAsia="標楷體" w:hAnsi="標楷體" w:hint="eastAsia"/>
          <w:szCs w:val="28"/>
        </w:rPr>
        <w:t>營建署（</w:t>
      </w:r>
      <w:r>
        <w:rPr>
          <w:rFonts w:ascii="標楷體" w:eastAsia="標楷體" w:hAnsi="標楷體" w:hint="eastAsia"/>
          <w:szCs w:val="28"/>
        </w:rPr>
        <w:t>112</w:t>
      </w:r>
      <w:r w:rsidRPr="00FE4B26">
        <w:rPr>
          <w:rFonts w:ascii="標楷體" w:eastAsia="標楷體" w:hAnsi="標楷體" w:hint="eastAsia"/>
          <w:szCs w:val="28"/>
        </w:rPr>
        <w:t>年9月20日改制為</w:t>
      </w:r>
      <w:r w:rsidR="008E6E73">
        <w:rPr>
          <w:rFonts w:ascii="標楷體" w:eastAsia="標楷體" w:hAnsi="標楷體" w:hint="eastAsia"/>
          <w:szCs w:val="28"/>
        </w:rPr>
        <w:t>內政部</w:t>
      </w:r>
      <w:r w:rsidRPr="00FE4B26">
        <w:rPr>
          <w:rFonts w:ascii="標楷體" w:eastAsia="標楷體" w:hAnsi="標楷體" w:hint="eastAsia"/>
          <w:szCs w:val="28"/>
        </w:rPr>
        <w:t>國土管</w:t>
      </w:r>
      <w:r w:rsidRPr="004D7C92">
        <w:rPr>
          <w:rFonts w:ascii="標楷體" w:eastAsia="標楷體" w:hAnsi="標楷體" w:hint="eastAsia"/>
          <w:spacing w:val="6"/>
          <w:szCs w:val="28"/>
        </w:rPr>
        <w:t>理署）及所屬、</w:t>
      </w:r>
      <w:r w:rsidR="00EC5988" w:rsidRPr="004D7C92">
        <w:rPr>
          <w:rFonts w:ascii="標楷體" w:eastAsia="標楷體" w:hAnsi="標楷體" w:hint="eastAsia"/>
          <w:spacing w:val="6"/>
          <w:szCs w:val="28"/>
        </w:rPr>
        <w:t>經濟部</w:t>
      </w:r>
      <w:r w:rsidRPr="004D7C92">
        <w:rPr>
          <w:rFonts w:ascii="標楷體" w:eastAsia="標楷體" w:hAnsi="標楷體" w:hint="eastAsia"/>
          <w:spacing w:val="6"/>
          <w:szCs w:val="28"/>
        </w:rPr>
        <w:t>水利署及所屬、</w:t>
      </w:r>
      <w:r w:rsidR="00EC5988" w:rsidRPr="004D7C92">
        <w:rPr>
          <w:rFonts w:ascii="標楷體" w:eastAsia="標楷體" w:hAnsi="標楷體" w:hint="eastAsia"/>
          <w:spacing w:val="6"/>
          <w:szCs w:val="28"/>
        </w:rPr>
        <w:t>農業部</w:t>
      </w:r>
      <w:r w:rsidRPr="004D7C92">
        <w:rPr>
          <w:rFonts w:ascii="標楷體" w:eastAsia="標楷體" w:hAnsi="標楷體" w:hint="eastAsia"/>
          <w:spacing w:val="6"/>
          <w:szCs w:val="28"/>
        </w:rPr>
        <w:t>漁業署及所屬、環境部、</w:t>
      </w:r>
      <w:r w:rsidR="00EC5988" w:rsidRPr="004D7C92">
        <w:rPr>
          <w:rFonts w:ascii="標楷體" w:eastAsia="標楷體" w:hAnsi="標楷體" w:hint="eastAsia"/>
          <w:spacing w:val="6"/>
          <w:szCs w:val="28"/>
        </w:rPr>
        <w:t>交通部</w:t>
      </w:r>
      <w:r w:rsidRPr="004D7C92">
        <w:rPr>
          <w:rFonts w:ascii="標楷體" w:eastAsia="標楷體" w:hAnsi="標楷體" w:hint="eastAsia"/>
          <w:spacing w:val="6"/>
          <w:szCs w:val="28"/>
        </w:rPr>
        <w:t>觀光局（</w:t>
      </w:r>
      <w:r w:rsidRPr="004D7C92">
        <w:rPr>
          <w:rFonts w:ascii="標楷體" w:eastAsia="標楷體" w:hAnsi="標楷體"/>
          <w:spacing w:val="6"/>
          <w:szCs w:val="28"/>
        </w:rPr>
        <w:t>112年9月15日改制為</w:t>
      </w:r>
      <w:r w:rsidR="00EC5988" w:rsidRPr="004D7C92">
        <w:rPr>
          <w:rFonts w:ascii="標楷體" w:eastAsia="標楷體" w:hAnsi="標楷體" w:hint="eastAsia"/>
          <w:spacing w:val="6"/>
          <w:szCs w:val="28"/>
        </w:rPr>
        <w:t>交通部</w:t>
      </w:r>
      <w:r w:rsidRPr="004D7C92">
        <w:rPr>
          <w:rFonts w:ascii="標楷體" w:eastAsia="標楷體" w:hAnsi="標楷體" w:hint="eastAsia"/>
          <w:spacing w:val="6"/>
          <w:szCs w:val="28"/>
        </w:rPr>
        <w:t>觀光署）及所屬、農業部、內政部、</w:t>
      </w:r>
      <w:r w:rsidR="00EC5988" w:rsidRPr="004D7C92">
        <w:rPr>
          <w:rFonts w:ascii="標楷體" w:eastAsia="標楷體" w:hAnsi="標楷體" w:hint="eastAsia"/>
          <w:spacing w:val="6"/>
          <w:szCs w:val="28"/>
        </w:rPr>
        <w:t>內政部</w:t>
      </w:r>
      <w:r w:rsidRPr="004D7C92">
        <w:rPr>
          <w:rFonts w:ascii="標楷體" w:eastAsia="標楷體" w:hAnsi="標楷體" w:hint="eastAsia"/>
          <w:spacing w:val="6"/>
          <w:szCs w:val="28"/>
        </w:rPr>
        <w:t>警政署及所屬、經濟部、衛生福利部、</w:t>
      </w:r>
      <w:r w:rsidR="00EC5988" w:rsidRPr="004D7C92">
        <w:rPr>
          <w:rFonts w:ascii="標楷體" w:eastAsia="標楷體" w:hAnsi="標楷體" w:hint="eastAsia"/>
          <w:spacing w:val="6"/>
          <w:szCs w:val="28"/>
        </w:rPr>
        <w:t>衛生福利部</w:t>
      </w:r>
      <w:r w:rsidRPr="004D7C92">
        <w:rPr>
          <w:rFonts w:ascii="標楷體" w:eastAsia="標楷體" w:hAnsi="標楷體" w:hint="eastAsia"/>
          <w:spacing w:val="6"/>
          <w:szCs w:val="28"/>
        </w:rPr>
        <w:t>國民健康署、</w:t>
      </w:r>
      <w:r w:rsidR="00EC5988" w:rsidRPr="004D7C92">
        <w:rPr>
          <w:rFonts w:ascii="標楷體" w:eastAsia="標楷體" w:hAnsi="標楷體" w:hint="eastAsia"/>
          <w:spacing w:val="6"/>
          <w:szCs w:val="28"/>
        </w:rPr>
        <w:t>衛生福利部</w:t>
      </w:r>
      <w:r w:rsidRPr="004D7C92">
        <w:rPr>
          <w:rFonts w:ascii="標楷體" w:eastAsia="標楷體" w:hAnsi="標楷體" w:hint="eastAsia"/>
          <w:spacing w:val="6"/>
          <w:szCs w:val="28"/>
        </w:rPr>
        <w:t>社會及</w:t>
      </w:r>
      <w:r w:rsidRPr="004D7C92">
        <w:rPr>
          <w:rFonts w:ascii="標楷體" w:eastAsia="標楷體" w:hAnsi="標楷體" w:hint="eastAsia"/>
          <w:spacing w:val="6"/>
          <w:szCs w:val="28"/>
        </w:rPr>
        <w:lastRenderedPageBreak/>
        <w:t>家庭署、文化部、</w:t>
      </w:r>
      <w:r w:rsidR="00EC5988" w:rsidRPr="004D7C92">
        <w:rPr>
          <w:rFonts w:ascii="標楷體" w:eastAsia="標楷體" w:hAnsi="標楷體" w:hint="eastAsia"/>
          <w:spacing w:val="6"/>
          <w:szCs w:val="28"/>
        </w:rPr>
        <w:t>文化部</w:t>
      </w:r>
      <w:r w:rsidRPr="004D7C92">
        <w:rPr>
          <w:rFonts w:ascii="標楷體" w:eastAsia="標楷體" w:hAnsi="標楷體" w:hint="eastAsia"/>
          <w:spacing w:val="6"/>
          <w:szCs w:val="28"/>
        </w:rPr>
        <w:t>文</w:t>
      </w:r>
      <w:r w:rsidRPr="004D7C92">
        <w:rPr>
          <w:rFonts w:ascii="標楷體" w:eastAsia="標楷體" w:hAnsi="標楷體" w:hint="eastAsia"/>
          <w:spacing w:val="4"/>
          <w:szCs w:val="28"/>
        </w:rPr>
        <w:t>化資產局、</w:t>
      </w:r>
      <w:r w:rsidR="00EC5988" w:rsidRPr="004D7C92">
        <w:rPr>
          <w:rFonts w:ascii="標楷體" w:eastAsia="標楷體" w:hAnsi="標楷體" w:hint="eastAsia"/>
          <w:spacing w:val="4"/>
          <w:szCs w:val="28"/>
        </w:rPr>
        <w:t>衛生福利部</w:t>
      </w:r>
      <w:r w:rsidRPr="004D7C92">
        <w:rPr>
          <w:rFonts w:ascii="標楷體" w:eastAsia="標楷體" w:hAnsi="標楷體" w:hint="eastAsia"/>
          <w:spacing w:val="4"/>
          <w:szCs w:val="28"/>
        </w:rPr>
        <w:t>食品藥物管理署等</w:t>
      </w:r>
      <w:r w:rsidRPr="004D7C92">
        <w:rPr>
          <w:rFonts w:ascii="標楷體" w:eastAsia="標楷體" w:hAnsi="標楷體"/>
          <w:spacing w:val="4"/>
          <w:szCs w:val="28"/>
        </w:rPr>
        <w:t>15</w:t>
      </w:r>
      <w:r w:rsidRPr="004D7C92">
        <w:rPr>
          <w:rFonts w:ascii="標楷體" w:eastAsia="標楷體" w:hAnsi="標楷體" w:hint="eastAsia"/>
          <w:spacing w:val="4"/>
          <w:szCs w:val="28"/>
        </w:rPr>
        <w:t>個機關執行，保留轉入</w:t>
      </w:r>
      <w:r w:rsidRPr="004D7C92">
        <w:rPr>
          <w:rFonts w:ascii="標楷體" w:eastAsia="標楷體" w:hAnsi="標楷體"/>
          <w:spacing w:val="4"/>
          <w:szCs w:val="28"/>
        </w:rPr>
        <w:t>113年度繼續執行金額計44億4,771萬餘元，主要係招標作業、工程進度落後，未達撥款條件等所致。前瞻計畫第1期至第3期特別預算已分別於107、109及111年底屆期，迄112年底止已分別屆滿5年、3年及1年，惟部分工作計畫之規劃及工程進度掌控有欠妥適，執行多年尚在辦理可行性評估或招標作業，進度持續落後，預算保留轉入113年度繼續執行金額達172億9,199萬餘元，占轉入112年度繼續執行金額435億8,785萬餘元之39.67％，預算執行力有待加強，</w:t>
      </w:r>
      <w:r w:rsidRPr="004D7C92">
        <w:rPr>
          <w:rFonts w:ascii="標楷體" w:eastAsia="標楷體" w:hAnsi="標楷體" w:cs="標楷體" w:hint="eastAsia"/>
          <w:bCs/>
          <w:spacing w:val="4"/>
        </w:rPr>
        <w:t>經函請行政院</w:t>
      </w:r>
      <w:r w:rsidRPr="004D7C92">
        <w:rPr>
          <w:rFonts w:ascii="標楷體" w:eastAsia="標楷體" w:hAnsi="標楷體" w:hint="eastAsia"/>
          <w:spacing w:val="4"/>
          <w:szCs w:val="28"/>
        </w:rPr>
        <w:t>督促相關機關針對工作計畫執行率欠佳原因，積極研謀改善</w:t>
      </w:r>
      <w:r w:rsidRPr="004D7C92">
        <w:rPr>
          <w:rFonts w:ascii="標楷體" w:eastAsia="標楷體" w:hAnsi="標楷體" w:cs="標楷體" w:hint="eastAsia"/>
          <w:bCs/>
          <w:spacing w:val="4"/>
        </w:rPr>
        <w:t>。</w:t>
      </w:r>
      <w:r w:rsidRPr="004D7C92">
        <w:rPr>
          <w:rFonts w:ascii="標楷體" w:eastAsia="標楷體" w:hAnsi="標楷體" w:cs="標楷體" w:hint="eastAsia"/>
          <w:spacing w:val="4"/>
        </w:rPr>
        <w:t>據復：</w:t>
      </w:r>
      <w:r w:rsidR="00D46491" w:rsidRPr="004D7C92">
        <w:rPr>
          <w:rFonts w:ascii="標楷體" w:eastAsia="標楷體" w:hAnsi="標楷體" w:cs="標楷體" w:hint="eastAsia"/>
          <w:spacing w:val="4"/>
        </w:rPr>
        <w:t>各主管機關業就前瞻計畫第</w:t>
      </w:r>
      <w:r w:rsidR="00D46491" w:rsidRPr="004D7C92">
        <w:rPr>
          <w:rFonts w:ascii="標楷體" w:eastAsia="標楷體" w:hAnsi="標楷體" w:cs="標楷體"/>
          <w:spacing w:val="4"/>
        </w:rPr>
        <w:t>1期至第3期特別預算各項進度落後計畫妥研善策積極趕辦，將持續督促相關機關加強辦理尚未執行完竣之工作項目，以提升預算執行績效。</w:t>
      </w:r>
    </w:p>
    <w:p w14:paraId="49BDDC4E" w14:textId="768035C0" w:rsidR="003E7F03" w:rsidRPr="004D7C92" w:rsidRDefault="007E5ACE" w:rsidP="004D7C92">
      <w:pPr>
        <w:widowControl/>
        <w:overflowPunct w:val="0"/>
        <w:spacing w:line="446" w:lineRule="exact"/>
        <w:ind w:firstLineChars="450" w:firstLine="1099"/>
        <w:jc w:val="both"/>
        <w:rPr>
          <w:rFonts w:ascii="標楷體" w:eastAsia="標楷體" w:hAnsi="標楷體" w:cs="標楷體"/>
          <w:spacing w:val="2"/>
        </w:rPr>
      </w:pPr>
      <w:r w:rsidRPr="004D7C92">
        <w:rPr>
          <w:rFonts w:ascii="標楷體" w:eastAsia="標楷體" w:hAnsi="標楷體" w:cstheme="minorBidi"/>
          <w:b/>
          <w:bCs/>
          <w:spacing w:val="2"/>
        </w:rPr>
        <w:t>2.　前瞻計畫第4期特別預算112年度整體預算實現率僅69.99％，甚有部分工作計畫實現率未及1成，影響計畫目標之達成：</w:t>
      </w:r>
      <w:r w:rsidRPr="004D7C92">
        <w:rPr>
          <w:rFonts w:ascii="標楷體" w:eastAsia="標楷體" w:hAnsi="標楷體" w:cstheme="minorBidi" w:hint="eastAsia"/>
          <w:bCs/>
          <w:spacing w:val="2"/>
        </w:rPr>
        <w:t>前瞻計畫第</w:t>
      </w:r>
      <w:r w:rsidRPr="004D7C92">
        <w:rPr>
          <w:rFonts w:ascii="標楷體" w:eastAsia="標楷體" w:hAnsi="標楷體" w:cstheme="minorBidi"/>
          <w:bCs/>
          <w:spacing w:val="2"/>
        </w:rPr>
        <w:t>4期特別預算執行期間為112至113年度，歲出預算數2,098億3,255萬餘元，截至112年底止，已分配預算數1,042億8,715萬餘元，實現數729億9,075萬餘元，實現率為69.99％。</w:t>
      </w:r>
      <w:r w:rsidRPr="004D7C92">
        <w:rPr>
          <w:rFonts w:ascii="標楷體" w:eastAsia="標楷體" w:hAnsi="標楷體" w:cstheme="minorBidi" w:hint="eastAsia"/>
          <w:bCs/>
          <w:spacing w:val="2"/>
        </w:rPr>
        <w:t>經查前瞻計畫第</w:t>
      </w:r>
      <w:r w:rsidRPr="004D7C92">
        <w:rPr>
          <w:rFonts w:ascii="標楷體" w:eastAsia="標楷體" w:hAnsi="標楷體" w:cstheme="minorBidi"/>
          <w:bCs/>
          <w:spacing w:val="2"/>
        </w:rPr>
        <w:t>4期特別預算分由總統府、行政院</w:t>
      </w:r>
      <w:r w:rsidR="00D46491" w:rsidRPr="004D7C92">
        <w:rPr>
          <w:rFonts w:ascii="標楷體" w:eastAsia="標楷體" w:hAnsi="標楷體" w:cstheme="minorBidi" w:hint="eastAsia"/>
          <w:bCs/>
          <w:spacing w:val="2"/>
        </w:rPr>
        <w:t>（含國立故宮博物院、國家發展委員會、原住民族委員會、客家委員會及所屬、公共工程委員會）</w:t>
      </w:r>
      <w:r w:rsidRPr="004D7C92">
        <w:rPr>
          <w:rFonts w:ascii="標楷體" w:eastAsia="標楷體" w:hAnsi="標楷體" w:cstheme="minorBidi" w:hint="eastAsia"/>
          <w:bCs/>
          <w:spacing w:val="2"/>
        </w:rPr>
        <w:t>、內政部等</w:t>
      </w:r>
      <w:r w:rsidRPr="004D7C92">
        <w:rPr>
          <w:rFonts w:ascii="標楷體" w:eastAsia="標楷體" w:hAnsi="標楷體" w:cstheme="minorBidi"/>
          <w:bCs/>
          <w:spacing w:val="2"/>
        </w:rPr>
        <w:t>15個主管機關執行，截至112年底止，行政院（國家發展委員會、原住民族委員會）、經濟部、交通部、原子能委員會（112年9月27日改制為核能安全委員會）、</w:t>
      </w:r>
      <w:r w:rsidR="00153D27" w:rsidRPr="004D7C92">
        <w:rPr>
          <w:rFonts w:ascii="標楷體" w:eastAsia="標楷體" w:hAnsi="標楷體" w:cstheme="minorBidi" w:hint="eastAsia"/>
          <w:bCs/>
          <w:spacing w:val="2"/>
        </w:rPr>
        <w:t>農業部、衛生福利部及文化部等</w:t>
      </w:r>
      <w:r w:rsidR="00153D27" w:rsidRPr="004D7C92">
        <w:rPr>
          <w:rFonts w:ascii="標楷體" w:eastAsia="標楷體" w:hAnsi="標楷體" w:cstheme="minorBidi"/>
          <w:bCs/>
          <w:spacing w:val="2"/>
        </w:rPr>
        <w:t>7個主管機關實現率未達8成，其中行政院、交通部、衛生福利部及文化部等4個主管機關實現率低於整體實現率，又以衛生福利部之42.84％最低（</w:t>
      </w:r>
      <w:r w:rsidR="00153D27" w:rsidRPr="006678C5">
        <w:rPr>
          <w:rFonts w:ascii="標楷體" w:eastAsia="標楷體" w:hAnsi="標楷體" w:cstheme="minorBidi" w:hint="eastAsia"/>
          <w:bCs/>
          <w:spacing w:val="2"/>
        </w:rPr>
        <w:t>表</w:t>
      </w:r>
      <w:r w:rsidR="00153D27" w:rsidRPr="006678C5">
        <w:rPr>
          <w:rFonts w:ascii="標楷體" w:eastAsia="標楷體" w:hAnsi="標楷體" w:cstheme="minorBidi"/>
          <w:bCs/>
          <w:spacing w:val="2"/>
        </w:rPr>
        <w:t>2</w:t>
      </w:r>
      <w:r w:rsidR="00C6766F" w:rsidRPr="006678C5">
        <w:rPr>
          <w:rFonts w:ascii="標楷體" w:eastAsia="標楷體" w:hAnsi="標楷體" w:cstheme="minorBidi" w:hint="eastAsia"/>
          <w:bCs/>
          <w:spacing w:val="2"/>
        </w:rPr>
        <w:t>4</w:t>
      </w:r>
      <w:r w:rsidR="00153D27" w:rsidRPr="004D7C92">
        <w:rPr>
          <w:rFonts w:ascii="標楷體" w:eastAsia="標楷體" w:hAnsi="標楷體" w:cstheme="minorBidi" w:hint="eastAsia"/>
          <w:bCs/>
          <w:spacing w:val="2"/>
        </w:rPr>
        <w:t>）；前瞻計畫第</w:t>
      </w:r>
      <w:r w:rsidR="00153D27" w:rsidRPr="004D7C92">
        <w:rPr>
          <w:rFonts w:ascii="標楷體" w:eastAsia="標楷體" w:hAnsi="標楷體" w:cstheme="minorBidi"/>
          <w:bCs/>
          <w:spacing w:val="2"/>
        </w:rPr>
        <w:t>4期特別預算辦理業務計畫計141項，下分工作計畫192項，其中實現率未達8成者計81項，占總工作計畫項數之42.19％，且國家發展委員會執行之人才培育促進就業建設、原住民族委員會執行之推廣數位公益服務、經濟部執行之公共服務據點整備、經濟部水利署及所屬執行之建構開放政府及智慧城鄉服務、交通部執行之臺鐵升級及改善東部服務、交通部公路局及所屬執行之公共充電樁設置及區域充電需求評估計畫、交通部鐵道局及所屬執行之都市推動捷運、衛生福利部執行之加速推動地方創生、數位發展部執行之基礎建設環境等9項工作計畫，實現率均未</w:t>
      </w:r>
      <w:r w:rsidR="00BE7428">
        <w:rPr>
          <w:rFonts w:ascii="標楷體" w:eastAsia="標楷體" w:hAnsi="標楷體" w:cstheme="minorBidi" w:hint="eastAsia"/>
          <w:bCs/>
          <w:spacing w:val="2"/>
        </w:rPr>
        <w:t>及</w:t>
      </w:r>
      <w:r w:rsidR="00153D27" w:rsidRPr="004D7C92">
        <w:rPr>
          <w:rFonts w:ascii="標楷體" w:eastAsia="標楷體" w:hAnsi="標楷體" w:cstheme="minorBidi"/>
          <w:bCs/>
          <w:spacing w:val="2"/>
        </w:rPr>
        <w:t>1成（</w:t>
      </w:r>
      <w:r w:rsidR="00153D27" w:rsidRPr="006678C5">
        <w:rPr>
          <w:rFonts w:ascii="標楷體" w:eastAsia="標楷體" w:hAnsi="標楷體" w:cstheme="minorBidi" w:hint="eastAsia"/>
          <w:bCs/>
          <w:spacing w:val="2"/>
        </w:rPr>
        <w:t>表</w:t>
      </w:r>
      <w:r w:rsidR="00153D27" w:rsidRPr="006678C5">
        <w:rPr>
          <w:rFonts w:ascii="標楷體" w:eastAsia="標楷體" w:hAnsi="標楷體" w:cstheme="minorBidi"/>
          <w:bCs/>
          <w:spacing w:val="2"/>
        </w:rPr>
        <w:t>2</w:t>
      </w:r>
      <w:r w:rsidR="00C6766F" w:rsidRPr="006678C5">
        <w:rPr>
          <w:rFonts w:ascii="標楷體" w:eastAsia="標楷體" w:hAnsi="標楷體" w:cstheme="minorBidi" w:hint="eastAsia"/>
          <w:bCs/>
          <w:spacing w:val="2"/>
        </w:rPr>
        <w:t>5</w:t>
      </w:r>
      <w:r w:rsidR="00153D27" w:rsidRPr="004D7C92">
        <w:rPr>
          <w:rFonts w:ascii="標楷體" w:eastAsia="標楷體" w:hAnsi="標楷體" w:cstheme="minorBidi" w:hint="eastAsia"/>
          <w:bCs/>
          <w:spacing w:val="2"/>
        </w:rPr>
        <w:t>），主要係辦理規劃設計所需期程較長、工程選址遭民眾抗議、招標作業及工程進度落後等所致。鑑於前瞻計畫第</w:t>
      </w:r>
      <w:r w:rsidR="00153D27" w:rsidRPr="004D7C92">
        <w:rPr>
          <w:rFonts w:ascii="標楷體" w:eastAsia="標楷體" w:hAnsi="標楷體" w:cstheme="minorBidi"/>
          <w:bCs/>
          <w:spacing w:val="2"/>
        </w:rPr>
        <w:t>4期特別預算112年度整體預算實現率僅69.99％，甚有部分工作計畫實現率未及1成，影響計畫目標之達成，且部分主管機關之預算執行率遠落後其他機關，執行能力有待提升，經函請行政院督促相關機關研謀妥處。</w:t>
      </w:r>
      <w:r w:rsidR="00153D27" w:rsidRPr="004D7C92">
        <w:rPr>
          <w:rFonts w:ascii="標楷體" w:eastAsia="標楷體" w:hAnsi="標楷體" w:cs="標楷體" w:hint="eastAsia"/>
          <w:spacing w:val="2"/>
        </w:rPr>
        <w:t>據復：各主管機關業就前瞻計畫第</w:t>
      </w:r>
      <w:r w:rsidR="00153D27" w:rsidRPr="004D7C92">
        <w:rPr>
          <w:rFonts w:ascii="標楷體" w:eastAsia="標楷體" w:hAnsi="標楷體" w:cs="標楷體"/>
          <w:spacing w:val="2"/>
        </w:rPr>
        <w:t>4期特別預算各項進度落後計畫積極趕辦，將依前瞻基礎建設計畫績效管考作業準則等相關規定，持續掌握個案計畫之執行進度及品質，適時協助各機關針對進度落後計畫採取因應措施。</w:t>
      </w:r>
      <w:r w:rsidR="005D07D6" w:rsidRPr="004D7C92">
        <w:rPr>
          <w:rFonts w:ascii="標楷體" w:eastAsia="標楷體" w:hAnsi="標楷體" w:cs="標楷體"/>
          <w:spacing w:val="2"/>
        </w:rPr>
        <w:br w:type="page"/>
      </w:r>
    </w:p>
    <w:p w14:paraId="071E3F57" w14:textId="129A9B65" w:rsidR="003E7F03" w:rsidRDefault="005D07D6" w:rsidP="007E5ACE">
      <w:pPr>
        <w:overflowPunct w:val="0"/>
        <w:spacing w:line="410" w:lineRule="exact"/>
        <w:jc w:val="both"/>
        <w:rPr>
          <w:rFonts w:ascii="標楷體" w:hAnsi="標楷體" w:cs="DFKaiShu-SB-Estd-BF"/>
          <w:b/>
          <w:kern w:val="0"/>
          <w:sz w:val="32"/>
          <w:szCs w:val="32"/>
        </w:rPr>
      </w:pPr>
      <w:r w:rsidRPr="00FE4B26">
        <w:rPr>
          <w:rFonts w:ascii="標楷體" w:eastAsia="標楷體" w:hAnsi="標楷體" w:cstheme="minorBidi" w:hint="eastAsia"/>
          <w:bCs/>
          <w:noProof/>
          <w:spacing w:val="-20"/>
        </w:rPr>
        <w:lastRenderedPageBreak/>
        <mc:AlternateContent>
          <mc:Choice Requires="wps">
            <w:drawing>
              <wp:anchor distT="0" distB="0" distL="114300" distR="114300" simplePos="0" relativeHeight="251664384" behindDoc="1" locked="0" layoutInCell="1" allowOverlap="1" wp14:anchorId="5DFD4D54" wp14:editId="6739540B">
                <wp:simplePos x="0" y="0"/>
                <wp:positionH relativeFrom="page">
                  <wp:posOffset>581025</wp:posOffset>
                </wp:positionH>
                <wp:positionV relativeFrom="margin">
                  <wp:posOffset>4573270</wp:posOffset>
                </wp:positionV>
                <wp:extent cx="6374765" cy="4333875"/>
                <wp:effectExtent l="0" t="0" r="6985" b="9525"/>
                <wp:wrapTight wrapText="bothSides">
                  <wp:wrapPolygon edited="0">
                    <wp:start x="0" y="0"/>
                    <wp:lineTo x="0" y="21553"/>
                    <wp:lineTo x="21559" y="21553"/>
                    <wp:lineTo x="21559" y="0"/>
                    <wp:lineTo x="0" y="0"/>
                  </wp:wrapPolygon>
                </wp:wrapTight>
                <wp:docPr id="87" name="文字方塊 87"/>
                <wp:cNvGraphicFramePr/>
                <a:graphic xmlns:a="http://schemas.openxmlformats.org/drawingml/2006/main">
                  <a:graphicData uri="http://schemas.microsoft.com/office/word/2010/wordprocessingShape">
                    <wps:wsp>
                      <wps:cNvSpPr txBox="1"/>
                      <wps:spPr>
                        <a:xfrm>
                          <a:off x="0" y="0"/>
                          <a:ext cx="6374765" cy="4333875"/>
                        </a:xfrm>
                        <a:prstGeom prst="rect">
                          <a:avLst/>
                        </a:prstGeom>
                        <a:solidFill>
                          <a:sysClr val="window" lastClr="FFFFFF"/>
                        </a:solidFill>
                        <a:ln w="6350">
                          <a:noFill/>
                        </a:ln>
                        <a:effectLst/>
                      </wps:spPr>
                      <wps:txbx>
                        <w:txbxContent>
                          <w:tbl>
                            <w:tblPr>
                              <w:tblW w:w="9592" w:type="dxa"/>
                              <w:jc w:val="center"/>
                              <w:tblCellMar>
                                <w:left w:w="28" w:type="dxa"/>
                                <w:right w:w="28" w:type="dxa"/>
                              </w:tblCellMar>
                              <w:tblLook w:val="04A0" w:firstRow="1" w:lastRow="0" w:firstColumn="1" w:lastColumn="0" w:noHBand="0" w:noVBand="1"/>
                            </w:tblPr>
                            <w:tblGrid>
                              <w:gridCol w:w="681"/>
                              <w:gridCol w:w="1465"/>
                              <w:gridCol w:w="1077"/>
                              <w:gridCol w:w="1389"/>
                              <w:gridCol w:w="958"/>
                              <w:gridCol w:w="956"/>
                              <w:gridCol w:w="758"/>
                              <w:gridCol w:w="656"/>
                              <w:gridCol w:w="896"/>
                              <w:gridCol w:w="756"/>
                            </w:tblGrid>
                            <w:tr w:rsidR="00A0212B" w:rsidRPr="00FE4B26" w14:paraId="738CA1B6" w14:textId="77777777" w:rsidTr="000131EC">
                              <w:trPr>
                                <w:trHeight w:val="20"/>
                                <w:jc w:val="center"/>
                              </w:trPr>
                              <w:tc>
                                <w:tcPr>
                                  <w:tcW w:w="9592" w:type="dxa"/>
                                  <w:gridSpan w:val="10"/>
                                  <w:shd w:val="clear" w:color="auto" w:fill="auto"/>
                                  <w:vAlign w:val="center"/>
                                </w:tcPr>
                                <w:p w14:paraId="43DC3FE9" w14:textId="0B1FE871" w:rsidR="00A0212B" w:rsidRPr="00FE4B26" w:rsidRDefault="00A0212B" w:rsidP="00CD3AB3">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b/>
                                      <w:bCs/>
                                      <w:color w:val="000000"/>
                                      <w:kern w:val="0"/>
                                    </w:rPr>
                                    <w:t>表</w:t>
                                  </w:r>
                                  <w:r>
                                    <w:rPr>
                                      <w:rFonts w:ascii="標楷體" w:eastAsia="標楷體" w:hAnsi="標楷體" w:cs="新細明體"/>
                                      <w:b/>
                                      <w:bCs/>
                                      <w:color w:val="000000"/>
                                      <w:kern w:val="0"/>
                                    </w:rPr>
                                    <w:t>25</w:t>
                                  </w:r>
                                  <w:r w:rsidRPr="00FE4B26">
                                    <w:rPr>
                                      <w:rFonts w:ascii="標楷體" w:eastAsia="標楷體" w:hAnsi="標楷體" w:cs="新細明體" w:hint="eastAsia"/>
                                      <w:b/>
                                      <w:bCs/>
                                      <w:color w:val="000000"/>
                                      <w:kern w:val="0"/>
                                    </w:rPr>
                                    <w:t xml:space="preserve">　前瞻計畫第</w:t>
                                  </w:r>
                                  <w:r w:rsidRPr="00FE4B26">
                                    <w:rPr>
                                      <w:rFonts w:ascii="標楷體" w:eastAsia="標楷體" w:hAnsi="標楷體" w:cs="新細明體"/>
                                      <w:b/>
                                      <w:bCs/>
                                      <w:color w:val="000000"/>
                                      <w:kern w:val="0"/>
                                    </w:rPr>
                                    <w:t>4期特別預算</w:t>
                                  </w:r>
                                  <w:r w:rsidRPr="00FE4B26">
                                    <w:rPr>
                                      <w:rFonts w:ascii="標楷體" w:eastAsia="標楷體" w:hAnsi="標楷體" w:cs="新細明體" w:hint="eastAsia"/>
                                      <w:b/>
                                      <w:bCs/>
                                      <w:color w:val="000000"/>
                                      <w:kern w:val="0"/>
                                    </w:rPr>
                                    <w:t>1</w:t>
                                  </w:r>
                                  <w:r w:rsidRPr="00FE4B26">
                                    <w:rPr>
                                      <w:rFonts w:ascii="標楷體" w:eastAsia="標楷體" w:hAnsi="標楷體" w:cs="新細明體"/>
                                      <w:b/>
                                      <w:bCs/>
                                      <w:color w:val="000000"/>
                                      <w:kern w:val="0"/>
                                    </w:rPr>
                                    <w:t>12</w:t>
                                  </w:r>
                                  <w:r w:rsidRPr="00FE4B26">
                                    <w:rPr>
                                      <w:rFonts w:ascii="標楷體" w:eastAsia="標楷體" w:hAnsi="標楷體" w:cs="新細明體" w:hint="eastAsia"/>
                                      <w:b/>
                                      <w:bCs/>
                                      <w:color w:val="000000"/>
                                      <w:kern w:val="0"/>
                                    </w:rPr>
                                    <w:t>年度實現率未</w:t>
                                  </w:r>
                                  <w:r>
                                    <w:rPr>
                                      <w:rFonts w:ascii="標楷體" w:eastAsia="標楷體" w:hAnsi="標楷體" w:cs="新細明體" w:hint="eastAsia"/>
                                      <w:b/>
                                      <w:bCs/>
                                      <w:color w:val="000000"/>
                                      <w:kern w:val="0"/>
                                    </w:rPr>
                                    <w:t>及</w:t>
                                  </w:r>
                                  <w:r w:rsidRPr="00FE4B26">
                                    <w:rPr>
                                      <w:rFonts w:ascii="標楷體" w:eastAsia="標楷體" w:hAnsi="標楷體" w:cs="新細明體" w:hint="eastAsia"/>
                                      <w:b/>
                                      <w:bCs/>
                                      <w:color w:val="000000"/>
                                      <w:kern w:val="0"/>
                                    </w:rPr>
                                    <w:t>1成</w:t>
                                  </w:r>
                                  <w:r>
                                    <w:rPr>
                                      <w:rFonts w:ascii="標楷體" w:eastAsia="標楷體" w:hAnsi="標楷體" w:cs="新細明體" w:hint="eastAsia"/>
                                      <w:b/>
                                      <w:bCs/>
                                      <w:color w:val="000000"/>
                                      <w:kern w:val="0"/>
                                    </w:rPr>
                                    <w:t>工作計畫</w:t>
                                  </w:r>
                                  <w:r w:rsidRPr="00FE4B26">
                                    <w:rPr>
                                      <w:rFonts w:ascii="標楷體" w:eastAsia="標楷體" w:hAnsi="標楷體" w:cs="新細明體" w:hint="eastAsia"/>
                                      <w:b/>
                                      <w:bCs/>
                                      <w:color w:val="000000"/>
                                      <w:kern w:val="0"/>
                                    </w:rPr>
                                    <w:t>執行情形</w:t>
                                  </w:r>
                                </w:p>
                              </w:tc>
                            </w:tr>
                            <w:tr w:rsidR="00A0212B" w:rsidRPr="00FE4B26" w14:paraId="1D40BFBB" w14:textId="77777777" w:rsidTr="000131EC">
                              <w:trPr>
                                <w:trHeight w:val="20"/>
                                <w:jc w:val="center"/>
                              </w:trPr>
                              <w:tc>
                                <w:tcPr>
                                  <w:tcW w:w="9592" w:type="dxa"/>
                                  <w:gridSpan w:val="10"/>
                                  <w:shd w:val="clear" w:color="auto" w:fill="auto"/>
                                  <w:vAlign w:val="center"/>
                                </w:tcPr>
                                <w:p w14:paraId="7524BBAD" w14:textId="77777777" w:rsidR="00A0212B" w:rsidRPr="00374A6D" w:rsidRDefault="00A0212B" w:rsidP="000131EC">
                                  <w:pPr>
                                    <w:widowControl/>
                                    <w:spacing w:line="240" w:lineRule="exact"/>
                                    <w:jc w:val="right"/>
                                    <w:rPr>
                                      <w:rFonts w:ascii="標楷體" w:eastAsia="標楷體" w:hAnsi="標楷體" w:cs="新細明體"/>
                                      <w:color w:val="000000"/>
                                      <w:kern w:val="0"/>
                                      <w:sz w:val="20"/>
                                    </w:rPr>
                                  </w:pPr>
                                  <w:r w:rsidRPr="00374A6D">
                                    <w:rPr>
                                      <w:rFonts w:ascii="標楷體" w:eastAsia="標楷體" w:hAnsi="標楷體" w:cs="新細明體" w:hint="eastAsia"/>
                                      <w:kern w:val="0"/>
                                      <w:sz w:val="20"/>
                                    </w:rPr>
                                    <w:t>單位：新臺幣千元、％</w:t>
                                  </w:r>
                                </w:p>
                              </w:tc>
                            </w:tr>
                            <w:tr w:rsidR="00A0212B" w:rsidRPr="00FE4B26" w14:paraId="1026AD5E" w14:textId="77777777" w:rsidTr="000131EC">
                              <w:trPr>
                                <w:trHeight w:val="20"/>
                                <w:jc w:val="center"/>
                              </w:trPr>
                              <w:tc>
                                <w:tcPr>
                                  <w:tcW w:w="681" w:type="dxa"/>
                                  <w:vMerge w:val="restart"/>
                                  <w:tcBorders>
                                    <w:top w:val="single" w:sz="4" w:space="0" w:color="auto"/>
                                    <w:left w:val="single" w:sz="4" w:space="0" w:color="auto"/>
                                    <w:right w:val="single" w:sz="4" w:space="0" w:color="auto"/>
                                  </w:tcBorders>
                                  <w:shd w:val="clear" w:color="auto" w:fill="auto"/>
                                  <w:vAlign w:val="center"/>
                                  <w:hideMark/>
                                </w:tcPr>
                                <w:p w14:paraId="5808215A"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主管</w:t>
                                  </w:r>
                                </w:p>
                                <w:p w14:paraId="4AF47148"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機關</w:t>
                                  </w:r>
                                </w:p>
                              </w:tc>
                              <w:tc>
                                <w:tcPr>
                                  <w:tcW w:w="1465" w:type="dxa"/>
                                  <w:vMerge w:val="restart"/>
                                  <w:tcBorders>
                                    <w:top w:val="single" w:sz="4" w:space="0" w:color="auto"/>
                                    <w:left w:val="nil"/>
                                    <w:right w:val="single" w:sz="4" w:space="0" w:color="auto"/>
                                  </w:tcBorders>
                                  <w:shd w:val="clear" w:color="auto" w:fill="auto"/>
                                  <w:vAlign w:val="center"/>
                                  <w:hideMark/>
                                </w:tcPr>
                                <w:p w14:paraId="1EAAAD1A"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執行機關</w:t>
                                  </w:r>
                                </w:p>
                              </w:tc>
                              <w:tc>
                                <w:tcPr>
                                  <w:tcW w:w="1077" w:type="dxa"/>
                                  <w:vMerge w:val="restart"/>
                                  <w:tcBorders>
                                    <w:top w:val="single" w:sz="4" w:space="0" w:color="auto"/>
                                    <w:left w:val="nil"/>
                                    <w:right w:val="single" w:sz="4" w:space="0" w:color="auto"/>
                                  </w:tcBorders>
                                  <w:shd w:val="clear" w:color="auto" w:fill="auto"/>
                                  <w:vAlign w:val="center"/>
                                  <w:hideMark/>
                                </w:tcPr>
                                <w:p w14:paraId="14BF7F09"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建設類別</w:t>
                                  </w:r>
                                </w:p>
                              </w:tc>
                              <w:tc>
                                <w:tcPr>
                                  <w:tcW w:w="1389" w:type="dxa"/>
                                  <w:vMerge w:val="restart"/>
                                  <w:tcBorders>
                                    <w:top w:val="single" w:sz="4" w:space="0" w:color="auto"/>
                                    <w:left w:val="nil"/>
                                    <w:right w:val="single" w:sz="4" w:space="0" w:color="auto"/>
                                  </w:tcBorders>
                                  <w:shd w:val="clear" w:color="auto" w:fill="auto"/>
                                  <w:vAlign w:val="center"/>
                                  <w:hideMark/>
                                </w:tcPr>
                                <w:p w14:paraId="117945C7"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工作計畫</w:t>
                                  </w:r>
                                </w:p>
                              </w:tc>
                              <w:tc>
                                <w:tcPr>
                                  <w:tcW w:w="958" w:type="dxa"/>
                                  <w:vMerge w:val="restart"/>
                                  <w:tcBorders>
                                    <w:top w:val="single" w:sz="4" w:space="0" w:color="auto"/>
                                    <w:left w:val="nil"/>
                                    <w:right w:val="single" w:sz="4" w:space="0" w:color="auto"/>
                                  </w:tcBorders>
                                  <w:shd w:val="clear" w:color="auto" w:fill="auto"/>
                                  <w:vAlign w:val="center"/>
                                  <w:hideMark/>
                                </w:tcPr>
                                <w:p w14:paraId="74769E09"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預算數</w:t>
                                  </w:r>
                                </w:p>
                              </w:tc>
                              <w:tc>
                                <w:tcPr>
                                  <w:tcW w:w="956" w:type="dxa"/>
                                  <w:vMerge w:val="restart"/>
                                  <w:tcBorders>
                                    <w:top w:val="single" w:sz="4" w:space="0" w:color="auto"/>
                                    <w:left w:val="nil"/>
                                    <w:right w:val="single" w:sz="4" w:space="0" w:color="auto"/>
                                  </w:tcBorders>
                                  <w:shd w:val="clear" w:color="auto" w:fill="auto"/>
                                  <w:vAlign w:val="center"/>
                                  <w:hideMark/>
                                </w:tcPr>
                                <w:p w14:paraId="0599A8B3" w14:textId="77777777" w:rsidR="00A0212B" w:rsidRDefault="00A0212B" w:rsidP="000131EC">
                                  <w:pPr>
                                    <w:widowControl/>
                                    <w:spacing w:line="240" w:lineRule="exact"/>
                                    <w:jc w:val="center"/>
                                    <w:rPr>
                                      <w:rFonts w:ascii="標楷體" w:eastAsia="標楷體" w:hAnsi="標楷體" w:cs="新細明體"/>
                                      <w:color w:val="000000"/>
                                      <w:spacing w:val="-20"/>
                                      <w:kern w:val="0"/>
                                      <w:sz w:val="20"/>
                                    </w:rPr>
                                  </w:pPr>
                                  <w:r w:rsidRPr="00DE2D47">
                                    <w:rPr>
                                      <w:rFonts w:ascii="標楷體" w:eastAsia="標楷體" w:hAnsi="標楷體" w:cs="新細明體" w:hint="eastAsia"/>
                                      <w:color w:val="000000"/>
                                      <w:spacing w:val="-20"/>
                                      <w:kern w:val="0"/>
                                      <w:sz w:val="20"/>
                                    </w:rPr>
                                    <w:t>1</w:t>
                                  </w:r>
                                  <w:r w:rsidRPr="00DE2D47">
                                    <w:rPr>
                                      <w:rFonts w:ascii="標楷體" w:eastAsia="標楷體" w:hAnsi="標楷體" w:cs="新細明體"/>
                                      <w:color w:val="000000"/>
                                      <w:spacing w:val="-20"/>
                                      <w:kern w:val="0"/>
                                      <w:sz w:val="20"/>
                                    </w:rPr>
                                    <w:t>12</w:t>
                                  </w:r>
                                  <w:r w:rsidRPr="00DE2D47">
                                    <w:rPr>
                                      <w:rFonts w:ascii="標楷體" w:eastAsia="標楷體" w:hAnsi="標楷體" w:cs="新細明體" w:hint="eastAsia"/>
                                      <w:color w:val="000000"/>
                                      <w:spacing w:val="-20"/>
                                      <w:kern w:val="0"/>
                                      <w:sz w:val="20"/>
                                    </w:rPr>
                                    <w:t>年度</w:t>
                                  </w:r>
                                </w:p>
                                <w:p w14:paraId="72E97E04" w14:textId="77777777" w:rsidR="00A0212B" w:rsidRPr="00D173DF" w:rsidRDefault="00A0212B" w:rsidP="000131EC">
                                  <w:pPr>
                                    <w:widowControl/>
                                    <w:spacing w:line="240" w:lineRule="exact"/>
                                    <w:jc w:val="center"/>
                                    <w:rPr>
                                      <w:rFonts w:ascii="標楷體" w:eastAsia="標楷體" w:hAnsi="標楷體" w:cs="新細明體"/>
                                      <w:color w:val="000000"/>
                                      <w:spacing w:val="-12"/>
                                      <w:kern w:val="0"/>
                                      <w:sz w:val="20"/>
                                    </w:rPr>
                                  </w:pPr>
                                  <w:r w:rsidRPr="00D173DF">
                                    <w:rPr>
                                      <w:rFonts w:ascii="標楷體" w:eastAsia="標楷體" w:hAnsi="標楷體" w:cs="新細明體" w:hint="eastAsia"/>
                                      <w:color w:val="000000"/>
                                      <w:spacing w:val="-12"/>
                                      <w:kern w:val="0"/>
                                      <w:sz w:val="20"/>
                                    </w:rPr>
                                    <w:t>分配預</w:t>
                                  </w:r>
                                  <w:r w:rsidRPr="00D173DF">
                                    <w:rPr>
                                      <w:rFonts w:ascii="標楷體" w:eastAsia="標楷體" w:hAnsi="標楷體" w:cs="新細明體" w:hint="eastAsia"/>
                                      <w:color w:val="000000"/>
                                      <w:spacing w:val="-8"/>
                                      <w:kern w:val="0"/>
                                      <w:sz w:val="20"/>
                                    </w:rPr>
                                    <w:t>算數</w:t>
                                  </w:r>
                                </w:p>
                              </w:tc>
                              <w:tc>
                                <w:tcPr>
                                  <w:tcW w:w="3066" w:type="dxa"/>
                                  <w:gridSpan w:val="4"/>
                                  <w:tcBorders>
                                    <w:top w:val="single" w:sz="4" w:space="0" w:color="auto"/>
                                    <w:left w:val="nil"/>
                                    <w:bottom w:val="single" w:sz="4" w:space="0" w:color="auto"/>
                                    <w:right w:val="single" w:sz="4" w:space="0" w:color="auto"/>
                                  </w:tcBorders>
                                  <w:shd w:val="clear" w:color="auto" w:fill="auto"/>
                                  <w:vAlign w:val="center"/>
                                  <w:hideMark/>
                                </w:tcPr>
                                <w:p w14:paraId="029458FE"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執行情形</w:t>
                                  </w:r>
                                </w:p>
                              </w:tc>
                            </w:tr>
                            <w:tr w:rsidR="00A0212B" w:rsidRPr="00FE4B26" w14:paraId="40268D97" w14:textId="77777777" w:rsidTr="000131EC">
                              <w:trPr>
                                <w:trHeight w:val="240"/>
                                <w:jc w:val="center"/>
                              </w:trPr>
                              <w:tc>
                                <w:tcPr>
                                  <w:tcW w:w="681" w:type="dxa"/>
                                  <w:vMerge/>
                                  <w:tcBorders>
                                    <w:left w:val="single" w:sz="4" w:space="0" w:color="auto"/>
                                    <w:right w:val="single" w:sz="4" w:space="0" w:color="auto"/>
                                  </w:tcBorders>
                                  <w:shd w:val="clear" w:color="auto" w:fill="auto"/>
                                  <w:vAlign w:val="center"/>
                                  <w:hideMark/>
                                </w:tcPr>
                                <w:p w14:paraId="36D59F41"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465" w:type="dxa"/>
                                  <w:vMerge/>
                                  <w:tcBorders>
                                    <w:left w:val="nil"/>
                                    <w:right w:val="single" w:sz="4" w:space="0" w:color="auto"/>
                                  </w:tcBorders>
                                  <w:shd w:val="clear" w:color="auto" w:fill="auto"/>
                                  <w:vAlign w:val="center"/>
                                  <w:hideMark/>
                                </w:tcPr>
                                <w:p w14:paraId="3C4B629F"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077" w:type="dxa"/>
                                  <w:vMerge/>
                                  <w:tcBorders>
                                    <w:left w:val="nil"/>
                                    <w:right w:val="single" w:sz="4" w:space="0" w:color="auto"/>
                                  </w:tcBorders>
                                  <w:shd w:val="clear" w:color="auto" w:fill="auto"/>
                                  <w:vAlign w:val="center"/>
                                  <w:hideMark/>
                                </w:tcPr>
                                <w:p w14:paraId="331337B8"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389" w:type="dxa"/>
                                  <w:vMerge/>
                                  <w:tcBorders>
                                    <w:left w:val="nil"/>
                                    <w:right w:val="single" w:sz="4" w:space="0" w:color="auto"/>
                                  </w:tcBorders>
                                  <w:shd w:val="clear" w:color="auto" w:fill="auto"/>
                                  <w:vAlign w:val="center"/>
                                  <w:hideMark/>
                                </w:tcPr>
                                <w:p w14:paraId="034D4C0A"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958" w:type="dxa"/>
                                  <w:vMerge/>
                                  <w:tcBorders>
                                    <w:left w:val="nil"/>
                                    <w:right w:val="single" w:sz="4" w:space="0" w:color="auto"/>
                                  </w:tcBorders>
                                  <w:shd w:val="clear" w:color="auto" w:fill="auto"/>
                                  <w:vAlign w:val="center"/>
                                  <w:hideMark/>
                                </w:tcPr>
                                <w:p w14:paraId="476AC5F8"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956" w:type="dxa"/>
                                  <w:vMerge/>
                                  <w:tcBorders>
                                    <w:left w:val="nil"/>
                                    <w:right w:val="single" w:sz="4" w:space="0" w:color="auto"/>
                                  </w:tcBorders>
                                  <w:shd w:val="clear" w:color="auto" w:fill="auto"/>
                                  <w:vAlign w:val="center"/>
                                  <w:hideMark/>
                                </w:tcPr>
                                <w:p w14:paraId="6639869F"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758" w:type="dxa"/>
                                  <w:vMerge w:val="restart"/>
                                  <w:tcBorders>
                                    <w:top w:val="nil"/>
                                    <w:left w:val="nil"/>
                                    <w:right w:val="single" w:sz="4" w:space="0" w:color="auto"/>
                                  </w:tcBorders>
                                  <w:shd w:val="clear" w:color="auto" w:fill="auto"/>
                                  <w:vAlign w:val="center"/>
                                  <w:hideMark/>
                                </w:tcPr>
                                <w:p w14:paraId="47EE7633"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合計</w:t>
                                  </w:r>
                                </w:p>
                              </w:tc>
                              <w:tc>
                                <w:tcPr>
                                  <w:tcW w:w="1552" w:type="dxa"/>
                                  <w:gridSpan w:val="2"/>
                                  <w:tcBorders>
                                    <w:top w:val="nil"/>
                                    <w:left w:val="nil"/>
                                    <w:right w:val="single" w:sz="4" w:space="0" w:color="auto"/>
                                  </w:tcBorders>
                                  <w:shd w:val="clear" w:color="auto" w:fill="auto"/>
                                  <w:vAlign w:val="center"/>
                                  <w:hideMark/>
                                </w:tcPr>
                                <w:p w14:paraId="223966B5"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756" w:type="dxa"/>
                                  <w:vMerge w:val="restart"/>
                                  <w:tcBorders>
                                    <w:top w:val="nil"/>
                                    <w:left w:val="nil"/>
                                    <w:right w:val="single" w:sz="4" w:space="0" w:color="auto"/>
                                  </w:tcBorders>
                                  <w:shd w:val="clear" w:color="auto" w:fill="auto"/>
                                  <w:vAlign w:val="center"/>
                                  <w:hideMark/>
                                </w:tcPr>
                                <w:p w14:paraId="0F2601FA"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預付數</w:t>
                                  </w:r>
                                </w:p>
                              </w:tc>
                            </w:tr>
                            <w:tr w:rsidR="00A0212B" w:rsidRPr="00FE4B26" w14:paraId="5D424093" w14:textId="77777777" w:rsidTr="000131EC">
                              <w:trPr>
                                <w:trHeight w:val="240"/>
                                <w:jc w:val="center"/>
                              </w:trPr>
                              <w:tc>
                                <w:tcPr>
                                  <w:tcW w:w="681" w:type="dxa"/>
                                  <w:vMerge/>
                                  <w:tcBorders>
                                    <w:left w:val="single" w:sz="4" w:space="0" w:color="auto"/>
                                    <w:bottom w:val="single" w:sz="4" w:space="0" w:color="auto"/>
                                    <w:right w:val="single" w:sz="4" w:space="0" w:color="auto"/>
                                  </w:tcBorders>
                                  <w:shd w:val="clear" w:color="auto" w:fill="auto"/>
                                  <w:vAlign w:val="center"/>
                                </w:tcPr>
                                <w:p w14:paraId="2212B56C"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465" w:type="dxa"/>
                                  <w:vMerge/>
                                  <w:tcBorders>
                                    <w:left w:val="nil"/>
                                    <w:bottom w:val="single" w:sz="4" w:space="0" w:color="auto"/>
                                    <w:right w:val="single" w:sz="4" w:space="0" w:color="auto"/>
                                  </w:tcBorders>
                                  <w:shd w:val="clear" w:color="auto" w:fill="auto"/>
                                  <w:vAlign w:val="center"/>
                                </w:tcPr>
                                <w:p w14:paraId="42C6A25D"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077" w:type="dxa"/>
                                  <w:vMerge/>
                                  <w:tcBorders>
                                    <w:left w:val="nil"/>
                                    <w:bottom w:val="single" w:sz="4" w:space="0" w:color="auto"/>
                                    <w:right w:val="single" w:sz="4" w:space="0" w:color="auto"/>
                                  </w:tcBorders>
                                  <w:shd w:val="clear" w:color="auto" w:fill="auto"/>
                                  <w:vAlign w:val="center"/>
                                </w:tcPr>
                                <w:p w14:paraId="594F911E"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389" w:type="dxa"/>
                                  <w:vMerge/>
                                  <w:tcBorders>
                                    <w:left w:val="nil"/>
                                    <w:bottom w:val="single" w:sz="4" w:space="0" w:color="auto"/>
                                    <w:right w:val="single" w:sz="4" w:space="0" w:color="auto"/>
                                  </w:tcBorders>
                                  <w:shd w:val="clear" w:color="auto" w:fill="auto"/>
                                  <w:vAlign w:val="center"/>
                                </w:tcPr>
                                <w:p w14:paraId="5C7F02BD"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958" w:type="dxa"/>
                                  <w:vMerge/>
                                  <w:tcBorders>
                                    <w:left w:val="nil"/>
                                    <w:bottom w:val="single" w:sz="4" w:space="0" w:color="auto"/>
                                    <w:right w:val="single" w:sz="4" w:space="0" w:color="auto"/>
                                  </w:tcBorders>
                                  <w:shd w:val="clear" w:color="auto" w:fill="auto"/>
                                  <w:vAlign w:val="center"/>
                                </w:tcPr>
                                <w:p w14:paraId="0F98FA82"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956" w:type="dxa"/>
                                  <w:vMerge/>
                                  <w:tcBorders>
                                    <w:left w:val="nil"/>
                                    <w:bottom w:val="single" w:sz="4" w:space="0" w:color="auto"/>
                                    <w:right w:val="single" w:sz="4" w:space="0" w:color="auto"/>
                                  </w:tcBorders>
                                  <w:shd w:val="clear" w:color="auto" w:fill="auto"/>
                                  <w:vAlign w:val="center"/>
                                </w:tcPr>
                                <w:p w14:paraId="7ACF0BA3"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758" w:type="dxa"/>
                                  <w:vMerge/>
                                  <w:tcBorders>
                                    <w:left w:val="nil"/>
                                    <w:bottom w:val="single" w:sz="4" w:space="0" w:color="auto"/>
                                    <w:right w:val="single" w:sz="4" w:space="0" w:color="auto"/>
                                  </w:tcBorders>
                                  <w:shd w:val="clear" w:color="auto" w:fill="auto"/>
                                  <w:vAlign w:val="center"/>
                                </w:tcPr>
                                <w:p w14:paraId="73FE782E"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656" w:type="dxa"/>
                                  <w:tcBorders>
                                    <w:top w:val="nil"/>
                                    <w:left w:val="nil"/>
                                    <w:bottom w:val="single" w:sz="4" w:space="0" w:color="auto"/>
                                    <w:right w:val="single" w:sz="4" w:space="0" w:color="auto"/>
                                  </w:tcBorders>
                                  <w:shd w:val="clear" w:color="auto" w:fill="auto"/>
                                  <w:vAlign w:val="center"/>
                                </w:tcPr>
                                <w:p w14:paraId="0455623E"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實現數</w:t>
                                  </w:r>
                                </w:p>
                              </w:tc>
                              <w:tc>
                                <w:tcPr>
                                  <w:tcW w:w="896" w:type="dxa"/>
                                  <w:tcBorders>
                                    <w:top w:val="single" w:sz="4" w:space="0" w:color="auto"/>
                                    <w:left w:val="nil"/>
                                    <w:bottom w:val="single" w:sz="4" w:space="0" w:color="auto"/>
                                    <w:right w:val="single" w:sz="4" w:space="0" w:color="auto"/>
                                  </w:tcBorders>
                                  <w:shd w:val="clear" w:color="auto" w:fill="auto"/>
                                  <w:vAlign w:val="center"/>
                                </w:tcPr>
                                <w:p w14:paraId="5AA69CCB" w14:textId="77777777" w:rsidR="00A0212B"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實現率</w:t>
                                  </w:r>
                                </w:p>
                                <w:p w14:paraId="44DA0165"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（註1）</w:t>
                                  </w:r>
                                </w:p>
                              </w:tc>
                              <w:tc>
                                <w:tcPr>
                                  <w:tcW w:w="756" w:type="dxa"/>
                                  <w:vMerge/>
                                  <w:tcBorders>
                                    <w:left w:val="nil"/>
                                    <w:bottom w:val="single" w:sz="4" w:space="0" w:color="auto"/>
                                    <w:right w:val="single" w:sz="4" w:space="0" w:color="auto"/>
                                  </w:tcBorders>
                                  <w:shd w:val="clear" w:color="auto" w:fill="auto"/>
                                  <w:vAlign w:val="center"/>
                                </w:tcPr>
                                <w:p w14:paraId="7A745DDF"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r>
                            <w:tr w:rsidR="00A0212B" w:rsidRPr="00FE4B26" w14:paraId="22BCC7ED" w14:textId="77777777" w:rsidTr="000131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51B43E50"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行政院</w:t>
                                  </w:r>
                                </w:p>
                              </w:tc>
                              <w:tc>
                                <w:tcPr>
                                  <w:tcW w:w="1465" w:type="dxa"/>
                                  <w:tcBorders>
                                    <w:top w:val="nil"/>
                                    <w:left w:val="nil"/>
                                    <w:bottom w:val="single" w:sz="4" w:space="0" w:color="auto"/>
                                    <w:right w:val="single" w:sz="4" w:space="0" w:color="auto"/>
                                  </w:tcBorders>
                                  <w:shd w:val="clear" w:color="auto" w:fill="auto"/>
                                  <w:vAlign w:val="center"/>
                                  <w:hideMark/>
                                </w:tcPr>
                                <w:p w14:paraId="0AC76705"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國家發展委員會</w:t>
                                  </w:r>
                                </w:p>
                              </w:tc>
                              <w:tc>
                                <w:tcPr>
                                  <w:tcW w:w="1077" w:type="dxa"/>
                                  <w:tcBorders>
                                    <w:top w:val="nil"/>
                                    <w:left w:val="nil"/>
                                    <w:bottom w:val="single" w:sz="4" w:space="0" w:color="auto"/>
                                    <w:right w:val="single" w:sz="4" w:space="0" w:color="auto"/>
                                  </w:tcBorders>
                                  <w:shd w:val="clear" w:color="auto" w:fill="auto"/>
                                  <w:vAlign w:val="center"/>
                                  <w:hideMark/>
                                </w:tcPr>
                                <w:p w14:paraId="1EC7EA22"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1389" w:type="dxa"/>
                                  <w:tcBorders>
                                    <w:top w:val="nil"/>
                                    <w:left w:val="nil"/>
                                    <w:bottom w:val="single" w:sz="4" w:space="0" w:color="auto"/>
                                    <w:right w:val="single" w:sz="4" w:space="0" w:color="auto"/>
                                  </w:tcBorders>
                                  <w:shd w:val="clear" w:color="auto" w:fill="auto"/>
                                  <w:vAlign w:val="center"/>
                                  <w:hideMark/>
                                </w:tcPr>
                                <w:p w14:paraId="766DE07B"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958" w:type="dxa"/>
                                  <w:tcBorders>
                                    <w:top w:val="nil"/>
                                    <w:left w:val="nil"/>
                                    <w:bottom w:val="single" w:sz="4" w:space="0" w:color="auto"/>
                                    <w:right w:val="single" w:sz="4" w:space="0" w:color="auto"/>
                                  </w:tcBorders>
                                  <w:shd w:val="clear" w:color="auto" w:fill="auto"/>
                                  <w:vAlign w:val="center"/>
                                  <w:hideMark/>
                                </w:tcPr>
                                <w:p w14:paraId="7049CF7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908,900 </w:t>
                                  </w:r>
                                </w:p>
                              </w:tc>
                              <w:tc>
                                <w:tcPr>
                                  <w:tcW w:w="956" w:type="dxa"/>
                                  <w:tcBorders>
                                    <w:top w:val="nil"/>
                                    <w:left w:val="nil"/>
                                    <w:bottom w:val="single" w:sz="4" w:space="0" w:color="auto"/>
                                    <w:right w:val="single" w:sz="4" w:space="0" w:color="auto"/>
                                  </w:tcBorders>
                                  <w:shd w:val="clear" w:color="auto" w:fill="auto"/>
                                  <w:vAlign w:val="center"/>
                                  <w:hideMark/>
                                </w:tcPr>
                                <w:p w14:paraId="5AA9AB2D"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366,450 </w:t>
                                  </w:r>
                                </w:p>
                              </w:tc>
                              <w:tc>
                                <w:tcPr>
                                  <w:tcW w:w="758" w:type="dxa"/>
                                  <w:tcBorders>
                                    <w:top w:val="nil"/>
                                    <w:left w:val="nil"/>
                                    <w:bottom w:val="single" w:sz="4" w:space="0" w:color="auto"/>
                                    <w:right w:val="single" w:sz="4" w:space="0" w:color="auto"/>
                                  </w:tcBorders>
                                  <w:shd w:val="clear" w:color="auto" w:fill="auto"/>
                                  <w:vAlign w:val="center"/>
                                  <w:hideMark/>
                                </w:tcPr>
                                <w:p w14:paraId="3A18C32D"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44,247 </w:t>
                                  </w:r>
                                </w:p>
                              </w:tc>
                              <w:tc>
                                <w:tcPr>
                                  <w:tcW w:w="656" w:type="dxa"/>
                                  <w:tcBorders>
                                    <w:top w:val="nil"/>
                                    <w:left w:val="nil"/>
                                    <w:bottom w:val="single" w:sz="4" w:space="0" w:color="auto"/>
                                    <w:right w:val="single" w:sz="4" w:space="0" w:color="auto"/>
                                  </w:tcBorders>
                                  <w:shd w:val="clear" w:color="auto" w:fill="auto"/>
                                  <w:vAlign w:val="center"/>
                                  <w:hideMark/>
                                </w:tcPr>
                                <w:p w14:paraId="6304696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34,599 </w:t>
                                  </w:r>
                                </w:p>
                              </w:tc>
                              <w:tc>
                                <w:tcPr>
                                  <w:tcW w:w="896" w:type="dxa"/>
                                  <w:tcBorders>
                                    <w:top w:val="nil"/>
                                    <w:left w:val="nil"/>
                                    <w:bottom w:val="single" w:sz="4" w:space="0" w:color="auto"/>
                                    <w:right w:val="single" w:sz="4" w:space="0" w:color="auto"/>
                                  </w:tcBorders>
                                  <w:shd w:val="clear" w:color="auto" w:fill="auto"/>
                                  <w:vAlign w:val="center"/>
                                  <w:hideMark/>
                                </w:tcPr>
                                <w:p w14:paraId="3B4D001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9.44 </w:t>
                                  </w:r>
                                </w:p>
                              </w:tc>
                              <w:tc>
                                <w:tcPr>
                                  <w:tcW w:w="756" w:type="dxa"/>
                                  <w:tcBorders>
                                    <w:top w:val="nil"/>
                                    <w:left w:val="nil"/>
                                    <w:bottom w:val="single" w:sz="4" w:space="0" w:color="auto"/>
                                    <w:right w:val="single" w:sz="4" w:space="0" w:color="auto"/>
                                  </w:tcBorders>
                                  <w:shd w:val="clear" w:color="auto" w:fill="auto"/>
                                  <w:vAlign w:val="center"/>
                                  <w:hideMark/>
                                </w:tcPr>
                                <w:p w14:paraId="14086FF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9,648 </w:t>
                                  </w:r>
                                </w:p>
                              </w:tc>
                            </w:tr>
                            <w:tr w:rsidR="00A0212B" w:rsidRPr="00FE4B26" w14:paraId="6A26F37D" w14:textId="77777777" w:rsidTr="000131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3F4E9D79" w14:textId="77777777" w:rsidR="00A0212B" w:rsidRPr="00FE4B26" w:rsidRDefault="00A0212B" w:rsidP="000131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45FC04A5"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原住民族委員會</w:t>
                                  </w:r>
                                </w:p>
                              </w:tc>
                              <w:tc>
                                <w:tcPr>
                                  <w:tcW w:w="1077" w:type="dxa"/>
                                  <w:tcBorders>
                                    <w:top w:val="nil"/>
                                    <w:left w:val="nil"/>
                                    <w:bottom w:val="single" w:sz="4" w:space="0" w:color="auto"/>
                                    <w:right w:val="single" w:sz="4" w:space="0" w:color="auto"/>
                                  </w:tcBorders>
                                  <w:shd w:val="clear" w:color="auto" w:fill="auto"/>
                                  <w:vAlign w:val="center"/>
                                  <w:hideMark/>
                                </w:tcPr>
                                <w:p w14:paraId="704B180A"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E61945"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推廣數位公益服務</w:t>
                                  </w:r>
                                </w:p>
                              </w:tc>
                              <w:tc>
                                <w:tcPr>
                                  <w:tcW w:w="958" w:type="dxa"/>
                                  <w:tcBorders>
                                    <w:top w:val="nil"/>
                                    <w:left w:val="nil"/>
                                    <w:bottom w:val="single" w:sz="4" w:space="0" w:color="auto"/>
                                    <w:right w:val="single" w:sz="4" w:space="0" w:color="auto"/>
                                  </w:tcBorders>
                                  <w:shd w:val="clear" w:color="auto" w:fill="auto"/>
                                  <w:vAlign w:val="center"/>
                                  <w:hideMark/>
                                </w:tcPr>
                                <w:p w14:paraId="15641342"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956" w:type="dxa"/>
                                  <w:tcBorders>
                                    <w:top w:val="nil"/>
                                    <w:left w:val="nil"/>
                                    <w:bottom w:val="single" w:sz="4" w:space="0" w:color="auto"/>
                                    <w:right w:val="single" w:sz="4" w:space="0" w:color="auto"/>
                                  </w:tcBorders>
                                  <w:shd w:val="clear" w:color="auto" w:fill="auto"/>
                                  <w:vAlign w:val="center"/>
                                  <w:hideMark/>
                                </w:tcPr>
                                <w:p w14:paraId="3B437E6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758" w:type="dxa"/>
                                  <w:tcBorders>
                                    <w:top w:val="nil"/>
                                    <w:left w:val="nil"/>
                                    <w:bottom w:val="single" w:sz="4" w:space="0" w:color="auto"/>
                                    <w:right w:val="single" w:sz="4" w:space="0" w:color="auto"/>
                                  </w:tcBorders>
                                  <w:shd w:val="clear" w:color="auto" w:fill="auto"/>
                                  <w:vAlign w:val="center"/>
                                  <w:hideMark/>
                                </w:tcPr>
                                <w:p w14:paraId="275419F2"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1,483 </w:t>
                                  </w:r>
                                </w:p>
                              </w:tc>
                              <w:tc>
                                <w:tcPr>
                                  <w:tcW w:w="656" w:type="dxa"/>
                                  <w:tcBorders>
                                    <w:top w:val="nil"/>
                                    <w:left w:val="nil"/>
                                    <w:bottom w:val="single" w:sz="4" w:space="0" w:color="auto"/>
                                    <w:right w:val="single" w:sz="4" w:space="0" w:color="auto"/>
                                  </w:tcBorders>
                                  <w:shd w:val="clear" w:color="auto" w:fill="auto"/>
                                  <w:vAlign w:val="center"/>
                                  <w:hideMark/>
                                </w:tcPr>
                                <w:p w14:paraId="6074100F"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1,483 </w:t>
                                  </w:r>
                                </w:p>
                              </w:tc>
                              <w:tc>
                                <w:tcPr>
                                  <w:tcW w:w="896" w:type="dxa"/>
                                  <w:tcBorders>
                                    <w:top w:val="nil"/>
                                    <w:left w:val="nil"/>
                                    <w:bottom w:val="single" w:sz="4" w:space="0" w:color="auto"/>
                                    <w:right w:val="single" w:sz="4" w:space="0" w:color="auto"/>
                                  </w:tcBorders>
                                  <w:shd w:val="clear" w:color="auto" w:fill="auto"/>
                                  <w:vAlign w:val="center"/>
                                  <w:hideMark/>
                                </w:tcPr>
                                <w:p w14:paraId="5F9903A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9.89 </w:t>
                                  </w:r>
                                </w:p>
                              </w:tc>
                              <w:tc>
                                <w:tcPr>
                                  <w:tcW w:w="756" w:type="dxa"/>
                                  <w:tcBorders>
                                    <w:top w:val="nil"/>
                                    <w:left w:val="nil"/>
                                    <w:bottom w:val="single" w:sz="4" w:space="0" w:color="auto"/>
                                    <w:right w:val="single" w:sz="4" w:space="0" w:color="auto"/>
                                  </w:tcBorders>
                                  <w:shd w:val="clear" w:color="auto" w:fill="auto"/>
                                  <w:vAlign w:val="center"/>
                                  <w:hideMark/>
                                </w:tcPr>
                                <w:p w14:paraId="0C2E600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1D7E183E" w14:textId="77777777" w:rsidTr="000131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7357E16B"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465" w:type="dxa"/>
                                  <w:tcBorders>
                                    <w:top w:val="nil"/>
                                    <w:left w:val="nil"/>
                                    <w:bottom w:val="single" w:sz="4" w:space="0" w:color="auto"/>
                                    <w:right w:val="single" w:sz="4" w:space="0" w:color="auto"/>
                                  </w:tcBorders>
                                  <w:shd w:val="clear" w:color="auto" w:fill="auto"/>
                                  <w:vAlign w:val="center"/>
                                  <w:hideMark/>
                                </w:tcPr>
                                <w:p w14:paraId="0D6FAC00"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077" w:type="dxa"/>
                                  <w:tcBorders>
                                    <w:top w:val="nil"/>
                                    <w:left w:val="nil"/>
                                    <w:bottom w:val="single" w:sz="4" w:space="0" w:color="auto"/>
                                    <w:right w:val="single" w:sz="4" w:space="0" w:color="auto"/>
                                  </w:tcBorders>
                                  <w:shd w:val="clear" w:color="auto" w:fill="auto"/>
                                  <w:vAlign w:val="center"/>
                                  <w:hideMark/>
                                </w:tcPr>
                                <w:p w14:paraId="102645A8"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274B06B7"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公共服務據點整備</w:t>
                                  </w:r>
                                </w:p>
                              </w:tc>
                              <w:tc>
                                <w:tcPr>
                                  <w:tcW w:w="958" w:type="dxa"/>
                                  <w:tcBorders>
                                    <w:top w:val="nil"/>
                                    <w:left w:val="nil"/>
                                    <w:bottom w:val="single" w:sz="4" w:space="0" w:color="auto"/>
                                    <w:right w:val="single" w:sz="4" w:space="0" w:color="auto"/>
                                  </w:tcBorders>
                                  <w:shd w:val="clear" w:color="auto" w:fill="auto"/>
                                  <w:vAlign w:val="center"/>
                                  <w:hideMark/>
                                </w:tcPr>
                                <w:p w14:paraId="044D554E"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368,680 </w:t>
                                  </w:r>
                                </w:p>
                              </w:tc>
                              <w:tc>
                                <w:tcPr>
                                  <w:tcW w:w="956" w:type="dxa"/>
                                  <w:tcBorders>
                                    <w:top w:val="nil"/>
                                    <w:left w:val="nil"/>
                                    <w:bottom w:val="single" w:sz="4" w:space="0" w:color="auto"/>
                                    <w:right w:val="single" w:sz="4" w:space="0" w:color="auto"/>
                                  </w:tcBorders>
                                  <w:shd w:val="clear" w:color="auto" w:fill="auto"/>
                                  <w:vAlign w:val="center"/>
                                  <w:hideMark/>
                                </w:tcPr>
                                <w:p w14:paraId="25CE350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184,340 </w:t>
                                  </w:r>
                                </w:p>
                              </w:tc>
                              <w:tc>
                                <w:tcPr>
                                  <w:tcW w:w="758" w:type="dxa"/>
                                  <w:tcBorders>
                                    <w:top w:val="nil"/>
                                    <w:left w:val="nil"/>
                                    <w:bottom w:val="single" w:sz="4" w:space="0" w:color="auto"/>
                                    <w:right w:val="single" w:sz="4" w:space="0" w:color="auto"/>
                                  </w:tcBorders>
                                  <w:shd w:val="clear" w:color="auto" w:fill="auto"/>
                                  <w:vAlign w:val="center"/>
                                  <w:hideMark/>
                                </w:tcPr>
                                <w:p w14:paraId="72D42C85"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39,837 </w:t>
                                  </w:r>
                                </w:p>
                              </w:tc>
                              <w:tc>
                                <w:tcPr>
                                  <w:tcW w:w="656" w:type="dxa"/>
                                  <w:tcBorders>
                                    <w:top w:val="nil"/>
                                    <w:left w:val="nil"/>
                                    <w:bottom w:val="single" w:sz="4" w:space="0" w:color="auto"/>
                                    <w:right w:val="single" w:sz="4" w:space="0" w:color="auto"/>
                                  </w:tcBorders>
                                  <w:shd w:val="clear" w:color="auto" w:fill="auto"/>
                                  <w:vAlign w:val="center"/>
                                  <w:hideMark/>
                                </w:tcPr>
                                <w:p w14:paraId="50BCDD4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10,527 </w:t>
                                  </w:r>
                                </w:p>
                              </w:tc>
                              <w:tc>
                                <w:tcPr>
                                  <w:tcW w:w="896" w:type="dxa"/>
                                  <w:tcBorders>
                                    <w:top w:val="nil"/>
                                    <w:left w:val="nil"/>
                                    <w:bottom w:val="single" w:sz="4" w:space="0" w:color="auto"/>
                                    <w:right w:val="single" w:sz="4" w:space="0" w:color="auto"/>
                                  </w:tcBorders>
                                  <w:shd w:val="clear" w:color="auto" w:fill="auto"/>
                                  <w:vAlign w:val="center"/>
                                  <w:hideMark/>
                                </w:tcPr>
                                <w:p w14:paraId="7880F907"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5.71 </w:t>
                                  </w:r>
                                </w:p>
                              </w:tc>
                              <w:tc>
                                <w:tcPr>
                                  <w:tcW w:w="756" w:type="dxa"/>
                                  <w:tcBorders>
                                    <w:top w:val="nil"/>
                                    <w:left w:val="nil"/>
                                    <w:bottom w:val="single" w:sz="4" w:space="0" w:color="auto"/>
                                    <w:right w:val="single" w:sz="4" w:space="0" w:color="auto"/>
                                  </w:tcBorders>
                                  <w:shd w:val="clear" w:color="auto" w:fill="auto"/>
                                  <w:vAlign w:val="center"/>
                                  <w:hideMark/>
                                </w:tcPr>
                                <w:p w14:paraId="06DE696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29,310 </w:t>
                                  </w:r>
                                </w:p>
                              </w:tc>
                            </w:tr>
                            <w:tr w:rsidR="00A0212B" w:rsidRPr="00FE4B26" w14:paraId="5324668D" w14:textId="77777777" w:rsidTr="000131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0974C01E" w14:textId="77777777" w:rsidR="00A0212B" w:rsidRPr="00FE4B26" w:rsidRDefault="00A0212B" w:rsidP="000131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5EFAFE36"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水利署及所屬</w:t>
                                  </w:r>
                                </w:p>
                              </w:tc>
                              <w:tc>
                                <w:tcPr>
                                  <w:tcW w:w="1077" w:type="dxa"/>
                                  <w:tcBorders>
                                    <w:top w:val="nil"/>
                                    <w:left w:val="nil"/>
                                    <w:bottom w:val="single" w:sz="4" w:space="0" w:color="auto"/>
                                    <w:right w:val="single" w:sz="4" w:space="0" w:color="auto"/>
                                  </w:tcBorders>
                                  <w:shd w:val="clear" w:color="auto" w:fill="auto"/>
                                  <w:vAlign w:val="center"/>
                                  <w:hideMark/>
                                </w:tcPr>
                                <w:p w14:paraId="5DF74A1D"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72E314F9" w14:textId="77777777" w:rsidR="00A0212B" w:rsidRPr="000B59E3" w:rsidRDefault="00A0212B" w:rsidP="000131EC">
                                  <w:pPr>
                                    <w:widowControl/>
                                    <w:spacing w:line="240" w:lineRule="exact"/>
                                    <w:jc w:val="both"/>
                                    <w:rPr>
                                      <w:rFonts w:ascii="標楷體" w:eastAsia="標楷體" w:hAnsi="標楷體" w:cs="新細明體"/>
                                      <w:color w:val="000000"/>
                                      <w:spacing w:val="12"/>
                                      <w:kern w:val="0"/>
                                      <w:sz w:val="20"/>
                                    </w:rPr>
                                  </w:pPr>
                                  <w:r w:rsidRPr="000B59E3">
                                    <w:rPr>
                                      <w:rFonts w:ascii="標楷體" w:eastAsia="標楷體" w:hAnsi="標楷體" w:cs="新細明體" w:hint="eastAsia"/>
                                      <w:color w:val="000000"/>
                                      <w:spacing w:val="12"/>
                                      <w:kern w:val="0"/>
                                      <w:sz w:val="20"/>
                                    </w:rPr>
                                    <w:t>建構開放政府及智慧城鄉服務</w:t>
                                  </w:r>
                                </w:p>
                              </w:tc>
                              <w:tc>
                                <w:tcPr>
                                  <w:tcW w:w="958" w:type="dxa"/>
                                  <w:tcBorders>
                                    <w:top w:val="nil"/>
                                    <w:left w:val="nil"/>
                                    <w:bottom w:val="single" w:sz="4" w:space="0" w:color="auto"/>
                                    <w:right w:val="single" w:sz="4" w:space="0" w:color="auto"/>
                                  </w:tcBorders>
                                  <w:shd w:val="clear" w:color="auto" w:fill="auto"/>
                                  <w:vAlign w:val="center"/>
                                  <w:hideMark/>
                                </w:tcPr>
                                <w:p w14:paraId="0CA87784"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102,960 </w:t>
                                  </w:r>
                                </w:p>
                              </w:tc>
                              <w:tc>
                                <w:tcPr>
                                  <w:tcW w:w="956" w:type="dxa"/>
                                  <w:tcBorders>
                                    <w:top w:val="nil"/>
                                    <w:left w:val="nil"/>
                                    <w:bottom w:val="single" w:sz="4" w:space="0" w:color="auto"/>
                                    <w:right w:val="single" w:sz="4" w:space="0" w:color="auto"/>
                                  </w:tcBorders>
                                  <w:shd w:val="clear" w:color="auto" w:fill="auto"/>
                                  <w:vAlign w:val="center"/>
                                  <w:hideMark/>
                                </w:tcPr>
                                <w:p w14:paraId="35FDBB8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51,480 </w:t>
                                  </w:r>
                                </w:p>
                              </w:tc>
                              <w:tc>
                                <w:tcPr>
                                  <w:tcW w:w="758" w:type="dxa"/>
                                  <w:tcBorders>
                                    <w:top w:val="nil"/>
                                    <w:left w:val="nil"/>
                                    <w:bottom w:val="single" w:sz="4" w:space="0" w:color="auto"/>
                                    <w:right w:val="single" w:sz="4" w:space="0" w:color="auto"/>
                                  </w:tcBorders>
                                  <w:shd w:val="clear" w:color="auto" w:fill="auto"/>
                                  <w:vAlign w:val="center"/>
                                  <w:hideMark/>
                                </w:tcPr>
                                <w:p w14:paraId="620FE2D6"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51,454 </w:t>
                                  </w:r>
                                </w:p>
                              </w:tc>
                              <w:tc>
                                <w:tcPr>
                                  <w:tcW w:w="656" w:type="dxa"/>
                                  <w:tcBorders>
                                    <w:top w:val="nil"/>
                                    <w:left w:val="nil"/>
                                    <w:bottom w:val="single" w:sz="4" w:space="0" w:color="auto"/>
                                    <w:right w:val="single" w:sz="4" w:space="0" w:color="auto"/>
                                  </w:tcBorders>
                                  <w:shd w:val="clear" w:color="auto" w:fill="auto"/>
                                  <w:vAlign w:val="center"/>
                                  <w:hideMark/>
                                </w:tcPr>
                                <w:p w14:paraId="167E1FCF"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 </w:t>
                                  </w:r>
                                </w:p>
                              </w:tc>
                              <w:tc>
                                <w:tcPr>
                                  <w:tcW w:w="896" w:type="dxa"/>
                                  <w:tcBorders>
                                    <w:top w:val="nil"/>
                                    <w:left w:val="nil"/>
                                    <w:bottom w:val="single" w:sz="4" w:space="0" w:color="auto"/>
                                    <w:right w:val="single" w:sz="4" w:space="0" w:color="auto"/>
                                  </w:tcBorders>
                                  <w:shd w:val="clear" w:color="auto" w:fill="auto"/>
                                  <w:vAlign w:val="center"/>
                                  <w:hideMark/>
                                </w:tcPr>
                                <w:p w14:paraId="7F970988"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0.05 </w:t>
                                  </w:r>
                                </w:p>
                              </w:tc>
                              <w:tc>
                                <w:tcPr>
                                  <w:tcW w:w="756" w:type="dxa"/>
                                  <w:tcBorders>
                                    <w:top w:val="nil"/>
                                    <w:left w:val="nil"/>
                                    <w:bottom w:val="single" w:sz="4" w:space="0" w:color="auto"/>
                                    <w:right w:val="single" w:sz="4" w:space="0" w:color="auto"/>
                                  </w:tcBorders>
                                  <w:shd w:val="clear" w:color="auto" w:fill="auto"/>
                                  <w:vAlign w:val="center"/>
                                  <w:hideMark/>
                                </w:tcPr>
                                <w:p w14:paraId="6055B598"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51,430 </w:t>
                                  </w:r>
                                </w:p>
                              </w:tc>
                            </w:tr>
                            <w:tr w:rsidR="00A0212B" w:rsidRPr="00FE4B26" w14:paraId="63E012EC" w14:textId="77777777" w:rsidTr="000131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367F235D"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465" w:type="dxa"/>
                                  <w:tcBorders>
                                    <w:top w:val="nil"/>
                                    <w:left w:val="nil"/>
                                    <w:bottom w:val="single" w:sz="4" w:space="0" w:color="auto"/>
                                    <w:right w:val="single" w:sz="4" w:space="0" w:color="auto"/>
                                  </w:tcBorders>
                                  <w:shd w:val="clear" w:color="auto" w:fill="auto"/>
                                  <w:vAlign w:val="center"/>
                                  <w:hideMark/>
                                </w:tcPr>
                                <w:p w14:paraId="467C6F17"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077" w:type="dxa"/>
                                  <w:tcBorders>
                                    <w:top w:val="nil"/>
                                    <w:left w:val="nil"/>
                                    <w:bottom w:val="single" w:sz="4" w:space="0" w:color="auto"/>
                                    <w:right w:val="single" w:sz="4" w:space="0" w:color="auto"/>
                                  </w:tcBorders>
                                  <w:shd w:val="clear" w:color="auto" w:fill="auto"/>
                                  <w:vAlign w:val="center"/>
                                  <w:hideMark/>
                                </w:tcPr>
                                <w:p w14:paraId="2EBEAA0F"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638EE015"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臺鐵升級及改善東部服務</w:t>
                                  </w:r>
                                </w:p>
                              </w:tc>
                              <w:tc>
                                <w:tcPr>
                                  <w:tcW w:w="958" w:type="dxa"/>
                                  <w:tcBorders>
                                    <w:top w:val="nil"/>
                                    <w:left w:val="nil"/>
                                    <w:bottom w:val="single" w:sz="4" w:space="0" w:color="auto"/>
                                    <w:right w:val="single" w:sz="4" w:space="0" w:color="auto"/>
                                  </w:tcBorders>
                                  <w:shd w:val="clear" w:color="auto" w:fill="auto"/>
                                  <w:vAlign w:val="center"/>
                                  <w:hideMark/>
                                </w:tcPr>
                                <w:p w14:paraId="7B376F4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5,891,168 </w:t>
                                  </w:r>
                                </w:p>
                              </w:tc>
                              <w:tc>
                                <w:tcPr>
                                  <w:tcW w:w="956" w:type="dxa"/>
                                  <w:tcBorders>
                                    <w:top w:val="nil"/>
                                    <w:left w:val="nil"/>
                                    <w:bottom w:val="single" w:sz="4" w:space="0" w:color="auto"/>
                                    <w:right w:val="single" w:sz="4" w:space="0" w:color="auto"/>
                                  </w:tcBorders>
                                  <w:shd w:val="clear" w:color="auto" w:fill="auto"/>
                                  <w:vAlign w:val="center"/>
                                  <w:hideMark/>
                                </w:tcPr>
                                <w:p w14:paraId="18B4D4FB"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2,000,000 </w:t>
                                  </w:r>
                                </w:p>
                              </w:tc>
                              <w:tc>
                                <w:tcPr>
                                  <w:tcW w:w="758" w:type="dxa"/>
                                  <w:tcBorders>
                                    <w:top w:val="nil"/>
                                    <w:left w:val="nil"/>
                                    <w:bottom w:val="single" w:sz="4" w:space="0" w:color="auto"/>
                                    <w:right w:val="single" w:sz="4" w:space="0" w:color="auto"/>
                                  </w:tcBorders>
                                  <w:shd w:val="clear" w:color="auto" w:fill="auto"/>
                                  <w:vAlign w:val="center"/>
                                  <w:hideMark/>
                                </w:tcPr>
                                <w:p w14:paraId="6C5B6118"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34,106 </w:t>
                                  </w:r>
                                </w:p>
                              </w:tc>
                              <w:tc>
                                <w:tcPr>
                                  <w:tcW w:w="656" w:type="dxa"/>
                                  <w:tcBorders>
                                    <w:top w:val="nil"/>
                                    <w:left w:val="nil"/>
                                    <w:bottom w:val="single" w:sz="4" w:space="0" w:color="auto"/>
                                    <w:right w:val="single" w:sz="4" w:space="0" w:color="auto"/>
                                  </w:tcBorders>
                                  <w:shd w:val="clear" w:color="auto" w:fill="auto"/>
                                  <w:vAlign w:val="center"/>
                                  <w:hideMark/>
                                </w:tcPr>
                                <w:p w14:paraId="08A8D39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34,106 </w:t>
                                  </w:r>
                                </w:p>
                              </w:tc>
                              <w:tc>
                                <w:tcPr>
                                  <w:tcW w:w="896" w:type="dxa"/>
                                  <w:tcBorders>
                                    <w:top w:val="nil"/>
                                    <w:left w:val="nil"/>
                                    <w:bottom w:val="single" w:sz="4" w:space="0" w:color="auto"/>
                                    <w:right w:val="single" w:sz="4" w:space="0" w:color="auto"/>
                                  </w:tcBorders>
                                  <w:shd w:val="clear" w:color="auto" w:fill="auto"/>
                                  <w:vAlign w:val="center"/>
                                  <w:hideMark/>
                                </w:tcPr>
                                <w:p w14:paraId="4FCA746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1.71 </w:t>
                                  </w:r>
                                </w:p>
                              </w:tc>
                              <w:tc>
                                <w:tcPr>
                                  <w:tcW w:w="756" w:type="dxa"/>
                                  <w:tcBorders>
                                    <w:top w:val="nil"/>
                                    <w:left w:val="nil"/>
                                    <w:bottom w:val="single" w:sz="4" w:space="0" w:color="auto"/>
                                    <w:right w:val="single" w:sz="4" w:space="0" w:color="auto"/>
                                  </w:tcBorders>
                                  <w:shd w:val="clear" w:color="auto" w:fill="auto"/>
                                  <w:vAlign w:val="center"/>
                                  <w:hideMark/>
                                </w:tcPr>
                                <w:p w14:paraId="24E0EC90"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056381A4" w14:textId="77777777" w:rsidTr="000131EC">
                              <w:trPr>
                                <w:trHeight w:val="20"/>
                                <w:jc w:val="center"/>
                              </w:trPr>
                              <w:tc>
                                <w:tcPr>
                                  <w:tcW w:w="681" w:type="dxa"/>
                                  <w:vMerge/>
                                  <w:tcBorders>
                                    <w:left w:val="single" w:sz="4" w:space="0" w:color="auto"/>
                                    <w:right w:val="single" w:sz="4" w:space="0" w:color="auto"/>
                                  </w:tcBorders>
                                  <w:shd w:val="clear" w:color="auto" w:fill="auto"/>
                                  <w:vAlign w:val="center"/>
                                  <w:hideMark/>
                                </w:tcPr>
                                <w:p w14:paraId="2642D3EF" w14:textId="77777777" w:rsidR="00A0212B" w:rsidRPr="00FE4B26" w:rsidRDefault="00A0212B" w:rsidP="000131EC">
                                  <w:pPr>
                                    <w:spacing w:line="240" w:lineRule="exact"/>
                                    <w:ind w:left="480" w:firstLine="400"/>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6CC93663" w14:textId="0201E5FC" w:rsidR="00A0212B" w:rsidRPr="00FE4B26" w:rsidRDefault="00A0212B" w:rsidP="00CA7938">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公路</w:t>
                                  </w:r>
                                  <w:r>
                                    <w:rPr>
                                      <w:rFonts w:ascii="標楷體" w:eastAsia="標楷體" w:hAnsi="標楷體" w:cs="新細明體" w:hint="eastAsia"/>
                                      <w:color w:val="000000"/>
                                      <w:kern w:val="0"/>
                                      <w:sz w:val="20"/>
                                    </w:rPr>
                                    <w:t>總</w:t>
                                  </w:r>
                                  <w:r w:rsidRPr="00FE4B26">
                                    <w:rPr>
                                      <w:rFonts w:ascii="標楷體" w:eastAsia="標楷體" w:hAnsi="標楷體" w:cs="新細明體" w:hint="eastAsia"/>
                                      <w:color w:val="000000"/>
                                      <w:kern w:val="0"/>
                                      <w:sz w:val="20"/>
                                    </w:rPr>
                                    <w:t>局及所屬</w:t>
                                  </w:r>
                                  <w:r>
                                    <w:rPr>
                                      <w:rFonts w:ascii="標楷體" w:eastAsia="標楷體" w:hAnsi="標楷體" w:cs="新細明體" w:hint="eastAsia"/>
                                      <w:color w:val="000000"/>
                                      <w:kern w:val="0"/>
                                      <w:sz w:val="20"/>
                                    </w:rPr>
                                    <w:t>（</w:t>
                                  </w:r>
                                  <w:r w:rsidRPr="00FE4B26">
                                    <w:rPr>
                                      <w:rFonts w:ascii="標楷體" w:eastAsia="標楷體" w:hAnsi="標楷體" w:cs="新細明體" w:hint="eastAsia"/>
                                      <w:color w:val="000000"/>
                                      <w:kern w:val="0"/>
                                      <w:sz w:val="20"/>
                                    </w:rPr>
                                    <w:t>公路局及所屬</w:t>
                                  </w:r>
                                  <w:r>
                                    <w:rPr>
                                      <w:rFonts w:ascii="標楷體" w:eastAsia="標楷體" w:hAnsi="標楷體" w:cs="新細明體" w:hint="eastAsia"/>
                                      <w:color w:val="000000"/>
                                      <w:kern w:val="0"/>
                                      <w:sz w:val="20"/>
                                    </w:rPr>
                                    <w:t>）</w:t>
                                  </w:r>
                                </w:p>
                              </w:tc>
                              <w:tc>
                                <w:tcPr>
                                  <w:tcW w:w="1077" w:type="dxa"/>
                                  <w:tcBorders>
                                    <w:top w:val="nil"/>
                                    <w:left w:val="nil"/>
                                    <w:bottom w:val="single" w:sz="4" w:space="0" w:color="auto"/>
                                    <w:right w:val="single" w:sz="4" w:space="0" w:color="auto"/>
                                  </w:tcBorders>
                                  <w:shd w:val="clear" w:color="auto" w:fill="auto"/>
                                  <w:vAlign w:val="center"/>
                                  <w:hideMark/>
                                </w:tcPr>
                                <w:p w14:paraId="7E386780"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綠能建設</w:t>
                                  </w:r>
                                </w:p>
                              </w:tc>
                              <w:tc>
                                <w:tcPr>
                                  <w:tcW w:w="1389" w:type="dxa"/>
                                  <w:tcBorders>
                                    <w:top w:val="nil"/>
                                    <w:left w:val="nil"/>
                                    <w:bottom w:val="single" w:sz="4" w:space="0" w:color="auto"/>
                                    <w:right w:val="single" w:sz="4" w:space="0" w:color="auto"/>
                                  </w:tcBorders>
                                  <w:shd w:val="clear" w:color="auto" w:fill="auto"/>
                                  <w:vAlign w:val="center"/>
                                  <w:hideMark/>
                                </w:tcPr>
                                <w:p w14:paraId="54E79D4C"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公共充電樁設置及區域充電需求評估計畫</w:t>
                                  </w:r>
                                </w:p>
                              </w:tc>
                              <w:tc>
                                <w:tcPr>
                                  <w:tcW w:w="958" w:type="dxa"/>
                                  <w:tcBorders>
                                    <w:top w:val="nil"/>
                                    <w:left w:val="nil"/>
                                    <w:bottom w:val="single" w:sz="4" w:space="0" w:color="auto"/>
                                    <w:right w:val="single" w:sz="4" w:space="0" w:color="auto"/>
                                  </w:tcBorders>
                                  <w:shd w:val="clear" w:color="auto" w:fill="auto"/>
                                  <w:vAlign w:val="center"/>
                                  <w:hideMark/>
                                </w:tcPr>
                                <w:p w14:paraId="548A59EE"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970,000 </w:t>
                                  </w:r>
                                </w:p>
                              </w:tc>
                              <w:tc>
                                <w:tcPr>
                                  <w:tcW w:w="956" w:type="dxa"/>
                                  <w:tcBorders>
                                    <w:top w:val="nil"/>
                                    <w:left w:val="nil"/>
                                    <w:bottom w:val="single" w:sz="4" w:space="0" w:color="auto"/>
                                    <w:right w:val="single" w:sz="4" w:space="0" w:color="auto"/>
                                  </w:tcBorders>
                                  <w:shd w:val="clear" w:color="auto" w:fill="auto"/>
                                  <w:vAlign w:val="center"/>
                                  <w:hideMark/>
                                </w:tcPr>
                                <w:p w14:paraId="5AA8D9D3"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323,000 </w:t>
                                  </w:r>
                                </w:p>
                              </w:tc>
                              <w:tc>
                                <w:tcPr>
                                  <w:tcW w:w="758" w:type="dxa"/>
                                  <w:tcBorders>
                                    <w:top w:val="nil"/>
                                    <w:left w:val="nil"/>
                                    <w:bottom w:val="single" w:sz="4" w:space="0" w:color="auto"/>
                                    <w:right w:val="single" w:sz="4" w:space="0" w:color="auto"/>
                                  </w:tcBorders>
                                  <w:shd w:val="clear" w:color="auto" w:fill="auto"/>
                                  <w:vAlign w:val="center"/>
                                  <w:hideMark/>
                                </w:tcPr>
                                <w:p w14:paraId="1AB94FBE"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189,644 </w:t>
                                  </w:r>
                                </w:p>
                              </w:tc>
                              <w:tc>
                                <w:tcPr>
                                  <w:tcW w:w="656" w:type="dxa"/>
                                  <w:tcBorders>
                                    <w:top w:val="nil"/>
                                    <w:left w:val="nil"/>
                                    <w:bottom w:val="single" w:sz="4" w:space="0" w:color="auto"/>
                                    <w:right w:val="single" w:sz="4" w:space="0" w:color="auto"/>
                                  </w:tcBorders>
                                  <w:shd w:val="clear" w:color="auto" w:fill="auto"/>
                                  <w:vAlign w:val="center"/>
                                  <w:hideMark/>
                                </w:tcPr>
                                <w:p w14:paraId="5234E89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25,029 </w:t>
                                  </w:r>
                                </w:p>
                              </w:tc>
                              <w:tc>
                                <w:tcPr>
                                  <w:tcW w:w="896" w:type="dxa"/>
                                  <w:tcBorders>
                                    <w:top w:val="nil"/>
                                    <w:left w:val="nil"/>
                                    <w:bottom w:val="single" w:sz="4" w:space="0" w:color="auto"/>
                                    <w:right w:val="single" w:sz="4" w:space="0" w:color="auto"/>
                                  </w:tcBorders>
                                  <w:shd w:val="clear" w:color="auto" w:fill="auto"/>
                                  <w:vAlign w:val="center"/>
                                  <w:hideMark/>
                                </w:tcPr>
                                <w:p w14:paraId="52CAD38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7.75 </w:t>
                                  </w:r>
                                </w:p>
                              </w:tc>
                              <w:tc>
                                <w:tcPr>
                                  <w:tcW w:w="756" w:type="dxa"/>
                                  <w:tcBorders>
                                    <w:top w:val="nil"/>
                                    <w:left w:val="nil"/>
                                    <w:bottom w:val="single" w:sz="4" w:space="0" w:color="auto"/>
                                    <w:right w:val="single" w:sz="4" w:space="0" w:color="auto"/>
                                  </w:tcBorders>
                                  <w:shd w:val="clear" w:color="auto" w:fill="auto"/>
                                  <w:vAlign w:val="center"/>
                                  <w:hideMark/>
                                </w:tcPr>
                                <w:p w14:paraId="4A219525"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164,615 </w:t>
                                  </w:r>
                                </w:p>
                              </w:tc>
                            </w:tr>
                            <w:tr w:rsidR="00A0212B" w:rsidRPr="00FE4B26" w14:paraId="7CD97E9A" w14:textId="77777777" w:rsidTr="000131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57111D8" w14:textId="77777777" w:rsidR="00A0212B" w:rsidRPr="00FE4B26" w:rsidRDefault="00A0212B" w:rsidP="000131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6DC67E2E"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鐵道局及所屬</w:t>
                                  </w:r>
                                </w:p>
                              </w:tc>
                              <w:tc>
                                <w:tcPr>
                                  <w:tcW w:w="1077" w:type="dxa"/>
                                  <w:tcBorders>
                                    <w:top w:val="nil"/>
                                    <w:left w:val="nil"/>
                                    <w:bottom w:val="single" w:sz="4" w:space="0" w:color="auto"/>
                                    <w:right w:val="single" w:sz="4" w:space="0" w:color="auto"/>
                                  </w:tcBorders>
                                  <w:shd w:val="clear" w:color="auto" w:fill="auto"/>
                                  <w:vAlign w:val="center"/>
                                  <w:hideMark/>
                                </w:tcPr>
                                <w:p w14:paraId="72E3AE6F"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23A7BEC1"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都市推動捷運</w:t>
                                  </w:r>
                                </w:p>
                              </w:tc>
                              <w:tc>
                                <w:tcPr>
                                  <w:tcW w:w="958" w:type="dxa"/>
                                  <w:tcBorders>
                                    <w:top w:val="nil"/>
                                    <w:left w:val="nil"/>
                                    <w:bottom w:val="single" w:sz="4" w:space="0" w:color="auto"/>
                                    <w:right w:val="single" w:sz="4" w:space="0" w:color="auto"/>
                                  </w:tcBorders>
                                  <w:shd w:val="clear" w:color="auto" w:fill="auto"/>
                                  <w:vAlign w:val="center"/>
                                  <w:hideMark/>
                                </w:tcPr>
                                <w:p w14:paraId="754DB14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977,900 </w:t>
                                  </w:r>
                                </w:p>
                              </w:tc>
                              <w:tc>
                                <w:tcPr>
                                  <w:tcW w:w="956" w:type="dxa"/>
                                  <w:tcBorders>
                                    <w:top w:val="nil"/>
                                    <w:left w:val="nil"/>
                                    <w:bottom w:val="single" w:sz="4" w:space="0" w:color="auto"/>
                                    <w:right w:val="single" w:sz="4" w:space="0" w:color="auto"/>
                                  </w:tcBorders>
                                  <w:shd w:val="clear" w:color="auto" w:fill="auto"/>
                                  <w:vAlign w:val="center"/>
                                  <w:hideMark/>
                                </w:tcPr>
                                <w:p w14:paraId="4096CF5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292,900 </w:t>
                                  </w:r>
                                </w:p>
                              </w:tc>
                              <w:tc>
                                <w:tcPr>
                                  <w:tcW w:w="758" w:type="dxa"/>
                                  <w:tcBorders>
                                    <w:top w:val="nil"/>
                                    <w:left w:val="nil"/>
                                    <w:bottom w:val="single" w:sz="4" w:space="0" w:color="auto"/>
                                    <w:right w:val="single" w:sz="4" w:space="0" w:color="auto"/>
                                  </w:tcBorders>
                                  <w:shd w:val="clear" w:color="auto" w:fill="auto"/>
                                  <w:vAlign w:val="center"/>
                                  <w:hideMark/>
                                </w:tcPr>
                                <w:p w14:paraId="749D9286"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193,899 </w:t>
                                  </w:r>
                                </w:p>
                              </w:tc>
                              <w:tc>
                                <w:tcPr>
                                  <w:tcW w:w="656" w:type="dxa"/>
                                  <w:tcBorders>
                                    <w:top w:val="nil"/>
                                    <w:left w:val="nil"/>
                                    <w:bottom w:val="single" w:sz="4" w:space="0" w:color="auto"/>
                                    <w:right w:val="single" w:sz="4" w:space="0" w:color="auto"/>
                                  </w:tcBorders>
                                  <w:shd w:val="clear" w:color="auto" w:fill="auto"/>
                                  <w:vAlign w:val="center"/>
                                  <w:hideMark/>
                                </w:tcPr>
                                <w:p w14:paraId="5C0B0EE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21,304 </w:t>
                                  </w:r>
                                </w:p>
                              </w:tc>
                              <w:tc>
                                <w:tcPr>
                                  <w:tcW w:w="896" w:type="dxa"/>
                                  <w:tcBorders>
                                    <w:top w:val="nil"/>
                                    <w:left w:val="nil"/>
                                    <w:bottom w:val="single" w:sz="4" w:space="0" w:color="auto"/>
                                    <w:right w:val="single" w:sz="4" w:space="0" w:color="auto"/>
                                  </w:tcBorders>
                                  <w:shd w:val="clear" w:color="auto" w:fill="auto"/>
                                  <w:vAlign w:val="center"/>
                                  <w:hideMark/>
                                </w:tcPr>
                                <w:p w14:paraId="2F48517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7.27 </w:t>
                                  </w:r>
                                </w:p>
                              </w:tc>
                              <w:tc>
                                <w:tcPr>
                                  <w:tcW w:w="756" w:type="dxa"/>
                                  <w:tcBorders>
                                    <w:top w:val="nil"/>
                                    <w:left w:val="nil"/>
                                    <w:bottom w:val="single" w:sz="4" w:space="0" w:color="auto"/>
                                    <w:right w:val="single" w:sz="4" w:space="0" w:color="auto"/>
                                  </w:tcBorders>
                                  <w:shd w:val="clear" w:color="auto" w:fill="auto"/>
                                  <w:vAlign w:val="center"/>
                                  <w:hideMark/>
                                </w:tcPr>
                                <w:p w14:paraId="046A4B5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172,595 </w:t>
                                  </w:r>
                                </w:p>
                              </w:tc>
                            </w:tr>
                            <w:tr w:rsidR="00A0212B" w:rsidRPr="00FE4B26" w14:paraId="7FB2B4F9" w14:textId="77777777" w:rsidTr="000131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3EDAE204"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465" w:type="dxa"/>
                                  <w:tcBorders>
                                    <w:top w:val="nil"/>
                                    <w:left w:val="nil"/>
                                    <w:bottom w:val="single" w:sz="4" w:space="0" w:color="auto"/>
                                    <w:right w:val="single" w:sz="4" w:space="0" w:color="auto"/>
                                  </w:tcBorders>
                                  <w:shd w:val="clear" w:color="auto" w:fill="auto"/>
                                  <w:vAlign w:val="center"/>
                                  <w:hideMark/>
                                </w:tcPr>
                                <w:p w14:paraId="6E1D87E5"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077" w:type="dxa"/>
                                  <w:tcBorders>
                                    <w:top w:val="nil"/>
                                    <w:left w:val="nil"/>
                                    <w:bottom w:val="single" w:sz="4" w:space="0" w:color="auto"/>
                                    <w:right w:val="single" w:sz="4" w:space="0" w:color="auto"/>
                                  </w:tcBorders>
                                  <w:shd w:val="clear" w:color="auto" w:fill="auto"/>
                                  <w:vAlign w:val="center"/>
                                  <w:hideMark/>
                                </w:tcPr>
                                <w:p w14:paraId="7DF3513A"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7A8013C8"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加速推動地方創生</w:t>
                                  </w:r>
                                </w:p>
                              </w:tc>
                              <w:tc>
                                <w:tcPr>
                                  <w:tcW w:w="958" w:type="dxa"/>
                                  <w:tcBorders>
                                    <w:top w:val="nil"/>
                                    <w:left w:val="nil"/>
                                    <w:bottom w:val="single" w:sz="4" w:space="0" w:color="auto"/>
                                    <w:right w:val="single" w:sz="4" w:space="0" w:color="auto"/>
                                  </w:tcBorders>
                                  <w:shd w:val="clear" w:color="auto" w:fill="auto"/>
                                  <w:vAlign w:val="center"/>
                                  <w:hideMark/>
                                </w:tcPr>
                                <w:p w14:paraId="1E83C74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60,400 </w:t>
                                  </w:r>
                                </w:p>
                              </w:tc>
                              <w:tc>
                                <w:tcPr>
                                  <w:tcW w:w="956" w:type="dxa"/>
                                  <w:tcBorders>
                                    <w:top w:val="nil"/>
                                    <w:left w:val="nil"/>
                                    <w:bottom w:val="single" w:sz="4" w:space="0" w:color="auto"/>
                                    <w:right w:val="single" w:sz="4" w:space="0" w:color="auto"/>
                                  </w:tcBorders>
                                  <w:shd w:val="clear" w:color="auto" w:fill="auto"/>
                                  <w:vAlign w:val="center"/>
                                  <w:hideMark/>
                                </w:tcPr>
                                <w:p w14:paraId="4080F71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40,000 </w:t>
                                  </w:r>
                                </w:p>
                              </w:tc>
                              <w:tc>
                                <w:tcPr>
                                  <w:tcW w:w="758" w:type="dxa"/>
                                  <w:tcBorders>
                                    <w:top w:val="nil"/>
                                    <w:left w:val="nil"/>
                                    <w:bottom w:val="single" w:sz="4" w:space="0" w:color="auto"/>
                                    <w:right w:val="single" w:sz="4" w:space="0" w:color="auto"/>
                                  </w:tcBorders>
                                  <w:shd w:val="clear" w:color="auto" w:fill="auto"/>
                                  <w:vAlign w:val="center"/>
                                  <w:hideMark/>
                                </w:tcPr>
                                <w:p w14:paraId="2E93F058"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1,567 </w:t>
                                  </w:r>
                                </w:p>
                              </w:tc>
                              <w:tc>
                                <w:tcPr>
                                  <w:tcW w:w="656" w:type="dxa"/>
                                  <w:tcBorders>
                                    <w:top w:val="nil"/>
                                    <w:left w:val="nil"/>
                                    <w:bottom w:val="single" w:sz="4" w:space="0" w:color="auto"/>
                                    <w:right w:val="single" w:sz="4" w:space="0" w:color="auto"/>
                                  </w:tcBorders>
                                  <w:shd w:val="clear" w:color="auto" w:fill="auto"/>
                                  <w:vAlign w:val="center"/>
                                  <w:hideMark/>
                                </w:tcPr>
                                <w:p w14:paraId="7C782247"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1,567 </w:t>
                                  </w:r>
                                </w:p>
                              </w:tc>
                              <w:tc>
                                <w:tcPr>
                                  <w:tcW w:w="896" w:type="dxa"/>
                                  <w:tcBorders>
                                    <w:top w:val="nil"/>
                                    <w:left w:val="nil"/>
                                    <w:bottom w:val="single" w:sz="4" w:space="0" w:color="auto"/>
                                    <w:right w:val="single" w:sz="4" w:space="0" w:color="auto"/>
                                  </w:tcBorders>
                                  <w:shd w:val="clear" w:color="auto" w:fill="auto"/>
                                  <w:vAlign w:val="center"/>
                                  <w:hideMark/>
                                </w:tcPr>
                                <w:p w14:paraId="27C7F47B"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3.92 </w:t>
                                  </w:r>
                                </w:p>
                              </w:tc>
                              <w:tc>
                                <w:tcPr>
                                  <w:tcW w:w="756" w:type="dxa"/>
                                  <w:tcBorders>
                                    <w:top w:val="nil"/>
                                    <w:left w:val="nil"/>
                                    <w:bottom w:val="single" w:sz="4" w:space="0" w:color="auto"/>
                                    <w:right w:val="single" w:sz="4" w:space="0" w:color="auto"/>
                                  </w:tcBorders>
                                  <w:shd w:val="clear" w:color="auto" w:fill="auto"/>
                                  <w:vAlign w:val="center"/>
                                  <w:hideMark/>
                                </w:tcPr>
                                <w:p w14:paraId="3CFAE1B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47D8CB71" w14:textId="77777777" w:rsidTr="000131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05D59FD5"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465" w:type="dxa"/>
                                  <w:tcBorders>
                                    <w:top w:val="nil"/>
                                    <w:left w:val="nil"/>
                                    <w:bottom w:val="single" w:sz="4" w:space="0" w:color="auto"/>
                                    <w:right w:val="single" w:sz="4" w:space="0" w:color="auto"/>
                                  </w:tcBorders>
                                  <w:shd w:val="clear" w:color="auto" w:fill="auto"/>
                                  <w:vAlign w:val="center"/>
                                  <w:hideMark/>
                                </w:tcPr>
                                <w:p w14:paraId="6F616D17"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077" w:type="dxa"/>
                                  <w:tcBorders>
                                    <w:top w:val="nil"/>
                                    <w:left w:val="nil"/>
                                    <w:bottom w:val="single" w:sz="4" w:space="0" w:color="auto"/>
                                    <w:right w:val="single" w:sz="4" w:space="0" w:color="auto"/>
                                  </w:tcBorders>
                                  <w:shd w:val="clear" w:color="auto" w:fill="auto"/>
                                  <w:vAlign w:val="center"/>
                                  <w:hideMark/>
                                </w:tcPr>
                                <w:p w14:paraId="07A30CD6"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15301C6D"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基礎建設環境</w:t>
                                  </w:r>
                                </w:p>
                              </w:tc>
                              <w:tc>
                                <w:tcPr>
                                  <w:tcW w:w="958" w:type="dxa"/>
                                  <w:tcBorders>
                                    <w:top w:val="nil"/>
                                    <w:left w:val="nil"/>
                                    <w:bottom w:val="single" w:sz="4" w:space="0" w:color="auto"/>
                                    <w:right w:val="single" w:sz="4" w:space="0" w:color="auto"/>
                                  </w:tcBorders>
                                  <w:shd w:val="clear" w:color="auto" w:fill="auto"/>
                                  <w:vAlign w:val="center"/>
                                  <w:hideMark/>
                                </w:tcPr>
                                <w:p w14:paraId="71BF3B4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597,380 </w:t>
                                  </w:r>
                                </w:p>
                              </w:tc>
                              <w:tc>
                                <w:tcPr>
                                  <w:tcW w:w="956" w:type="dxa"/>
                                  <w:tcBorders>
                                    <w:top w:val="nil"/>
                                    <w:left w:val="nil"/>
                                    <w:bottom w:val="single" w:sz="4" w:space="0" w:color="auto"/>
                                    <w:right w:val="single" w:sz="4" w:space="0" w:color="auto"/>
                                  </w:tcBorders>
                                  <w:shd w:val="clear" w:color="auto" w:fill="auto"/>
                                  <w:vAlign w:val="center"/>
                                  <w:hideMark/>
                                </w:tcPr>
                                <w:p w14:paraId="505280D7"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320,370 </w:t>
                                  </w:r>
                                </w:p>
                              </w:tc>
                              <w:tc>
                                <w:tcPr>
                                  <w:tcW w:w="758" w:type="dxa"/>
                                  <w:tcBorders>
                                    <w:top w:val="nil"/>
                                    <w:left w:val="nil"/>
                                    <w:bottom w:val="single" w:sz="4" w:space="0" w:color="auto"/>
                                    <w:right w:val="single" w:sz="4" w:space="0" w:color="auto"/>
                                  </w:tcBorders>
                                  <w:shd w:val="clear" w:color="auto" w:fill="auto"/>
                                  <w:vAlign w:val="center"/>
                                  <w:hideMark/>
                                </w:tcPr>
                                <w:p w14:paraId="082594CC"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69,933 </w:t>
                                  </w:r>
                                </w:p>
                              </w:tc>
                              <w:tc>
                                <w:tcPr>
                                  <w:tcW w:w="656" w:type="dxa"/>
                                  <w:tcBorders>
                                    <w:top w:val="nil"/>
                                    <w:left w:val="nil"/>
                                    <w:bottom w:val="single" w:sz="4" w:space="0" w:color="auto"/>
                                    <w:right w:val="single" w:sz="4" w:space="0" w:color="auto"/>
                                  </w:tcBorders>
                                  <w:shd w:val="clear" w:color="auto" w:fill="auto"/>
                                  <w:vAlign w:val="center"/>
                                  <w:hideMark/>
                                </w:tcPr>
                                <w:p w14:paraId="24C9FDA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24,933 </w:t>
                                  </w:r>
                                </w:p>
                              </w:tc>
                              <w:tc>
                                <w:tcPr>
                                  <w:tcW w:w="896" w:type="dxa"/>
                                  <w:tcBorders>
                                    <w:top w:val="nil"/>
                                    <w:left w:val="nil"/>
                                    <w:bottom w:val="single" w:sz="4" w:space="0" w:color="auto"/>
                                    <w:right w:val="single" w:sz="4" w:space="0" w:color="auto"/>
                                  </w:tcBorders>
                                  <w:shd w:val="clear" w:color="auto" w:fill="auto"/>
                                  <w:vAlign w:val="center"/>
                                  <w:hideMark/>
                                </w:tcPr>
                                <w:p w14:paraId="741585B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7.78 </w:t>
                                  </w:r>
                                </w:p>
                              </w:tc>
                              <w:tc>
                                <w:tcPr>
                                  <w:tcW w:w="756" w:type="dxa"/>
                                  <w:tcBorders>
                                    <w:top w:val="nil"/>
                                    <w:left w:val="nil"/>
                                    <w:bottom w:val="single" w:sz="4" w:space="0" w:color="auto"/>
                                    <w:right w:val="single" w:sz="4" w:space="0" w:color="auto"/>
                                  </w:tcBorders>
                                  <w:shd w:val="clear" w:color="auto" w:fill="auto"/>
                                  <w:vAlign w:val="center"/>
                                  <w:hideMark/>
                                </w:tcPr>
                                <w:p w14:paraId="78B80D07"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45,000 </w:t>
                                  </w:r>
                                </w:p>
                              </w:tc>
                            </w:tr>
                            <w:tr w:rsidR="00A0212B" w:rsidRPr="00FE4B26" w14:paraId="7A49D8E0" w14:textId="77777777" w:rsidTr="000131EC">
                              <w:trPr>
                                <w:trHeight w:val="20"/>
                                <w:jc w:val="center"/>
                              </w:trPr>
                              <w:tc>
                                <w:tcPr>
                                  <w:tcW w:w="9592" w:type="dxa"/>
                                  <w:gridSpan w:val="10"/>
                                  <w:tcBorders>
                                    <w:top w:val="single" w:sz="4" w:space="0" w:color="auto"/>
                                  </w:tcBorders>
                                  <w:shd w:val="clear" w:color="auto" w:fill="auto"/>
                                </w:tcPr>
                                <w:p w14:paraId="6301784E" w14:textId="77777777" w:rsidR="00A0212B" w:rsidRPr="0081537A" w:rsidRDefault="00A0212B" w:rsidP="000131EC">
                                  <w:pPr>
                                    <w:spacing w:line="240" w:lineRule="exact"/>
                                    <w:rPr>
                                      <w:rFonts w:ascii="標楷體" w:eastAsia="標楷體" w:hAnsi="標楷體" w:cs="新細明體"/>
                                      <w:color w:val="000000"/>
                                      <w:kern w:val="0"/>
                                      <w:sz w:val="18"/>
                                      <w:szCs w:val="18"/>
                                    </w:rPr>
                                  </w:pPr>
                                  <w:r w:rsidRPr="0081537A">
                                    <w:rPr>
                                      <w:rFonts w:ascii="標楷體" w:eastAsia="標楷體" w:hAnsi="標楷體" w:cstheme="minorBidi" w:hint="eastAsia"/>
                                      <w:sz w:val="18"/>
                                      <w:szCs w:val="18"/>
                                    </w:rPr>
                                    <w:t>註：1</w:t>
                                  </w:r>
                                  <w:r w:rsidRPr="0081537A">
                                    <w:rPr>
                                      <w:rFonts w:ascii="標楷體" w:eastAsia="標楷體" w:hAnsi="標楷體" w:cstheme="minorBidi"/>
                                      <w:sz w:val="18"/>
                                      <w:szCs w:val="18"/>
                                    </w:rPr>
                                    <w:t>.</w:t>
                                  </w:r>
                                  <w:r w:rsidRPr="0081537A">
                                    <w:rPr>
                                      <w:rFonts w:ascii="標楷體" w:eastAsia="標楷體" w:hAnsi="標楷體" w:cstheme="minorBidi" w:hint="eastAsia"/>
                                      <w:sz w:val="18"/>
                                      <w:szCs w:val="18"/>
                                    </w:rPr>
                                    <w:t>實現率=實現數/</w:t>
                                  </w:r>
                                  <w:r w:rsidRPr="0081537A">
                                    <w:rPr>
                                      <w:rFonts w:ascii="標楷體" w:eastAsia="標楷體" w:hAnsi="標楷體" w:cs="新細明體" w:hint="eastAsia"/>
                                      <w:color w:val="000000"/>
                                      <w:kern w:val="0"/>
                                      <w:sz w:val="18"/>
                                      <w:szCs w:val="18"/>
                                    </w:rPr>
                                    <w:t>112年度分配預算數</w:t>
                                  </w:r>
                                  <w:r w:rsidRPr="0081537A">
                                    <w:rPr>
                                      <w:rFonts w:ascii="標楷體" w:eastAsia="標楷體" w:hAnsi="標楷體" w:cs="新細明體"/>
                                      <w:color w:val="000000"/>
                                      <w:kern w:val="0"/>
                                      <w:sz w:val="18"/>
                                      <w:szCs w:val="18"/>
                                    </w:rPr>
                                    <w:t>×100</w:t>
                                  </w:r>
                                  <w:r w:rsidRPr="0078131B">
                                    <w:rPr>
                                      <w:rFonts w:ascii="標楷體" w:eastAsia="標楷體" w:hAnsi="標楷體" w:cs="新細明體" w:hint="eastAsia"/>
                                      <w:color w:val="000000"/>
                                      <w:kern w:val="0"/>
                                      <w:sz w:val="18"/>
                                      <w:szCs w:val="18"/>
                                    </w:rPr>
                                    <w:t>％</w:t>
                                  </w:r>
                                  <w:r w:rsidRPr="0081537A">
                                    <w:rPr>
                                      <w:rFonts w:ascii="標楷體" w:eastAsia="標楷體" w:hAnsi="標楷體" w:cs="新細明體" w:hint="eastAsia"/>
                                      <w:color w:val="000000"/>
                                      <w:kern w:val="0"/>
                                      <w:sz w:val="18"/>
                                      <w:szCs w:val="18"/>
                                    </w:rPr>
                                    <w:t>。</w:t>
                                  </w:r>
                                </w:p>
                                <w:p w14:paraId="4A712266" w14:textId="77777777" w:rsidR="00A0212B" w:rsidRPr="00FE4B26" w:rsidRDefault="00A0212B" w:rsidP="000131EC">
                                  <w:pPr>
                                    <w:spacing w:line="240" w:lineRule="exact"/>
                                    <w:ind w:firstLineChars="200" w:firstLine="360"/>
                                    <w:rPr>
                                      <w:rFonts w:ascii="標楷體" w:eastAsia="標楷體" w:hAnsi="標楷體" w:cstheme="minorBidi"/>
                                      <w:kern w:val="0"/>
                                      <w:sz w:val="18"/>
                                      <w:szCs w:val="18"/>
                                    </w:rPr>
                                  </w:pPr>
                                  <w:r>
                                    <w:rPr>
                                      <w:rFonts w:ascii="標楷體" w:eastAsia="標楷體" w:hAnsi="標楷體" w:cstheme="minorBidi"/>
                                      <w:sz w:val="18"/>
                                      <w:szCs w:val="18"/>
                                    </w:rPr>
                                    <w:t>2.</w:t>
                                  </w:r>
                                  <w:r w:rsidRPr="00FE4B26">
                                    <w:rPr>
                                      <w:rFonts w:ascii="標楷體" w:eastAsia="標楷體" w:hAnsi="標楷體" w:cstheme="minorBidi" w:hint="eastAsia"/>
                                      <w:sz w:val="18"/>
                                      <w:szCs w:val="18"/>
                                    </w:rPr>
                                    <w:t>資料來源：整理自</w:t>
                                  </w:r>
                                  <w:r w:rsidRPr="00FE4B26">
                                    <w:rPr>
                                      <w:rFonts w:ascii="標楷體" w:eastAsia="標楷體" w:hAnsi="標楷體" w:cs="新細明體" w:hint="eastAsia"/>
                                      <w:kern w:val="0"/>
                                      <w:sz w:val="18"/>
                                      <w:szCs w:val="18"/>
                                    </w:rPr>
                                    <w:t>行政院</w:t>
                                  </w:r>
                                  <w:r w:rsidRPr="00FE4B26">
                                    <w:rPr>
                                      <w:rFonts w:ascii="標楷體" w:eastAsia="標楷體" w:hAnsi="標楷體" w:cstheme="minorBidi" w:hint="eastAsia"/>
                                      <w:sz w:val="18"/>
                                      <w:szCs w:val="18"/>
                                    </w:rPr>
                                    <w:t>112年度中央政府總決算總說明、主要表及相關附屬表（第1冊）。</w:t>
                                  </w:r>
                                </w:p>
                                <w:p w14:paraId="714189A1" w14:textId="77777777" w:rsidR="00A0212B" w:rsidRPr="00FE4B26" w:rsidRDefault="00A0212B" w:rsidP="000131EC">
                                  <w:pPr>
                                    <w:widowControl/>
                                    <w:spacing w:line="240" w:lineRule="exact"/>
                                    <w:rPr>
                                      <w:rFonts w:ascii="標楷體" w:eastAsia="標楷體" w:hAnsi="標楷體" w:cs="新細明體"/>
                                      <w:color w:val="000000"/>
                                      <w:kern w:val="0"/>
                                      <w:sz w:val="20"/>
                                    </w:rPr>
                                  </w:pPr>
                                </w:p>
                              </w:tc>
                            </w:tr>
                          </w:tbl>
                          <w:p w14:paraId="7E11FF15" w14:textId="77777777" w:rsidR="00A0212B" w:rsidRPr="00CC045A" w:rsidRDefault="00A0212B" w:rsidP="008A6163">
                            <w:pPr>
                              <w:spacing w:line="220" w:lineRule="exact"/>
                              <w:ind w:leftChars="155" w:left="552" w:hangingChars="100" w:hanging="180"/>
                              <w:jc w:val="center"/>
                              <w:rPr>
                                <w:rFonts w:ascii="標楷體" w:eastAsia="標楷體" w:hAnsi="標楷體"/>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FD4D54" id="文字方塊 87" o:spid="_x0000_s1088" type="#_x0000_t202" style="position:absolute;left:0;text-align:left;margin-left:45.75pt;margin-top:360.1pt;width:501.95pt;height:341.2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" fillcolor="window" stroked="f" strokeweight=".5pt">
                <v:textbox>
                  <w:txbxContent>
                    <w:tbl>
                      <w:tblPr>
                        <w:tblW w:w="9592" w:type="dxa"/>
                        <w:jc w:val="center"/>
                        <w:tblCellMar>
                          <w:left w:w="28" w:type="dxa"/>
                          <w:right w:w="28" w:type="dxa"/>
                        </w:tblCellMar>
                        <w:tblLook w:val="04A0" w:firstRow="1" w:lastRow="0" w:firstColumn="1" w:lastColumn="0" w:noHBand="0" w:noVBand="1"/>
                      </w:tblPr>
                      <w:tblGrid>
                        <w:gridCol w:w="681"/>
                        <w:gridCol w:w="1465"/>
                        <w:gridCol w:w="1077"/>
                        <w:gridCol w:w="1389"/>
                        <w:gridCol w:w="958"/>
                        <w:gridCol w:w="956"/>
                        <w:gridCol w:w="758"/>
                        <w:gridCol w:w="656"/>
                        <w:gridCol w:w="896"/>
                        <w:gridCol w:w="756"/>
                      </w:tblGrid>
                      <w:tr w:rsidR="00A0212B" w:rsidRPr="00FE4B26" w14:paraId="738CA1B6" w14:textId="77777777" w:rsidTr="000131EC">
                        <w:trPr>
                          <w:trHeight w:val="20"/>
                          <w:jc w:val="center"/>
                        </w:trPr>
                        <w:tc>
                          <w:tcPr>
                            <w:tcW w:w="9592" w:type="dxa"/>
                            <w:gridSpan w:val="10"/>
                            <w:shd w:val="clear" w:color="auto" w:fill="auto"/>
                            <w:vAlign w:val="center"/>
                          </w:tcPr>
                          <w:p w14:paraId="43DC3FE9" w14:textId="0B1FE871" w:rsidR="00A0212B" w:rsidRPr="00FE4B26" w:rsidRDefault="00A0212B" w:rsidP="00CD3AB3">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b/>
                                <w:bCs/>
                                <w:color w:val="000000"/>
                                <w:kern w:val="0"/>
                              </w:rPr>
                              <w:t>表</w:t>
                            </w:r>
                            <w:r>
                              <w:rPr>
                                <w:rFonts w:ascii="標楷體" w:eastAsia="標楷體" w:hAnsi="標楷體" w:cs="新細明體"/>
                                <w:b/>
                                <w:bCs/>
                                <w:color w:val="000000"/>
                                <w:kern w:val="0"/>
                              </w:rPr>
                              <w:t>25</w:t>
                            </w:r>
                            <w:r w:rsidRPr="00FE4B26">
                              <w:rPr>
                                <w:rFonts w:ascii="標楷體" w:eastAsia="標楷體" w:hAnsi="標楷體" w:cs="新細明體" w:hint="eastAsia"/>
                                <w:b/>
                                <w:bCs/>
                                <w:color w:val="000000"/>
                                <w:kern w:val="0"/>
                              </w:rPr>
                              <w:t xml:space="preserve">　前瞻計畫第</w:t>
                            </w:r>
                            <w:r w:rsidRPr="00FE4B26">
                              <w:rPr>
                                <w:rFonts w:ascii="標楷體" w:eastAsia="標楷體" w:hAnsi="標楷體" w:cs="新細明體"/>
                                <w:b/>
                                <w:bCs/>
                                <w:color w:val="000000"/>
                                <w:kern w:val="0"/>
                              </w:rPr>
                              <w:t>4期特別預算</w:t>
                            </w:r>
                            <w:r w:rsidRPr="00FE4B26">
                              <w:rPr>
                                <w:rFonts w:ascii="標楷體" w:eastAsia="標楷體" w:hAnsi="標楷體" w:cs="新細明體" w:hint="eastAsia"/>
                                <w:b/>
                                <w:bCs/>
                                <w:color w:val="000000"/>
                                <w:kern w:val="0"/>
                              </w:rPr>
                              <w:t>1</w:t>
                            </w:r>
                            <w:r w:rsidRPr="00FE4B26">
                              <w:rPr>
                                <w:rFonts w:ascii="標楷體" w:eastAsia="標楷體" w:hAnsi="標楷體" w:cs="新細明體"/>
                                <w:b/>
                                <w:bCs/>
                                <w:color w:val="000000"/>
                                <w:kern w:val="0"/>
                              </w:rPr>
                              <w:t>12</w:t>
                            </w:r>
                            <w:r w:rsidRPr="00FE4B26">
                              <w:rPr>
                                <w:rFonts w:ascii="標楷體" w:eastAsia="標楷體" w:hAnsi="標楷體" w:cs="新細明體" w:hint="eastAsia"/>
                                <w:b/>
                                <w:bCs/>
                                <w:color w:val="000000"/>
                                <w:kern w:val="0"/>
                              </w:rPr>
                              <w:t>年度實現率未</w:t>
                            </w:r>
                            <w:r>
                              <w:rPr>
                                <w:rFonts w:ascii="標楷體" w:eastAsia="標楷體" w:hAnsi="標楷體" w:cs="新細明體" w:hint="eastAsia"/>
                                <w:b/>
                                <w:bCs/>
                                <w:color w:val="000000"/>
                                <w:kern w:val="0"/>
                              </w:rPr>
                              <w:t>及</w:t>
                            </w:r>
                            <w:r w:rsidRPr="00FE4B26">
                              <w:rPr>
                                <w:rFonts w:ascii="標楷體" w:eastAsia="標楷體" w:hAnsi="標楷體" w:cs="新細明體" w:hint="eastAsia"/>
                                <w:b/>
                                <w:bCs/>
                                <w:color w:val="000000"/>
                                <w:kern w:val="0"/>
                              </w:rPr>
                              <w:t>1成</w:t>
                            </w:r>
                            <w:r>
                              <w:rPr>
                                <w:rFonts w:ascii="標楷體" w:eastAsia="標楷體" w:hAnsi="標楷體" w:cs="新細明體" w:hint="eastAsia"/>
                                <w:b/>
                                <w:bCs/>
                                <w:color w:val="000000"/>
                                <w:kern w:val="0"/>
                              </w:rPr>
                              <w:t>工作計畫</w:t>
                            </w:r>
                            <w:r w:rsidRPr="00FE4B26">
                              <w:rPr>
                                <w:rFonts w:ascii="標楷體" w:eastAsia="標楷體" w:hAnsi="標楷體" w:cs="新細明體" w:hint="eastAsia"/>
                                <w:b/>
                                <w:bCs/>
                                <w:color w:val="000000"/>
                                <w:kern w:val="0"/>
                              </w:rPr>
                              <w:t>執行情形</w:t>
                            </w:r>
                          </w:p>
                        </w:tc>
                      </w:tr>
                      <w:tr w:rsidR="00A0212B" w:rsidRPr="00FE4B26" w14:paraId="1D40BFBB" w14:textId="77777777" w:rsidTr="000131EC">
                        <w:trPr>
                          <w:trHeight w:val="20"/>
                          <w:jc w:val="center"/>
                        </w:trPr>
                        <w:tc>
                          <w:tcPr>
                            <w:tcW w:w="9592" w:type="dxa"/>
                            <w:gridSpan w:val="10"/>
                            <w:shd w:val="clear" w:color="auto" w:fill="auto"/>
                            <w:vAlign w:val="center"/>
                          </w:tcPr>
                          <w:p w14:paraId="7524BBAD" w14:textId="77777777" w:rsidR="00A0212B" w:rsidRPr="00374A6D" w:rsidRDefault="00A0212B" w:rsidP="000131EC">
                            <w:pPr>
                              <w:widowControl/>
                              <w:spacing w:line="240" w:lineRule="exact"/>
                              <w:jc w:val="right"/>
                              <w:rPr>
                                <w:rFonts w:ascii="標楷體" w:eastAsia="標楷體" w:hAnsi="標楷體" w:cs="新細明體"/>
                                <w:color w:val="000000"/>
                                <w:kern w:val="0"/>
                                <w:sz w:val="20"/>
                              </w:rPr>
                            </w:pPr>
                            <w:r w:rsidRPr="00374A6D">
                              <w:rPr>
                                <w:rFonts w:ascii="標楷體" w:eastAsia="標楷體" w:hAnsi="標楷體" w:cs="新細明體" w:hint="eastAsia"/>
                                <w:kern w:val="0"/>
                                <w:sz w:val="20"/>
                              </w:rPr>
                              <w:t>單位：新臺幣千元、％</w:t>
                            </w:r>
                          </w:p>
                        </w:tc>
                      </w:tr>
                      <w:tr w:rsidR="00A0212B" w:rsidRPr="00FE4B26" w14:paraId="1026AD5E" w14:textId="77777777" w:rsidTr="000131EC">
                        <w:trPr>
                          <w:trHeight w:val="20"/>
                          <w:jc w:val="center"/>
                        </w:trPr>
                        <w:tc>
                          <w:tcPr>
                            <w:tcW w:w="681" w:type="dxa"/>
                            <w:vMerge w:val="restart"/>
                            <w:tcBorders>
                              <w:top w:val="single" w:sz="4" w:space="0" w:color="auto"/>
                              <w:left w:val="single" w:sz="4" w:space="0" w:color="auto"/>
                              <w:right w:val="single" w:sz="4" w:space="0" w:color="auto"/>
                            </w:tcBorders>
                            <w:shd w:val="clear" w:color="auto" w:fill="auto"/>
                            <w:vAlign w:val="center"/>
                            <w:hideMark/>
                          </w:tcPr>
                          <w:p w14:paraId="5808215A"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主管</w:t>
                            </w:r>
                          </w:p>
                          <w:p w14:paraId="4AF47148"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機關</w:t>
                            </w:r>
                          </w:p>
                        </w:tc>
                        <w:tc>
                          <w:tcPr>
                            <w:tcW w:w="1465" w:type="dxa"/>
                            <w:vMerge w:val="restart"/>
                            <w:tcBorders>
                              <w:top w:val="single" w:sz="4" w:space="0" w:color="auto"/>
                              <w:left w:val="nil"/>
                              <w:right w:val="single" w:sz="4" w:space="0" w:color="auto"/>
                            </w:tcBorders>
                            <w:shd w:val="clear" w:color="auto" w:fill="auto"/>
                            <w:vAlign w:val="center"/>
                            <w:hideMark/>
                          </w:tcPr>
                          <w:p w14:paraId="1EAAAD1A"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執行機關</w:t>
                            </w:r>
                          </w:p>
                        </w:tc>
                        <w:tc>
                          <w:tcPr>
                            <w:tcW w:w="1077" w:type="dxa"/>
                            <w:vMerge w:val="restart"/>
                            <w:tcBorders>
                              <w:top w:val="single" w:sz="4" w:space="0" w:color="auto"/>
                              <w:left w:val="nil"/>
                              <w:right w:val="single" w:sz="4" w:space="0" w:color="auto"/>
                            </w:tcBorders>
                            <w:shd w:val="clear" w:color="auto" w:fill="auto"/>
                            <w:vAlign w:val="center"/>
                            <w:hideMark/>
                          </w:tcPr>
                          <w:p w14:paraId="14BF7F09"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建設類別</w:t>
                            </w:r>
                          </w:p>
                        </w:tc>
                        <w:tc>
                          <w:tcPr>
                            <w:tcW w:w="1389" w:type="dxa"/>
                            <w:vMerge w:val="restart"/>
                            <w:tcBorders>
                              <w:top w:val="single" w:sz="4" w:space="0" w:color="auto"/>
                              <w:left w:val="nil"/>
                              <w:right w:val="single" w:sz="4" w:space="0" w:color="auto"/>
                            </w:tcBorders>
                            <w:shd w:val="clear" w:color="auto" w:fill="auto"/>
                            <w:vAlign w:val="center"/>
                            <w:hideMark/>
                          </w:tcPr>
                          <w:p w14:paraId="117945C7"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工作計畫</w:t>
                            </w:r>
                          </w:p>
                        </w:tc>
                        <w:tc>
                          <w:tcPr>
                            <w:tcW w:w="958" w:type="dxa"/>
                            <w:vMerge w:val="restart"/>
                            <w:tcBorders>
                              <w:top w:val="single" w:sz="4" w:space="0" w:color="auto"/>
                              <w:left w:val="nil"/>
                              <w:right w:val="single" w:sz="4" w:space="0" w:color="auto"/>
                            </w:tcBorders>
                            <w:shd w:val="clear" w:color="auto" w:fill="auto"/>
                            <w:vAlign w:val="center"/>
                            <w:hideMark/>
                          </w:tcPr>
                          <w:p w14:paraId="74769E09"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預算數</w:t>
                            </w:r>
                          </w:p>
                        </w:tc>
                        <w:tc>
                          <w:tcPr>
                            <w:tcW w:w="956" w:type="dxa"/>
                            <w:vMerge w:val="restart"/>
                            <w:tcBorders>
                              <w:top w:val="single" w:sz="4" w:space="0" w:color="auto"/>
                              <w:left w:val="nil"/>
                              <w:right w:val="single" w:sz="4" w:space="0" w:color="auto"/>
                            </w:tcBorders>
                            <w:shd w:val="clear" w:color="auto" w:fill="auto"/>
                            <w:vAlign w:val="center"/>
                            <w:hideMark/>
                          </w:tcPr>
                          <w:p w14:paraId="0599A8B3" w14:textId="77777777" w:rsidR="00A0212B" w:rsidRDefault="00A0212B" w:rsidP="000131EC">
                            <w:pPr>
                              <w:widowControl/>
                              <w:spacing w:line="240" w:lineRule="exact"/>
                              <w:jc w:val="center"/>
                              <w:rPr>
                                <w:rFonts w:ascii="標楷體" w:eastAsia="標楷體" w:hAnsi="標楷體" w:cs="新細明體"/>
                                <w:color w:val="000000"/>
                                <w:spacing w:val="-20"/>
                                <w:kern w:val="0"/>
                                <w:sz w:val="20"/>
                              </w:rPr>
                            </w:pPr>
                            <w:r w:rsidRPr="00DE2D47">
                              <w:rPr>
                                <w:rFonts w:ascii="標楷體" w:eastAsia="標楷體" w:hAnsi="標楷體" w:cs="新細明體" w:hint="eastAsia"/>
                                <w:color w:val="000000"/>
                                <w:spacing w:val="-20"/>
                                <w:kern w:val="0"/>
                                <w:sz w:val="20"/>
                              </w:rPr>
                              <w:t>1</w:t>
                            </w:r>
                            <w:r w:rsidRPr="00DE2D47">
                              <w:rPr>
                                <w:rFonts w:ascii="標楷體" w:eastAsia="標楷體" w:hAnsi="標楷體" w:cs="新細明體"/>
                                <w:color w:val="000000"/>
                                <w:spacing w:val="-20"/>
                                <w:kern w:val="0"/>
                                <w:sz w:val="20"/>
                              </w:rPr>
                              <w:t>12</w:t>
                            </w:r>
                            <w:r w:rsidRPr="00DE2D47">
                              <w:rPr>
                                <w:rFonts w:ascii="標楷體" w:eastAsia="標楷體" w:hAnsi="標楷體" w:cs="新細明體" w:hint="eastAsia"/>
                                <w:color w:val="000000"/>
                                <w:spacing w:val="-20"/>
                                <w:kern w:val="0"/>
                                <w:sz w:val="20"/>
                              </w:rPr>
                              <w:t>年度</w:t>
                            </w:r>
                          </w:p>
                          <w:p w14:paraId="72E97E04" w14:textId="77777777" w:rsidR="00A0212B" w:rsidRPr="00D173DF" w:rsidRDefault="00A0212B" w:rsidP="000131EC">
                            <w:pPr>
                              <w:widowControl/>
                              <w:spacing w:line="240" w:lineRule="exact"/>
                              <w:jc w:val="center"/>
                              <w:rPr>
                                <w:rFonts w:ascii="標楷體" w:eastAsia="標楷體" w:hAnsi="標楷體" w:cs="新細明體"/>
                                <w:color w:val="000000"/>
                                <w:spacing w:val="-12"/>
                                <w:kern w:val="0"/>
                                <w:sz w:val="20"/>
                              </w:rPr>
                            </w:pPr>
                            <w:r w:rsidRPr="00D173DF">
                              <w:rPr>
                                <w:rFonts w:ascii="標楷體" w:eastAsia="標楷體" w:hAnsi="標楷體" w:cs="新細明體" w:hint="eastAsia"/>
                                <w:color w:val="000000"/>
                                <w:spacing w:val="-12"/>
                                <w:kern w:val="0"/>
                                <w:sz w:val="20"/>
                              </w:rPr>
                              <w:t>分配預</w:t>
                            </w:r>
                            <w:r w:rsidRPr="00D173DF">
                              <w:rPr>
                                <w:rFonts w:ascii="標楷體" w:eastAsia="標楷體" w:hAnsi="標楷體" w:cs="新細明體" w:hint="eastAsia"/>
                                <w:color w:val="000000"/>
                                <w:spacing w:val="-8"/>
                                <w:kern w:val="0"/>
                                <w:sz w:val="20"/>
                              </w:rPr>
                              <w:t>算數</w:t>
                            </w:r>
                          </w:p>
                        </w:tc>
                        <w:tc>
                          <w:tcPr>
                            <w:tcW w:w="3066" w:type="dxa"/>
                            <w:gridSpan w:val="4"/>
                            <w:tcBorders>
                              <w:top w:val="single" w:sz="4" w:space="0" w:color="auto"/>
                              <w:left w:val="nil"/>
                              <w:bottom w:val="single" w:sz="4" w:space="0" w:color="auto"/>
                              <w:right w:val="single" w:sz="4" w:space="0" w:color="auto"/>
                            </w:tcBorders>
                            <w:shd w:val="clear" w:color="auto" w:fill="auto"/>
                            <w:vAlign w:val="center"/>
                            <w:hideMark/>
                          </w:tcPr>
                          <w:p w14:paraId="029458FE"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執行情形</w:t>
                            </w:r>
                          </w:p>
                        </w:tc>
                      </w:tr>
                      <w:tr w:rsidR="00A0212B" w:rsidRPr="00FE4B26" w14:paraId="40268D97" w14:textId="77777777" w:rsidTr="000131EC">
                        <w:trPr>
                          <w:trHeight w:val="240"/>
                          <w:jc w:val="center"/>
                        </w:trPr>
                        <w:tc>
                          <w:tcPr>
                            <w:tcW w:w="681" w:type="dxa"/>
                            <w:vMerge/>
                            <w:tcBorders>
                              <w:left w:val="single" w:sz="4" w:space="0" w:color="auto"/>
                              <w:right w:val="single" w:sz="4" w:space="0" w:color="auto"/>
                            </w:tcBorders>
                            <w:shd w:val="clear" w:color="auto" w:fill="auto"/>
                            <w:vAlign w:val="center"/>
                            <w:hideMark/>
                          </w:tcPr>
                          <w:p w14:paraId="36D59F41"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465" w:type="dxa"/>
                            <w:vMerge/>
                            <w:tcBorders>
                              <w:left w:val="nil"/>
                              <w:right w:val="single" w:sz="4" w:space="0" w:color="auto"/>
                            </w:tcBorders>
                            <w:shd w:val="clear" w:color="auto" w:fill="auto"/>
                            <w:vAlign w:val="center"/>
                            <w:hideMark/>
                          </w:tcPr>
                          <w:p w14:paraId="3C4B629F"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077" w:type="dxa"/>
                            <w:vMerge/>
                            <w:tcBorders>
                              <w:left w:val="nil"/>
                              <w:right w:val="single" w:sz="4" w:space="0" w:color="auto"/>
                            </w:tcBorders>
                            <w:shd w:val="clear" w:color="auto" w:fill="auto"/>
                            <w:vAlign w:val="center"/>
                            <w:hideMark/>
                          </w:tcPr>
                          <w:p w14:paraId="331337B8"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389" w:type="dxa"/>
                            <w:vMerge/>
                            <w:tcBorders>
                              <w:left w:val="nil"/>
                              <w:right w:val="single" w:sz="4" w:space="0" w:color="auto"/>
                            </w:tcBorders>
                            <w:shd w:val="clear" w:color="auto" w:fill="auto"/>
                            <w:vAlign w:val="center"/>
                            <w:hideMark/>
                          </w:tcPr>
                          <w:p w14:paraId="034D4C0A"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958" w:type="dxa"/>
                            <w:vMerge/>
                            <w:tcBorders>
                              <w:left w:val="nil"/>
                              <w:right w:val="single" w:sz="4" w:space="0" w:color="auto"/>
                            </w:tcBorders>
                            <w:shd w:val="clear" w:color="auto" w:fill="auto"/>
                            <w:vAlign w:val="center"/>
                            <w:hideMark/>
                          </w:tcPr>
                          <w:p w14:paraId="476AC5F8"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956" w:type="dxa"/>
                            <w:vMerge/>
                            <w:tcBorders>
                              <w:left w:val="nil"/>
                              <w:right w:val="single" w:sz="4" w:space="0" w:color="auto"/>
                            </w:tcBorders>
                            <w:shd w:val="clear" w:color="auto" w:fill="auto"/>
                            <w:vAlign w:val="center"/>
                            <w:hideMark/>
                          </w:tcPr>
                          <w:p w14:paraId="6639869F"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758" w:type="dxa"/>
                            <w:vMerge w:val="restart"/>
                            <w:tcBorders>
                              <w:top w:val="nil"/>
                              <w:left w:val="nil"/>
                              <w:right w:val="single" w:sz="4" w:space="0" w:color="auto"/>
                            </w:tcBorders>
                            <w:shd w:val="clear" w:color="auto" w:fill="auto"/>
                            <w:vAlign w:val="center"/>
                            <w:hideMark/>
                          </w:tcPr>
                          <w:p w14:paraId="47EE7633"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合計</w:t>
                            </w:r>
                          </w:p>
                        </w:tc>
                        <w:tc>
                          <w:tcPr>
                            <w:tcW w:w="1552" w:type="dxa"/>
                            <w:gridSpan w:val="2"/>
                            <w:tcBorders>
                              <w:top w:val="nil"/>
                              <w:left w:val="nil"/>
                              <w:right w:val="single" w:sz="4" w:space="0" w:color="auto"/>
                            </w:tcBorders>
                            <w:shd w:val="clear" w:color="auto" w:fill="auto"/>
                            <w:vAlign w:val="center"/>
                            <w:hideMark/>
                          </w:tcPr>
                          <w:p w14:paraId="223966B5"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756" w:type="dxa"/>
                            <w:vMerge w:val="restart"/>
                            <w:tcBorders>
                              <w:top w:val="nil"/>
                              <w:left w:val="nil"/>
                              <w:right w:val="single" w:sz="4" w:space="0" w:color="auto"/>
                            </w:tcBorders>
                            <w:shd w:val="clear" w:color="auto" w:fill="auto"/>
                            <w:vAlign w:val="center"/>
                            <w:hideMark/>
                          </w:tcPr>
                          <w:p w14:paraId="0F2601FA"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預付數</w:t>
                            </w:r>
                          </w:p>
                        </w:tc>
                      </w:tr>
                      <w:tr w:rsidR="00A0212B" w:rsidRPr="00FE4B26" w14:paraId="5D424093" w14:textId="77777777" w:rsidTr="000131EC">
                        <w:trPr>
                          <w:trHeight w:val="240"/>
                          <w:jc w:val="center"/>
                        </w:trPr>
                        <w:tc>
                          <w:tcPr>
                            <w:tcW w:w="681" w:type="dxa"/>
                            <w:vMerge/>
                            <w:tcBorders>
                              <w:left w:val="single" w:sz="4" w:space="0" w:color="auto"/>
                              <w:bottom w:val="single" w:sz="4" w:space="0" w:color="auto"/>
                              <w:right w:val="single" w:sz="4" w:space="0" w:color="auto"/>
                            </w:tcBorders>
                            <w:shd w:val="clear" w:color="auto" w:fill="auto"/>
                            <w:vAlign w:val="center"/>
                          </w:tcPr>
                          <w:p w14:paraId="2212B56C"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465" w:type="dxa"/>
                            <w:vMerge/>
                            <w:tcBorders>
                              <w:left w:val="nil"/>
                              <w:bottom w:val="single" w:sz="4" w:space="0" w:color="auto"/>
                              <w:right w:val="single" w:sz="4" w:space="0" w:color="auto"/>
                            </w:tcBorders>
                            <w:shd w:val="clear" w:color="auto" w:fill="auto"/>
                            <w:vAlign w:val="center"/>
                          </w:tcPr>
                          <w:p w14:paraId="42C6A25D"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077" w:type="dxa"/>
                            <w:vMerge/>
                            <w:tcBorders>
                              <w:left w:val="nil"/>
                              <w:bottom w:val="single" w:sz="4" w:space="0" w:color="auto"/>
                              <w:right w:val="single" w:sz="4" w:space="0" w:color="auto"/>
                            </w:tcBorders>
                            <w:shd w:val="clear" w:color="auto" w:fill="auto"/>
                            <w:vAlign w:val="center"/>
                          </w:tcPr>
                          <w:p w14:paraId="594F911E"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1389" w:type="dxa"/>
                            <w:vMerge/>
                            <w:tcBorders>
                              <w:left w:val="nil"/>
                              <w:bottom w:val="single" w:sz="4" w:space="0" w:color="auto"/>
                              <w:right w:val="single" w:sz="4" w:space="0" w:color="auto"/>
                            </w:tcBorders>
                            <w:shd w:val="clear" w:color="auto" w:fill="auto"/>
                            <w:vAlign w:val="center"/>
                          </w:tcPr>
                          <w:p w14:paraId="5C7F02BD"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958" w:type="dxa"/>
                            <w:vMerge/>
                            <w:tcBorders>
                              <w:left w:val="nil"/>
                              <w:bottom w:val="single" w:sz="4" w:space="0" w:color="auto"/>
                              <w:right w:val="single" w:sz="4" w:space="0" w:color="auto"/>
                            </w:tcBorders>
                            <w:shd w:val="clear" w:color="auto" w:fill="auto"/>
                            <w:vAlign w:val="center"/>
                          </w:tcPr>
                          <w:p w14:paraId="0F98FA82"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956" w:type="dxa"/>
                            <w:vMerge/>
                            <w:tcBorders>
                              <w:left w:val="nil"/>
                              <w:bottom w:val="single" w:sz="4" w:space="0" w:color="auto"/>
                              <w:right w:val="single" w:sz="4" w:space="0" w:color="auto"/>
                            </w:tcBorders>
                            <w:shd w:val="clear" w:color="auto" w:fill="auto"/>
                            <w:vAlign w:val="center"/>
                          </w:tcPr>
                          <w:p w14:paraId="7ACF0BA3"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758" w:type="dxa"/>
                            <w:vMerge/>
                            <w:tcBorders>
                              <w:left w:val="nil"/>
                              <w:bottom w:val="single" w:sz="4" w:space="0" w:color="auto"/>
                              <w:right w:val="single" w:sz="4" w:space="0" w:color="auto"/>
                            </w:tcBorders>
                            <w:shd w:val="clear" w:color="auto" w:fill="auto"/>
                            <w:vAlign w:val="center"/>
                          </w:tcPr>
                          <w:p w14:paraId="73FE782E"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c>
                          <w:tcPr>
                            <w:tcW w:w="656" w:type="dxa"/>
                            <w:tcBorders>
                              <w:top w:val="nil"/>
                              <w:left w:val="nil"/>
                              <w:bottom w:val="single" w:sz="4" w:space="0" w:color="auto"/>
                              <w:right w:val="single" w:sz="4" w:space="0" w:color="auto"/>
                            </w:tcBorders>
                            <w:shd w:val="clear" w:color="auto" w:fill="auto"/>
                            <w:vAlign w:val="center"/>
                          </w:tcPr>
                          <w:p w14:paraId="0455623E"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實現數</w:t>
                            </w:r>
                          </w:p>
                        </w:tc>
                        <w:tc>
                          <w:tcPr>
                            <w:tcW w:w="896" w:type="dxa"/>
                            <w:tcBorders>
                              <w:top w:val="single" w:sz="4" w:space="0" w:color="auto"/>
                              <w:left w:val="nil"/>
                              <w:bottom w:val="single" w:sz="4" w:space="0" w:color="auto"/>
                              <w:right w:val="single" w:sz="4" w:space="0" w:color="auto"/>
                            </w:tcBorders>
                            <w:shd w:val="clear" w:color="auto" w:fill="auto"/>
                            <w:vAlign w:val="center"/>
                          </w:tcPr>
                          <w:p w14:paraId="5AA69CCB" w14:textId="77777777" w:rsidR="00A0212B" w:rsidRDefault="00A0212B" w:rsidP="000131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實現率</w:t>
                            </w:r>
                          </w:p>
                          <w:p w14:paraId="44DA0165"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（註1）</w:t>
                            </w:r>
                          </w:p>
                        </w:tc>
                        <w:tc>
                          <w:tcPr>
                            <w:tcW w:w="756" w:type="dxa"/>
                            <w:vMerge/>
                            <w:tcBorders>
                              <w:left w:val="nil"/>
                              <w:bottom w:val="single" w:sz="4" w:space="0" w:color="auto"/>
                              <w:right w:val="single" w:sz="4" w:space="0" w:color="auto"/>
                            </w:tcBorders>
                            <w:shd w:val="clear" w:color="auto" w:fill="auto"/>
                            <w:vAlign w:val="center"/>
                          </w:tcPr>
                          <w:p w14:paraId="7A745DDF" w14:textId="77777777" w:rsidR="00A0212B" w:rsidRPr="00FE4B26" w:rsidRDefault="00A0212B" w:rsidP="000131EC">
                            <w:pPr>
                              <w:widowControl/>
                              <w:spacing w:line="240" w:lineRule="exact"/>
                              <w:jc w:val="center"/>
                              <w:rPr>
                                <w:rFonts w:ascii="標楷體" w:eastAsia="標楷體" w:hAnsi="標楷體" w:cs="新細明體"/>
                                <w:color w:val="000000"/>
                                <w:kern w:val="0"/>
                                <w:sz w:val="20"/>
                              </w:rPr>
                            </w:pPr>
                          </w:p>
                        </w:tc>
                      </w:tr>
                      <w:tr w:rsidR="00A0212B" w:rsidRPr="00FE4B26" w14:paraId="22BCC7ED" w14:textId="77777777" w:rsidTr="000131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51B43E50"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行政院</w:t>
                            </w:r>
                          </w:p>
                        </w:tc>
                        <w:tc>
                          <w:tcPr>
                            <w:tcW w:w="1465" w:type="dxa"/>
                            <w:tcBorders>
                              <w:top w:val="nil"/>
                              <w:left w:val="nil"/>
                              <w:bottom w:val="single" w:sz="4" w:space="0" w:color="auto"/>
                              <w:right w:val="single" w:sz="4" w:space="0" w:color="auto"/>
                            </w:tcBorders>
                            <w:shd w:val="clear" w:color="auto" w:fill="auto"/>
                            <w:vAlign w:val="center"/>
                            <w:hideMark/>
                          </w:tcPr>
                          <w:p w14:paraId="0AC76705"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國家發展委員會</w:t>
                            </w:r>
                          </w:p>
                        </w:tc>
                        <w:tc>
                          <w:tcPr>
                            <w:tcW w:w="1077" w:type="dxa"/>
                            <w:tcBorders>
                              <w:top w:val="nil"/>
                              <w:left w:val="nil"/>
                              <w:bottom w:val="single" w:sz="4" w:space="0" w:color="auto"/>
                              <w:right w:val="single" w:sz="4" w:space="0" w:color="auto"/>
                            </w:tcBorders>
                            <w:shd w:val="clear" w:color="auto" w:fill="auto"/>
                            <w:vAlign w:val="center"/>
                            <w:hideMark/>
                          </w:tcPr>
                          <w:p w14:paraId="1EC7EA22"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1389" w:type="dxa"/>
                            <w:tcBorders>
                              <w:top w:val="nil"/>
                              <w:left w:val="nil"/>
                              <w:bottom w:val="single" w:sz="4" w:space="0" w:color="auto"/>
                              <w:right w:val="single" w:sz="4" w:space="0" w:color="auto"/>
                            </w:tcBorders>
                            <w:shd w:val="clear" w:color="auto" w:fill="auto"/>
                            <w:vAlign w:val="center"/>
                            <w:hideMark/>
                          </w:tcPr>
                          <w:p w14:paraId="766DE07B"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958" w:type="dxa"/>
                            <w:tcBorders>
                              <w:top w:val="nil"/>
                              <w:left w:val="nil"/>
                              <w:bottom w:val="single" w:sz="4" w:space="0" w:color="auto"/>
                              <w:right w:val="single" w:sz="4" w:space="0" w:color="auto"/>
                            </w:tcBorders>
                            <w:shd w:val="clear" w:color="auto" w:fill="auto"/>
                            <w:vAlign w:val="center"/>
                            <w:hideMark/>
                          </w:tcPr>
                          <w:p w14:paraId="7049CF7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908,900 </w:t>
                            </w:r>
                          </w:p>
                        </w:tc>
                        <w:tc>
                          <w:tcPr>
                            <w:tcW w:w="956" w:type="dxa"/>
                            <w:tcBorders>
                              <w:top w:val="nil"/>
                              <w:left w:val="nil"/>
                              <w:bottom w:val="single" w:sz="4" w:space="0" w:color="auto"/>
                              <w:right w:val="single" w:sz="4" w:space="0" w:color="auto"/>
                            </w:tcBorders>
                            <w:shd w:val="clear" w:color="auto" w:fill="auto"/>
                            <w:vAlign w:val="center"/>
                            <w:hideMark/>
                          </w:tcPr>
                          <w:p w14:paraId="5AA9AB2D"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366,450 </w:t>
                            </w:r>
                          </w:p>
                        </w:tc>
                        <w:tc>
                          <w:tcPr>
                            <w:tcW w:w="758" w:type="dxa"/>
                            <w:tcBorders>
                              <w:top w:val="nil"/>
                              <w:left w:val="nil"/>
                              <w:bottom w:val="single" w:sz="4" w:space="0" w:color="auto"/>
                              <w:right w:val="single" w:sz="4" w:space="0" w:color="auto"/>
                            </w:tcBorders>
                            <w:shd w:val="clear" w:color="auto" w:fill="auto"/>
                            <w:vAlign w:val="center"/>
                            <w:hideMark/>
                          </w:tcPr>
                          <w:p w14:paraId="3A18C32D"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44,247 </w:t>
                            </w:r>
                          </w:p>
                        </w:tc>
                        <w:tc>
                          <w:tcPr>
                            <w:tcW w:w="656" w:type="dxa"/>
                            <w:tcBorders>
                              <w:top w:val="nil"/>
                              <w:left w:val="nil"/>
                              <w:bottom w:val="single" w:sz="4" w:space="0" w:color="auto"/>
                              <w:right w:val="single" w:sz="4" w:space="0" w:color="auto"/>
                            </w:tcBorders>
                            <w:shd w:val="clear" w:color="auto" w:fill="auto"/>
                            <w:vAlign w:val="center"/>
                            <w:hideMark/>
                          </w:tcPr>
                          <w:p w14:paraId="6304696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34,599 </w:t>
                            </w:r>
                          </w:p>
                        </w:tc>
                        <w:tc>
                          <w:tcPr>
                            <w:tcW w:w="896" w:type="dxa"/>
                            <w:tcBorders>
                              <w:top w:val="nil"/>
                              <w:left w:val="nil"/>
                              <w:bottom w:val="single" w:sz="4" w:space="0" w:color="auto"/>
                              <w:right w:val="single" w:sz="4" w:space="0" w:color="auto"/>
                            </w:tcBorders>
                            <w:shd w:val="clear" w:color="auto" w:fill="auto"/>
                            <w:vAlign w:val="center"/>
                            <w:hideMark/>
                          </w:tcPr>
                          <w:p w14:paraId="3B4D001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9.44 </w:t>
                            </w:r>
                          </w:p>
                        </w:tc>
                        <w:tc>
                          <w:tcPr>
                            <w:tcW w:w="756" w:type="dxa"/>
                            <w:tcBorders>
                              <w:top w:val="nil"/>
                              <w:left w:val="nil"/>
                              <w:bottom w:val="single" w:sz="4" w:space="0" w:color="auto"/>
                              <w:right w:val="single" w:sz="4" w:space="0" w:color="auto"/>
                            </w:tcBorders>
                            <w:shd w:val="clear" w:color="auto" w:fill="auto"/>
                            <w:vAlign w:val="center"/>
                            <w:hideMark/>
                          </w:tcPr>
                          <w:p w14:paraId="14086FF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9,648 </w:t>
                            </w:r>
                          </w:p>
                        </w:tc>
                      </w:tr>
                      <w:tr w:rsidR="00A0212B" w:rsidRPr="00FE4B26" w14:paraId="6A26F37D" w14:textId="77777777" w:rsidTr="000131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3F4E9D79" w14:textId="77777777" w:rsidR="00A0212B" w:rsidRPr="00FE4B26" w:rsidRDefault="00A0212B" w:rsidP="000131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45FC04A5"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原住民族委員會</w:t>
                            </w:r>
                          </w:p>
                        </w:tc>
                        <w:tc>
                          <w:tcPr>
                            <w:tcW w:w="1077" w:type="dxa"/>
                            <w:tcBorders>
                              <w:top w:val="nil"/>
                              <w:left w:val="nil"/>
                              <w:bottom w:val="single" w:sz="4" w:space="0" w:color="auto"/>
                              <w:right w:val="single" w:sz="4" w:space="0" w:color="auto"/>
                            </w:tcBorders>
                            <w:shd w:val="clear" w:color="auto" w:fill="auto"/>
                            <w:vAlign w:val="center"/>
                            <w:hideMark/>
                          </w:tcPr>
                          <w:p w14:paraId="704B180A"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E61945"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推廣數位公益服務</w:t>
                            </w:r>
                          </w:p>
                        </w:tc>
                        <w:tc>
                          <w:tcPr>
                            <w:tcW w:w="958" w:type="dxa"/>
                            <w:tcBorders>
                              <w:top w:val="nil"/>
                              <w:left w:val="nil"/>
                              <w:bottom w:val="single" w:sz="4" w:space="0" w:color="auto"/>
                              <w:right w:val="single" w:sz="4" w:space="0" w:color="auto"/>
                            </w:tcBorders>
                            <w:shd w:val="clear" w:color="auto" w:fill="auto"/>
                            <w:vAlign w:val="center"/>
                            <w:hideMark/>
                          </w:tcPr>
                          <w:p w14:paraId="15641342"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956" w:type="dxa"/>
                            <w:tcBorders>
                              <w:top w:val="nil"/>
                              <w:left w:val="nil"/>
                              <w:bottom w:val="single" w:sz="4" w:space="0" w:color="auto"/>
                              <w:right w:val="single" w:sz="4" w:space="0" w:color="auto"/>
                            </w:tcBorders>
                            <w:shd w:val="clear" w:color="auto" w:fill="auto"/>
                            <w:vAlign w:val="center"/>
                            <w:hideMark/>
                          </w:tcPr>
                          <w:p w14:paraId="3B437E6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758" w:type="dxa"/>
                            <w:tcBorders>
                              <w:top w:val="nil"/>
                              <w:left w:val="nil"/>
                              <w:bottom w:val="single" w:sz="4" w:space="0" w:color="auto"/>
                              <w:right w:val="single" w:sz="4" w:space="0" w:color="auto"/>
                            </w:tcBorders>
                            <w:shd w:val="clear" w:color="auto" w:fill="auto"/>
                            <w:vAlign w:val="center"/>
                            <w:hideMark/>
                          </w:tcPr>
                          <w:p w14:paraId="275419F2"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1,483 </w:t>
                            </w:r>
                          </w:p>
                        </w:tc>
                        <w:tc>
                          <w:tcPr>
                            <w:tcW w:w="656" w:type="dxa"/>
                            <w:tcBorders>
                              <w:top w:val="nil"/>
                              <w:left w:val="nil"/>
                              <w:bottom w:val="single" w:sz="4" w:space="0" w:color="auto"/>
                              <w:right w:val="single" w:sz="4" w:space="0" w:color="auto"/>
                            </w:tcBorders>
                            <w:shd w:val="clear" w:color="auto" w:fill="auto"/>
                            <w:vAlign w:val="center"/>
                            <w:hideMark/>
                          </w:tcPr>
                          <w:p w14:paraId="6074100F"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1,483 </w:t>
                            </w:r>
                          </w:p>
                        </w:tc>
                        <w:tc>
                          <w:tcPr>
                            <w:tcW w:w="896" w:type="dxa"/>
                            <w:tcBorders>
                              <w:top w:val="nil"/>
                              <w:left w:val="nil"/>
                              <w:bottom w:val="single" w:sz="4" w:space="0" w:color="auto"/>
                              <w:right w:val="single" w:sz="4" w:space="0" w:color="auto"/>
                            </w:tcBorders>
                            <w:shd w:val="clear" w:color="auto" w:fill="auto"/>
                            <w:vAlign w:val="center"/>
                            <w:hideMark/>
                          </w:tcPr>
                          <w:p w14:paraId="5F9903A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9.89 </w:t>
                            </w:r>
                          </w:p>
                        </w:tc>
                        <w:tc>
                          <w:tcPr>
                            <w:tcW w:w="756" w:type="dxa"/>
                            <w:tcBorders>
                              <w:top w:val="nil"/>
                              <w:left w:val="nil"/>
                              <w:bottom w:val="single" w:sz="4" w:space="0" w:color="auto"/>
                              <w:right w:val="single" w:sz="4" w:space="0" w:color="auto"/>
                            </w:tcBorders>
                            <w:shd w:val="clear" w:color="auto" w:fill="auto"/>
                            <w:vAlign w:val="center"/>
                            <w:hideMark/>
                          </w:tcPr>
                          <w:p w14:paraId="0C2E600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1D7E183E" w14:textId="77777777" w:rsidTr="000131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7357E16B"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465" w:type="dxa"/>
                            <w:tcBorders>
                              <w:top w:val="nil"/>
                              <w:left w:val="nil"/>
                              <w:bottom w:val="single" w:sz="4" w:space="0" w:color="auto"/>
                              <w:right w:val="single" w:sz="4" w:space="0" w:color="auto"/>
                            </w:tcBorders>
                            <w:shd w:val="clear" w:color="auto" w:fill="auto"/>
                            <w:vAlign w:val="center"/>
                            <w:hideMark/>
                          </w:tcPr>
                          <w:p w14:paraId="0D6FAC00"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077" w:type="dxa"/>
                            <w:tcBorders>
                              <w:top w:val="nil"/>
                              <w:left w:val="nil"/>
                              <w:bottom w:val="single" w:sz="4" w:space="0" w:color="auto"/>
                              <w:right w:val="single" w:sz="4" w:space="0" w:color="auto"/>
                            </w:tcBorders>
                            <w:shd w:val="clear" w:color="auto" w:fill="auto"/>
                            <w:vAlign w:val="center"/>
                            <w:hideMark/>
                          </w:tcPr>
                          <w:p w14:paraId="102645A8"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274B06B7"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公共服務據點整備</w:t>
                            </w:r>
                          </w:p>
                        </w:tc>
                        <w:tc>
                          <w:tcPr>
                            <w:tcW w:w="958" w:type="dxa"/>
                            <w:tcBorders>
                              <w:top w:val="nil"/>
                              <w:left w:val="nil"/>
                              <w:bottom w:val="single" w:sz="4" w:space="0" w:color="auto"/>
                              <w:right w:val="single" w:sz="4" w:space="0" w:color="auto"/>
                            </w:tcBorders>
                            <w:shd w:val="clear" w:color="auto" w:fill="auto"/>
                            <w:vAlign w:val="center"/>
                            <w:hideMark/>
                          </w:tcPr>
                          <w:p w14:paraId="044D554E"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368,680 </w:t>
                            </w:r>
                          </w:p>
                        </w:tc>
                        <w:tc>
                          <w:tcPr>
                            <w:tcW w:w="956" w:type="dxa"/>
                            <w:tcBorders>
                              <w:top w:val="nil"/>
                              <w:left w:val="nil"/>
                              <w:bottom w:val="single" w:sz="4" w:space="0" w:color="auto"/>
                              <w:right w:val="single" w:sz="4" w:space="0" w:color="auto"/>
                            </w:tcBorders>
                            <w:shd w:val="clear" w:color="auto" w:fill="auto"/>
                            <w:vAlign w:val="center"/>
                            <w:hideMark/>
                          </w:tcPr>
                          <w:p w14:paraId="25CE350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184,340 </w:t>
                            </w:r>
                          </w:p>
                        </w:tc>
                        <w:tc>
                          <w:tcPr>
                            <w:tcW w:w="758" w:type="dxa"/>
                            <w:tcBorders>
                              <w:top w:val="nil"/>
                              <w:left w:val="nil"/>
                              <w:bottom w:val="single" w:sz="4" w:space="0" w:color="auto"/>
                              <w:right w:val="single" w:sz="4" w:space="0" w:color="auto"/>
                            </w:tcBorders>
                            <w:shd w:val="clear" w:color="auto" w:fill="auto"/>
                            <w:vAlign w:val="center"/>
                            <w:hideMark/>
                          </w:tcPr>
                          <w:p w14:paraId="72D42C85"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39,837 </w:t>
                            </w:r>
                          </w:p>
                        </w:tc>
                        <w:tc>
                          <w:tcPr>
                            <w:tcW w:w="656" w:type="dxa"/>
                            <w:tcBorders>
                              <w:top w:val="nil"/>
                              <w:left w:val="nil"/>
                              <w:bottom w:val="single" w:sz="4" w:space="0" w:color="auto"/>
                              <w:right w:val="single" w:sz="4" w:space="0" w:color="auto"/>
                            </w:tcBorders>
                            <w:shd w:val="clear" w:color="auto" w:fill="auto"/>
                            <w:vAlign w:val="center"/>
                            <w:hideMark/>
                          </w:tcPr>
                          <w:p w14:paraId="50BCDD4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10,527 </w:t>
                            </w:r>
                          </w:p>
                        </w:tc>
                        <w:tc>
                          <w:tcPr>
                            <w:tcW w:w="896" w:type="dxa"/>
                            <w:tcBorders>
                              <w:top w:val="nil"/>
                              <w:left w:val="nil"/>
                              <w:bottom w:val="single" w:sz="4" w:space="0" w:color="auto"/>
                              <w:right w:val="single" w:sz="4" w:space="0" w:color="auto"/>
                            </w:tcBorders>
                            <w:shd w:val="clear" w:color="auto" w:fill="auto"/>
                            <w:vAlign w:val="center"/>
                            <w:hideMark/>
                          </w:tcPr>
                          <w:p w14:paraId="7880F907"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5.71 </w:t>
                            </w:r>
                          </w:p>
                        </w:tc>
                        <w:tc>
                          <w:tcPr>
                            <w:tcW w:w="756" w:type="dxa"/>
                            <w:tcBorders>
                              <w:top w:val="nil"/>
                              <w:left w:val="nil"/>
                              <w:bottom w:val="single" w:sz="4" w:space="0" w:color="auto"/>
                              <w:right w:val="single" w:sz="4" w:space="0" w:color="auto"/>
                            </w:tcBorders>
                            <w:shd w:val="clear" w:color="auto" w:fill="auto"/>
                            <w:vAlign w:val="center"/>
                            <w:hideMark/>
                          </w:tcPr>
                          <w:p w14:paraId="06DE696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29,310 </w:t>
                            </w:r>
                          </w:p>
                        </w:tc>
                      </w:tr>
                      <w:tr w:rsidR="00A0212B" w:rsidRPr="00FE4B26" w14:paraId="5324668D" w14:textId="77777777" w:rsidTr="000131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0974C01E" w14:textId="77777777" w:rsidR="00A0212B" w:rsidRPr="00FE4B26" w:rsidRDefault="00A0212B" w:rsidP="000131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5EFAFE36"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水利署及所屬</w:t>
                            </w:r>
                          </w:p>
                        </w:tc>
                        <w:tc>
                          <w:tcPr>
                            <w:tcW w:w="1077" w:type="dxa"/>
                            <w:tcBorders>
                              <w:top w:val="nil"/>
                              <w:left w:val="nil"/>
                              <w:bottom w:val="single" w:sz="4" w:space="0" w:color="auto"/>
                              <w:right w:val="single" w:sz="4" w:space="0" w:color="auto"/>
                            </w:tcBorders>
                            <w:shd w:val="clear" w:color="auto" w:fill="auto"/>
                            <w:vAlign w:val="center"/>
                            <w:hideMark/>
                          </w:tcPr>
                          <w:p w14:paraId="5DF74A1D"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72E314F9" w14:textId="77777777" w:rsidR="00A0212B" w:rsidRPr="000B59E3" w:rsidRDefault="00A0212B" w:rsidP="000131EC">
                            <w:pPr>
                              <w:widowControl/>
                              <w:spacing w:line="240" w:lineRule="exact"/>
                              <w:jc w:val="both"/>
                              <w:rPr>
                                <w:rFonts w:ascii="標楷體" w:eastAsia="標楷體" w:hAnsi="標楷體" w:cs="新細明體"/>
                                <w:color w:val="000000"/>
                                <w:spacing w:val="12"/>
                                <w:kern w:val="0"/>
                                <w:sz w:val="20"/>
                              </w:rPr>
                            </w:pPr>
                            <w:r w:rsidRPr="000B59E3">
                              <w:rPr>
                                <w:rFonts w:ascii="標楷體" w:eastAsia="標楷體" w:hAnsi="標楷體" w:cs="新細明體" w:hint="eastAsia"/>
                                <w:color w:val="000000"/>
                                <w:spacing w:val="12"/>
                                <w:kern w:val="0"/>
                                <w:sz w:val="20"/>
                              </w:rPr>
                              <w:t>建構開放政府及智慧城鄉服務</w:t>
                            </w:r>
                          </w:p>
                        </w:tc>
                        <w:tc>
                          <w:tcPr>
                            <w:tcW w:w="958" w:type="dxa"/>
                            <w:tcBorders>
                              <w:top w:val="nil"/>
                              <w:left w:val="nil"/>
                              <w:bottom w:val="single" w:sz="4" w:space="0" w:color="auto"/>
                              <w:right w:val="single" w:sz="4" w:space="0" w:color="auto"/>
                            </w:tcBorders>
                            <w:shd w:val="clear" w:color="auto" w:fill="auto"/>
                            <w:vAlign w:val="center"/>
                            <w:hideMark/>
                          </w:tcPr>
                          <w:p w14:paraId="0CA87784"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102,960 </w:t>
                            </w:r>
                          </w:p>
                        </w:tc>
                        <w:tc>
                          <w:tcPr>
                            <w:tcW w:w="956" w:type="dxa"/>
                            <w:tcBorders>
                              <w:top w:val="nil"/>
                              <w:left w:val="nil"/>
                              <w:bottom w:val="single" w:sz="4" w:space="0" w:color="auto"/>
                              <w:right w:val="single" w:sz="4" w:space="0" w:color="auto"/>
                            </w:tcBorders>
                            <w:shd w:val="clear" w:color="auto" w:fill="auto"/>
                            <w:vAlign w:val="center"/>
                            <w:hideMark/>
                          </w:tcPr>
                          <w:p w14:paraId="35FDBB8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51,480 </w:t>
                            </w:r>
                          </w:p>
                        </w:tc>
                        <w:tc>
                          <w:tcPr>
                            <w:tcW w:w="758" w:type="dxa"/>
                            <w:tcBorders>
                              <w:top w:val="nil"/>
                              <w:left w:val="nil"/>
                              <w:bottom w:val="single" w:sz="4" w:space="0" w:color="auto"/>
                              <w:right w:val="single" w:sz="4" w:space="0" w:color="auto"/>
                            </w:tcBorders>
                            <w:shd w:val="clear" w:color="auto" w:fill="auto"/>
                            <w:vAlign w:val="center"/>
                            <w:hideMark/>
                          </w:tcPr>
                          <w:p w14:paraId="620FE2D6"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51,454 </w:t>
                            </w:r>
                          </w:p>
                        </w:tc>
                        <w:tc>
                          <w:tcPr>
                            <w:tcW w:w="656" w:type="dxa"/>
                            <w:tcBorders>
                              <w:top w:val="nil"/>
                              <w:left w:val="nil"/>
                              <w:bottom w:val="single" w:sz="4" w:space="0" w:color="auto"/>
                              <w:right w:val="single" w:sz="4" w:space="0" w:color="auto"/>
                            </w:tcBorders>
                            <w:shd w:val="clear" w:color="auto" w:fill="auto"/>
                            <w:vAlign w:val="center"/>
                            <w:hideMark/>
                          </w:tcPr>
                          <w:p w14:paraId="167E1FCF"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 </w:t>
                            </w:r>
                          </w:p>
                        </w:tc>
                        <w:tc>
                          <w:tcPr>
                            <w:tcW w:w="896" w:type="dxa"/>
                            <w:tcBorders>
                              <w:top w:val="nil"/>
                              <w:left w:val="nil"/>
                              <w:bottom w:val="single" w:sz="4" w:space="0" w:color="auto"/>
                              <w:right w:val="single" w:sz="4" w:space="0" w:color="auto"/>
                            </w:tcBorders>
                            <w:shd w:val="clear" w:color="auto" w:fill="auto"/>
                            <w:vAlign w:val="center"/>
                            <w:hideMark/>
                          </w:tcPr>
                          <w:p w14:paraId="7F970988"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0.05 </w:t>
                            </w:r>
                          </w:p>
                        </w:tc>
                        <w:tc>
                          <w:tcPr>
                            <w:tcW w:w="756" w:type="dxa"/>
                            <w:tcBorders>
                              <w:top w:val="nil"/>
                              <w:left w:val="nil"/>
                              <w:bottom w:val="single" w:sz="4" w:space="0" w:color="auto"/>
                              <w:right w:val="single" w:sz="4" w:space="0" w:color="auto"/>
                            </w:tcBorders>
                            <w:shd w:val="clear" w:color="auto" w:fill="auto"/>
                            <w:vAlign w:val="center"/>
                            <w:hideMark/>
                          </w:tcPr>
                          <w:p w14:paraId="6055B598"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51,430 </w:t>
                            </w:r>
                          </w:p>
                        </w:tc>
                      </w:tr>
                      <w:tr w:rsidR="00A0212B" w:rsidRPr="00FE4B26" w14:paraId="63E012EC" w14:textId="77777777" w:rsidTr="000131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367F235D"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465" w:type="dxa"/>
                            <w:tcBorders>
                              <w:top w:val="nil"/>
                              <w:left w:val="nil"/>
                              <w:bottom w:val="single" w:sz="4" w:space="0" w:color="auto"/>
                              <w:right w:val="single" w:sz="4" w:space="0" w:color="auto"/>
                            </w:tcBorders>
                            <w:shd w:val="clear" w:color="auto" w:fill="auto"/>
                            <w:vAlign w:val="center"/>
                            <w:hideMark/>
                          </w:tcPr>
                          <w:p w14:paraId="467C6F17"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077" w:type="dxa"/>
                            <w:tcBorders>
                              <w:top w:val="nil"/>
                              <w:left w:val="nil"/>
                              <w:bottom w:val="single" w:sz="4" w:space="0" w:color="auto"/>
                              <w:right w:val="single" w:sz="4" w:space="0" w:color="auto"/>
                            </w:tcBorders>
                            <w:shd w:val="clear" w:color="auto" w:fill="auto"/>
                            <w:vAlign w:val="center"/>
                            <w:hideMark/>
                          </w:tcPr>
                          <w:p w14:paraId="2EBEAA0F"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638EE015"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臺鐵升級及改善東部服務</w:t>
                            </w:r>
                          </w:p>
                        </w:tc>
                        <w:tc>
                          <w:tcPr>
                            <w:tcW w:w="958" w:type="dxa"/>
                            <w:tcBorders>
                              <w:top w:val="nil"/>
                              <w:left w:val="nil"/>
                              <w:bottom w:val="single" w:sz="4" w:space="0" w:color="auto"/>
                              <w:right w:val="single" w:sz="4" w:space="0" w:color="auto"/>
                            </w:tcBorders>
                            <w:shd w:val="clear" w:color="auto" w:fill="auto"/>
                            <w:vAlign w:val="center"/>
                            <w:hideMark/>
                          </w:tcPr>
                          <w:p w14:paraId="7B376F4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5,891,168 </w:t>
                            </w:r>
                          </w:p>
                        </w:tc>
                        <w:tc>
                          <w:tcPr>
                            <w:tcW w:w="956" w:type="dxa"/>
                            <w:tcBorders>
                              <w:top w:val="nil"/>
                              <w:left w:val="nil"/>
                              <w:bottom w:val="single" w:sz="4" w:space="0" w:color="auto"/>
                              <w:right w:val="single" w:sz="4" w:space="0" w:color="auto"/>
                            </w:tcBorders>
                            <w:shd w:val="clear" w:color="auto" w:fill="auto"/>
                            <w:vAlign w:val="center"/>
                            <w:hideMark/>
                          </w:tcPr>
                          <w:p w14:paraId="18B4D4FB"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2,000,000 </w:t>
                            </w:r>
                          </w:p>
                        </w:tc>
                        <w:tc>
                          <w:tcPr>
                            <w:tcW w:w="758" w:type="dxa"/>
                            <w:tcBorders>
                              <w:top w:val="nil"/>
                              <w:left w:val="nil"/>
                              <w:bottom w:val="single" w:sz="4" w:space="0" w:color="auto"/>
                              <w:right w:val="single" w:sz="4" w:space="0" w:color="auto"/>
                            </w:tcBorders>
                            <w:shd w:val="clear" w:color="auto" w:fill="auto"/>
                            <w:vAlign w:val="center"/>
                            <w:hideMark/>
                          </w:tcPr>
                          <w:p w14:paraId="6C5B6118"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34,106 </w:t>
                            </w:r>
                          </w:p>
                        </w:tc>
                        <w:tc>
                          <w:tcPr>
                            <w:tcW w:w="656" w:type="dxa"/>
                            <w:tcBorders>
                              <w:top w:val="nil"/>
                              <w:left w:val="nil"/>
                              <w:bottom w:val="single" w:sz="4" w:space="0" w:color="auto"/>
                              <w:right w:val="single" w:sz="4" w:space="0" w:color="auto"/>
                            </w:tcBorders>
                            <w:shd w:val="clear" w:color="auto" w:fill="auto"/>
                            <w:vAlign w:val="center"/>
                            <w:hideMark/>
                          </w:tcPr>
                          <w:p w14:paraId="08A8D39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34,106 </w:t>
                            </w:r>
                          </w:p>
                        </w:tc>
                        <w:tc>
                          <w:tcPr>
                            <w:tcW w:w="896" w:type="dxa"/>
                            <w:tcBorders>
                              <w:top w:val="nil"/>
                              <w:left w:val="nil"/>
                              <w:bottom w:val="single" w:sz="4" w:space="0" w:color="auto"/>
                              <w:right w:val="single" w:sz="4" w:space="0" w:color="auto"/>
                            </w:tcBorders>
                            <w:shd w:val="clear" w:color="auto" w:fill="auto"/>
                            <w:vAlign w:val="center"/>
                            <w:hideMark/>
                          </w:tcPr>
                          <w:p w14:paraId="4FCA746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1.71 </w:t>
                            </w:r>
                          </w:p>
                        </w:tc>
                        <w:tc>
                          <w:tcPr>
                            <w:tcW w:w="756" w:type="dxa"/>
                            <w:tcBorders>
                              <w:top w:val="nil"/>
                              <w:left w:val="nil"/>
                              <w:bottom w:val="single" w:sz="4" w:space="0" w:color="auto"/>
                              <w:right w:val="single" w:sz="4" w:space="0" w:color="auto"/>
                            </w:tcBorders>
                            <w:shd w:val="clear" w:color="auto" w:fill="auto"/>
                            <w:vAlign w:val="center"/>
                            <w:hideMark/>
                          </w:tcPr>
                          <w:p w14:paraId="24E0EC90"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056381A4" w14:textId="77777777" w:rsidTr="000131EC">
                        <w:trPr>
                          <w:trHeight w:val="20"/>
                          <w:jc w:val="center"/>
                        </w:trPr>
                        <w:tc>
                          <w:tcPr>
                            <w:tcW w:w="681" w:type="dxa"/>
                            <w:vMerge/>
                            <w:tcBorders>
                              <w:left w:val="single" w:sz="4" w:space="0" w:color="auto"/>
                              <w:right w:val="single" w:sz="4" w:space="0" w:color="auto"/>
                            </w:tcBorders>
                            <w:shd w:val="clear" w:color="auto" w:fill="auto"/>
                            <w:vAlign w:val="center"/>
                            <w:hideMark/>
                          </w:tcPr>
                          <w:p w14:paraId="2642D3EF" w14:textId="77777777" w:rsidR="00A0212B" w:rsidRPr="00FE4B26" w:rsidRDefault="00A0212B" w:rsidP="000131EC">
                            <w:pPr>
                              <w:spacing w:line="240" w:lineRule="exact"/>
                              <w:ind w:left="480" w:firstLine="400"/>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6CC93663" w14:textId="0201E5FC" w:rsidR="00A0212B" w:rsidRPr="00FE4B26" w:rsidRDefault="00A0212B" w:rsidP="00CA7938">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公路</w:t>
                            </w:r>
                            <w:r>
                              <w:rPr>
                                <w:rFonts w:ascii="標楷體" w:eastAsia="標楷體" w:hAnsi="標楷體" w:cs="新細明體" w:hint="eastAsia"/>
                                <w:color w:val="000000"/>
                                <w:kern w:val="0"/>
                                <w:sz w:val="20"/>
                              </w:rPr>
                              <w:t>總</w:t>
                            </w:r>
                            <w:r w:rsidRPr="00FE4B26">
                              <w:rPr>
                                <w:rFonts w:ascii="標楷體" w:eastAsia="標楷體" w:hAnsi="標楷體" w:cs="新細明體" w:hint="eastAsia"/>
                                <w:color w:val="000000"/>
                                <w:kern w:val="0"/>
                                <w:sz w:val="20"/>
                              </w:rPr>
                              <w:t>局及所屬</w:t>
                            </w:r>
                            <w:r>
                              <w:rPr>
                                <w:rFonts w:ascii="標楷體" w:eastAsia="標楷體" w:hAnsi="標楷體" w:cs="新細明體" w:hint="eastAsia"/>
                                <w:color w:val="000000"/>
                                <w:kern w:val="0"/>
                                <w:sz w:val="20"/>
                              </w:rPr>
                              <w:t>（</w:t>
                            </w:r>
                            <w:r w:rsidRPr="00FE4B26">
                              <w:rPr>
                                <w:rFonts w:ascii="標楷體" w:eastAsia="標楷體" w:hAnsi="標楷體" w:cs="新細明體" w:hint="eastAsia"/>
                                <w:color w:val="000000"/>
                                <w:kern w:val="0"/>
                                <w:sz w:val="20"/>
                              </w:rPr>
                              <w:t>公路局及所屬</w:t>
                            </w:r>
                            <w:r>
                              <w:rPr>
                                <w:rFonts w:ascii="標楷體" w:eastAsia="標楷體" w:hAnsi="標楷體" w:cs="新細明體" w:hint="eastAsia"/>
                                <w:color w:val="000000"/>
                                <w:kern w:val="0"/>
                                <w:sz w:val="20"/>
                              </w:rPr>
                              <w:t>）</w:t>
                            </w:r>
                          </w:p>
                        </w:tc>
                        <w:tc>
                          <w:tcPr>
                            <w:tcW w:w="1077" w:type="dxa"/>
                            <w:tcBorders>
                              <w:top w:val="nil"/>
                              <w:left w:val="nil"/>
                              <w:bottom w:val="single" w:sz="4" w:space="0" w:color="auto"/>
                              <w:right w:val="single" w:sz="4" w:space="0" w:color="auto"/>
                            </w:tcBorders>
                            <w:shd w:val="clear" w:color="auto" w:fill="auto"/>
                            <w:vAlign w:val="center"/>
                            <w:hideMark/>
                          </w:tcPr>
                          <w:p w14:paraId="7E386780"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綠能建設</w:t>
                            </w:r>
                          </w:p>
                        </w:tc>
                        <w:tc>
                          <w:tcPr>
                            <w:tcW w:w="1389" w:type="dxa"/>
                            <w:tcBorders>
                              <w:top w:val="nil"/>
                              <w:left w:val="nil"/>
                              <w:bottom w:val="single" w:sz="4" w:space="0" w:color="auto"/>
                              <w:right w:val="single" w:sz="4" w:space="0" w:color="auto"/>
                            </w:tcBorders>
                            <w:shd w:val="clear" w:color="auto" w:fill="auto"/>
                            <w:vAlign w:val="center"/>
                            <w:hideMark/>
                          </w:tcPr>
                          <w:p w14:paraId="54E79D4C"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公共充電樁設置及區域充電需求評估計畫</w:t>
                            </w:r>
                          </w:p>
                        </w:tc>
                        <w:tc>
                          <w:tcPr>
                            <w:tcW w:w="958" w:type="dxa"/>
                            <w:tcBorders>
                              <w:top w:val="nil"/>
                              <w:left w:val="nil"/>
                              <w:bottom w:val="single" w:sz="4" w:space="0" w:color="auto"/>
                              <w:right w:val="single" w:sz="4" w:space="0" w:color="auto"/>
                            </w:tcBorders>
                            <w:shd w:val="clear" w:color="auto" w:fill="auto"/>
                            <w:vAlign w:val="center"/>
                            <w:hideMark/>
                          </w:tcPr>
                          <w:p w14:paraId="548A59EE"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970,000 </w:t>
                            </w:r>
                          </w:p>
                        </w:tc>
                        <w:tc>
                          <w:tcPr>
                            <w:tcW w:w="956" w:type="dxa"/>
                            <w:tcBorders>
                              <w:top w:val="nil"/>
                              <w:left w:val="nil"/>
                              <w:bottom w:val="single" w:sz="4" w:space="0" w:color="auto"/>
                              <w:right w:val="single" w:sz="4" w:space="0" w:color="auto"/>
                            </w:tcBorders>
                            <w:shd w:val="clear" w:color="auto" w:fill="auto"/>
                            <w:vAlign w:val="center"/>
                            <w:hideMark/>
                          </w:tcPr>
                          <w:p w14:paraId="5AA8D9D3"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323,000 </w:t>
                            </w:r>
                          </w:p>
                        </w:tc>
                        <w:tc>
                          <w:tcPr>
                            <w:tcW w:w="758" w:type="dxa"/>
                            <w:tcBorders>
                              <w:top w:val="nil"/>
                              <w:left w:val="nil"/>
                              <w:bottom w:val="single" w:sz="4" w:space="0" w:color="auto"/>
                              <w:right w:val="single" w:sz="4" w:space="0" w:color="auto"/>
                            </w:tcBorders>
                            <w:shd w:val="clear" w:color="auto" w:fill="auto"/>
                            <w:vAlign w:val="center"/>
                            <w:hideMark/>
                          </w:tcPr>
                          <w:p w14:paraId="1AB94FBE"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189,644 </w:t>
                            </w:r>
                          </w:p>
                        </w:tc>
                        <w:tc>
                          <w:tcPr>
                            <w:tcW w:w="656" w:type="dxa"/>
                            <w:tcBorders>
                              <w:top w:val="nil"/>
                              <w:left w:val="nil"/>
                              <w:bottom w:val="single" w:sz="4" w:space="0" w:color="auto"/>
                              <w:right w:val="single" w:sz="4" w:space="0" w:color="auto"/>
                            </w:tcBorders>
                            <w:shd w:val="clear" w:color="auto" w:fill="auto"/>
                            <w:vAlign w:val="center"/>
                            <w:hideMark/>
                          </w:tcPr>
                          <w:p w14:paraId="5234E891"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25,029 </w:t>
                            </w:r>
                          </w:p>
                        </w:tc>
                        <w:tc>
                          <w:tcPr>
                            <w:tcW w:w="896" w:type="dxa"/>
                            <w:tcBorders>
                              <w:top w:val="nil"/>
                              <w:left w:val="nil"/>
                              <w:bottom w:val="single" w:sz="4" w:space="0" w:color="auto"/>
                              <w:right w:val="single" w:sz="4" w:space="0" w:color="auto"/>
                            </w:tcBorders>
                            <w:shd w:val="clear" w:color="auto" w:fill="auto"/>
                            <w:vAlign w:val="center"/>
                            <w:hideMark/>
                          </w:tcPr>
                          <w:p w14:paraId="52CAD38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7.75 </w:t>
                            </w:r>
                          </w:p>
                        </w:tc>
                        <w:tc>
                          <w:tcPr>
                            <w:tcW w:w="756" w:type="dxa"/>
                            <w:tcBorders>
                              <w:top w:val="nil"/>
                              <w:left w:val="nil"/>
                              <w:bottom w:val="single" w:sz="4" w:space="0" w:color="auto"/>
                              <w:right w:val="single" w:sz="4" w:space="0" w:color="auto"/>
                            </w:tcBorders>
                            <w:shd w:val="clear" w:color="auto" w:fill="auto"/>
                            <w:vAlign w:val="center"/>
                            <w:hideMark/>
                          </w:tcPr>
                          <w:p w14:paraId="4A219525"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164,615 </w:t>
                            </w:r>
                          </w:p>
                        </w:tc>
                      </w:tr>
                      <w:tr w:rsidR="00A0212B" w:rsidRPr="00FE4B26" w14:paraId="7CD97E9A" w14:textId="77777777" w:rsidTr="000131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57111D8" w14:textId="77777777" w:rsidR="00A0212B" w:rsidRPr="00FE4B26" w:rsidRDefault="00A0212B" w:rsidP="000131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6DC67E2E"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鐵道局及所屬</w:t>
                            </w:r>
                          </w:p>
                        </w:tc>
                        <w:tc>
                          <w:tcPr>
                            <w:tcW w:w="1077" w:type="dxa"/>
                            <w:tcBorders>
                              <w:top w:val="nil"/>
                              <w:left w:val="nil"/>
                              <w:bottom w:val="single" w:sz="4" w:space="0" w:color="auto"/>
                              <w:right w:val="single" w:sz="4" w:space="0" w:color="auto"/>
                            </w:tcBorders>
                            <w:shd w:val="clear" w:color="auto" w:fill="auto"/>
                            <w:vAlign w:val="center"/>
                            <w:hideMark/>
                          </w:tcPr>
                          <w:p w14:paraId="72E3AE6F"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23A7BEC1"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都市推動捷運</w:t>
                            </w:r>
                          </w:p>
                        </w:tc>
                        <w:tc>
                          <w:tcPr>
                            <w:tcW w:w="958" w:type="dxa"/>
                            <w:tcBorders>
                              <w:top w:val="nil"/>
                              <w:left w:val="nil"/>
                              <w:bottom w:val="single" w:sz="4" w:space="0" w:color="auto"/>
                              <w:right w:val="single" w:sz="4" w:space="0" w:color="auto"/>
                            </w:tcBorders>
                            <w:shd w:val="clear" w:color="auto" w:fill="auto"/>
                            <w:vAlign w:val="center"/>
                            <w:hideMark/>
                          </w:tcPr>
                          <w:p w14:paraId="754DB14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977,900 </w:t>
                            </w:r>
                          </w:p>
                        </w:tc>
                        <w:tc>
                          <w:tcPr>
                            <w:tcW w:w="956" w:type="dxa"/>
                            <w:tcBorders>
                              <w:top w:val="nil"/>
                              <w:left w:val="nil"/>
                              <w:bottom w:val="single" w:sz="4" w:space="0" w:color="auto"/>
                              <w:right w:val="single" w:sz="4" w:space="0" w:color="auto"/>
                            </w:tcBorders>
                            <w:shd w:val="clear" w:color="auto" w:fill="auto"/>
                            <w:vAlign w:val="center"/>
                            <w:hideMark/>
                          </w:tcPr>
                          <w:p w14:paraId="4096CF5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292,900 </w:t>
                            </w:r>
                          </w:p>
                        </w:tc>
                        <w:tc>
                          <w:tcPr>
                            <w:tcW w:w="758" w:type="dxa"/>
                            <w:tcBorders>
                              <w:top w:val="nil"/>
                              <w:left w:val="nil"/>
                              <w:bottom w:val="single" w:sz="4" w:space="0" w:color="auto"/>
                              <w:right w:val="single" w:sz="4" w:space="0" w:color="auto"/>
                            </w:tcBorders>
                            <w:shd w:val="clear" w:color="auto" w:fill="auto"/>
                            <w:vAlign w:val="center"/>
                            <w:hideMark/>
                          </w:tcPr>
                          <w:p w14:paraId="749D9286"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193,899 </w:t>
                            </w:r>
                          </w:p>
                        </w:tc>
                        <w:tc>
                          <w:tcPr>
                            <w:tcW w:w="656" w:type="dxa"/>
                            <w:tcBorders>
                              <w:top w:val="nil"/>
                              <w:left w:val="nil"/>
                              <w:bottom w:val="single" w:sz="4" w:space="0" w:color="auto"/>
                              <w:right w:val="single" w:sz="4" w:space="0" w:color="auto"/>
                            </w:tcBorders>
                            <w:shd w:val="clear" w:color="auto" w:fill="auto"/>
                            <w:vAlign w:val="center"/>
                            <w:hideMark/>
                          </w:tcPr>
                          <w:p w14:paraId="5C0B0EE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21,304 </w:t>
                            </w:r>
                          </w:p>
                        </w:tc>
                        <w:tc>
                          <w:tcPr>
                            <w:tcW w:w="896" w:type="dxa"/>
                            <w:tcBorders>
                              <w:top w:val="nil"/>
                              <w:left w:val="nil"/>
                              <w:bottom w:val="single" w:sz="4" w:space="0" w:color="auto"/>
                              <w:right w:val="single" w:sz="4" w:space="0" w:color="auto"/>
                            </w:tcBorders>
                            <w:shd w:val="clear" w:color="auto" w:fill="auto"/>
                            <w:vAlign w:val="center"/>
                            <w:hideMark/>
                          </w:tcPr>
                          <w:p w14:paraId="2F48517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7.27 </w:t>
                            </w:r>
                          </w:p>
                        </w:tc>
                        <w:tc>
                          <w:tcPr>
                            <w:tcW w:w="756" w:type="dxa"/>
                            <w:tcBorders>
                              <w:top w:val="nil"/>
                              <w:left w:val="nil"/>
                              <w:bottom w:val="single" w:sz="4" w:space="0" w:color="auto"/>
                              <w:right w:val="single" w:sz="4" w:space="0" w:color="auto"/>
                            </w:tcBorders>
                            <w:shd w:val="clear" w:color="auto" w:fill="auto"/>
                            <w:vAlign w:val="center"/>
                            <w:hideMark/>
                          </w:tcPr>
                          <w:p w14:paraId="046A4B5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172,595 </w:t>
                            </w:r>
                          </w:p>
                        </w:tc>
                      </w:tr>
                      <w:tr w:rsidR="00A0212B" w:rsidRPr="00FE4B26" w14:paraId="7FB2B4F9" w14:textId="77777777" w:rsidTr="000131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3EDAE204"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465" w:type="dxa"/>
                            <w:tcBorders>
                              <w:top w:val="nil"/>
                              <w:left w:val="nil"/>
                              <w:bottom w:val="single" w:sz="4" w:space="0" w:color="auto"/>
                              <w:right w:val="single" w:sz="4" w:space="0" w:color="auto"/>
                            </w:tcBorders>
                            <w:shd w:val="clear" w:color="auto" w:fill="auto"/>
                            <w:vAlign w:val="center"/>
                            <w:hideMark/>
                          </w:tcPr>
                          <w:p w14:paraId="6E1D87E5"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077" w:type="dxa"/>
                            <w:tcBorders>
                              <w:top w:val="nil"/>
                              <w:left w:val="nil"/>
                              <w:bottom w:val="single" w:sz="4" w:space="0" w:color="auto"/>
                              <w:right w:val="single" w:sz="4" w:space="0" w:color="auto"/>
                            </w:tcBorders>
                            <w:shd w:val="clear" w:color="auto" w:fill="auto"/>
                            <w:vAlign w:val="center"/>
                            <w:hideMark/>
                          </w:tcPr>
                          <w:p w14:paraId="7DF3513A"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7A8013C8"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加速推動地方創生</w:t>
                            </w:r>
                          </w:p>
                        </w:tc>
                        <w:tc>
                          <w:tcPr>
                            <w:tcW w:w="958" w:type="dxa"/>
                            <w:tcBorders>
                              <w:top w:val="nil"/>
                              <w:left w:val="nil"/>
                              <w:bottom w:val="single" w:sz="4" w:space="0" w:color="auto"/>
                              <w:right w:val="single" w:sz="4" w:space="0" w:color="auto"/>
                            </w:tcBorders>
                            <w:shd w:val="clear" w:color="auto" w:fill="auto"/>
                            <w:vAlign w:val="center"/>
                            <w:hideMark/>
                          </w:tcPr>
                          <w:p w14:paraId="1E83C74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60,400 </w:t>
                            </w:r>
                          </w:p>
                        </w:tc>
                        <w:tc>
                          <w:tcPr>
                            <w:tcW w:w="956" w:type="dxa"/>
                            <w:tcBorders>
                              <w:top w:val="nil"/>
                              <w:left w:val="nil"/>
                              <w:bottom w:val="single" w:sz="4" w:space="0" w:color="auto"/>
                              <w:right w:val="single" w:sz="4" w:space="0" w:color="auto"/>
                            </w:tcBorders>
                            <w:shd w:val="clear" w:color="auto" w:fill="auto"/>
                            <w:vAlign w:val="center"/>
                            <w:hideMark/>
                          </w:tcPr>
                          <w:p w14:paraId="4080F716"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40,000 </w:t>
                            </w:r>
                          </w:p>
                        </w:tc>
                        <w:tc>
                          <w:tcPr>
                            <w:tcW w:w="758" w:type="dxa"/>
                            <w:tcBorders>
                              <w:top w:val="nil"/>
                              <w:left w:val="nil"/>
                              <w:bottom w:val="single" w:sz="4" w:space="0" w:color="auto"/>
                              <w:right w:val="single" w:sz="4" w:space="0" w:color="auto"/>
                            </w:tcBorders>
                            <w:shd w:val="clear" w:color="auto" w:fill="auto"/>
                            <w:vAlign w:val="center"/>
                            <w:hideMark/>
                          </w:tcPr>
                          <w:p w14:paraId="2E93F058"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1,567 </w:t>
                            </w:r>
                          </w:p>
                        </w:tc>
                        <w:tc>
                          <w:tcPr>
                            <w:tcW w:w="656" w:type="dxa"/>
                            <w:tcBorders>
                              <w:top w:val="nil"/>
                              <w:left w:val="nil"/>
                              <w:bottom w:val="single" w:sz="4" w:space="0" w:color="auto"/>
                              <w:right w:val="single" w:sz="4" w:space="0" w:color="auto"/>
                            </w:tcBorders>
                            <w:shd w:val="clear" w:color="auto" w:fill="auto"/>
                            <w:vAlign w:val="center"/>
                            <w:hideMark/>
                          </w:tcPr>
                          <w:p w14:paraId="7C782247"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1,567 </w:t>
                            </w:r>
                          </w:p>
                        </w:tc>
                        <w:tc>
                          <w:tcPr>
                            <w:tcW w:w="896" w:type="dxa"/>
                            <w:tcBorders>
                              <w:top w:val="nil"/>
                              <w:left w:val="nil"/>
                              <w:bottom w:val="single" w:sz="4" w:space="0" w:color="auto"/>
                              <w:right w:val="single" w:sz="4" w:space="0" w:color="auto"/>
                            </w:tcBorders>
                            <w:shd w:val="clear" w:color="auto" w:fill="auto"/>
                            <w:vAlign w:val="center"/>
                            <w:hideMark/>
                          </w:tcPr>
                          <w:p w14:paraId="27C7F47B"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3.92 </w:t>
                            </w:r>
                          </w:p>
                        </w:tc>
                        <w:tc>
                          <w:tcPr>
                            <w:tcW w:w="756" w:type="dxa"/>
                            <w:tcBorders>
                              <w:top w:val="nil"/>
                              <w:left w:val="nil"/>
                              <w:bottom w:val="single" w:sz="4" w:space="0" w:color="auto"/>
                              <w:right w:val="single" w:sz="4" w:space="0" w:color="auto"/>
                            </w:tcBorders>
                            <w:shd w:val="clear" w:color="auto" w:fill="auto"/>
                            <w:vAlign w:val="center"/>
                            <w:hideMark/>
                          </w:tcPr>
                          <w:p w14:paraId="3CFAE1B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47D8CB71" w14:textId="77777777" w:rsidTr="000131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05D59FD5"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465" w:type="dxa"/>
                            <w:tcBorders>
                              <w:top w:val="nil"/>
                              <w:left w:val="nil"/>
                              <w:bottom w:val="single" w:sz="4" w:space="0" w:color="auto"/>
                              <w:right w:val="single" w:sz="4" w:space="0" w:color="auto"/>
                            </w:tcBorders>
                            <w:shd w:val="clear" w:color="auto" w:fill="auto"/>
                            <w:vAlign w:val="center"/>
                            <w:hideMark/>
                          </w:tcPr>
                          <w:p w14:paraId="6F616D17"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077" w:type="dxa"/>
                            <w:tcBorders>
                              <w:top w:val="nil"/>
                              <w:left w:val="nil"/>
                              <w:bottom w:val="single" w:sz="4" w:space="0" w:color="auto"/>
                              <w:right w:val="single" w:sz="4" w:space="0" w:color="auto"/>
                            </w:tcBorders>
                            <w:shd w:val="clear" w:color="auto" w:fill="auto"/>
                            <w:vAlign w:val="center"/>
                            <w:hideMark/>
                          </w:tcPr>
                          <w:p w14:paraId="07A30CD6" w14:textId="77777777" w:rsidR="00A0212B" w:rsidRPr="00FE4B26" w:rsidRDefault="00A0212B" w:rsidP="000131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15301C6D" w14:textId="77777777" w:rsidR="00A0212B" w:rsidRPr="00FE4B26" w:rsidRDefault="00A0212B" w:rsidP="000131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基礎建設環境</w:t>
                            </w:r>
                          </w:p>
                        </w:tc>
                        <w:tc>
                          <w:tcPr>
                            <w:tcW w:w="958" w:type="dxa"/>
                            <w:tcBorders>
                              <w:top w:val="nil"/>
                              <w:left w:val="nil"/>
                              <w:bottom w:val="single" w:sz="4" w:space="0" w:color="auto"/>
                              <w:right w:val="single" w:sz="4" w:space="0" w:color="auto"/>
                            </w:tcBorders>
                            <w:shd w:val="clear" w:color="auto" w:fill="auto"/>
                            <w:vAlign w:val="center"/>
                            <w:hideMark/>
                          </w:tcPr>
                          <w:p w14:paraId="71BF3B4A"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597,380 </w:t>
                            </w:r>
                          </w:p>
                        </w:tc>
                        <w:tc>
                          <w:tcPr>
                            <w:tcW w:w="956" w:type="dxa"/>
                            <w:tcBorders>
                              <w:top w:val="nil"/>
                              <w:left w:val="nil"/>
                              <w:bottom w:val="single" w:sz="4" w:space="0" w:color="auto"/>
                              <w:right w:val="single" w:sz="4" w:space="0" w:color="auto"/>
                            </w:tcBorders>
                            <w:shd w:val="clear" w:color="auto" w:fill="auto"/>
                            <w:vAlign w:val="center"/>
                            <w:hideMark/>
                          </w:tcPr>
                          <w:p w14:paraId="505280D7"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320,370 </w:t>
                            </w:r>
                          </w:p>
                        </w:tc>
                        <w:tc>
                          <w:tcPr>
                            <w:tcW w:w="758" w:type="dxa"/>
                            <w:tcBorders>
                              <w:top w:val="nil"/>
                              <w:left w:val="nil"/>
                              <w:bottom w:val="single" w:sz="4" w:space="0" w:color="auto"/>
                              <w:right w:val="single" w:sz="4" w:space="0" w:color="auto"/>
                            </w:tcBorders>
                            <w:shd w:val="clear" w:color="auto" w:fill="auto"/>
                            <w:vAlign w:val="center"/>
                            <w:hideMark/>
                          </w:tcPr>
                          <w:p w14:paraId="082594CC" w14:textId="77777777" w:rsidR="00A0212B" w:rsidRPr="00FE4B26" w:rsidRDefault="00A0212B" w:rsidP="000131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69,933 </w:t>
                            </w:r>
                          </w:p>
                        </w:tc>
                        <w:tc>
                          <w:tcPr>
                            <w:tcW w:w="656" w:type="dxa"/>
                            <w:tcBorders>
                              <w:top w:val="nil"/>
                              <w:left w:val="nil"/>
                              <w:bottom w:val="single" w:sz="4" w:space="0" w:color="auto"/>
                              <w:right w:val="single" w:sz="4" w:space="0" w:color="auto"/>
                            </w:tcBorders>
                            <w:shd w:val="clear" w:color="auto" w:fill="auto"/>
                            <w:vAlign w:val="center"/>
                            <w:hideMark/>
                          </w:tcPr>
                          <w:p w14:paraId="24C9FDAC"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24,933 </w:t>
                            </w:r>
                          </w:p>
                        </w:tc>
                        <w:tc>
                          <w:tcPr>
                            <w:tcW w:w="896" w:type="dxa"/>
                            <w:tcBorders>
                              <w:top w:val="nil"/>
                              <w:left w:val="nil"/>
                              <w:bottom w:val="single" w:sz="4" w:space="0" w:color="auto"/>
                              <w:right w:val="single" w:sz="4" w:space="0" w:color="auto"/>
                            </w:tcBorders>
                            <w:shd w:val="clear" w:color="auto" w:fill="auto"/>
                            <w:vAlign w:val="center"/>
                            <w:hideMark/>
                          </w:tcPr>
                          <w:p w14:paraId="741585B9"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7.78 </w:t>
                            </w:r>
                          </w:p>
                        </w:tc>
                        <w:tc>
                          <w:tcPr>
                            <w:tcW w:w="756" w:type="dxa"/>
                            <w:tcBorders>
                              <w:top w:val="nil"/>
                              <w:left w:val="nil"/>
                              <w:bottom w:val="single" w:sz="4" w:space="0" w:color="auto"/>
                              <w:right w:val="single" w:sz="4" w:space="0" w:color="auto"/>
                            </w:tcBorders>
                            <w:shd w:val="clear" w:color="auto" w:fill="auto"/>
                            <w:vAlign w:val="center"/>
                            <w:hideMark/>
                          </w:tcPr>
                          <w:p w14:paraId="78B80D07" w14:textId="77777777" w:rsidR="00A0212B" w:rsidRPr="00FE4B26" w:rsidRDefault="00A0212B" w:rsidP="000131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45,000 </w:t>
                            </w:r>
                          </w:p>
                        </w:tc>
                      </w:tr>
                      <w:tr w:rsidR="00A0212B" w:rsidRPr="00FE4B26" w14:paraId="7A49D8E0" w14:textId="77777777" w:rsidTr="000131EC">
                        <w:trPr>
                          <w:trHeight w:val="20"/>
                          <w:jc w:val="center"/>
                        </w:trPr>
                        <w:tc>
                          <w:tcPr>
                            <w:tcW w:w="9592" w:type="dxa"/>
                            <w:gridSpan w:val="10"/>
                            <w:tcBorders>
                              <w:top w:val="single" w:sz="4" w:space="0" w:color="auto"/>
                            </w:tcBorders>
                            <w:shd w:val="clear" w:color="auto" w:fill="auto"/>
                          </w:tcPr>
                          <w:p w14:paraId="6301784E" w14:textId="77777777" w:rsidR="00A0212B" w:rsidRPr="0081537A" w:rsidRDefault="00A0212B" w:rsidP="000131EC">
                            <w:pPr>
                              <w:spacing w:line="240" w:lineRule="exact"/>
                              <w:rPr>
                                <w:rFonts w:ascii="標楷體" w:eastAsia="標楷體" w:hAnsi="標楷體" w:cs="新細明體"/>
                                <w:color w:val="000000"/>
                                <w:kern w:val="0"/>
                                <w:sz w:val="18"/>
                                <w:szCs w:val="18"/>
                              </w:rPr>
                            </w:pPr>
                            <w:r w:rsidRPr="0081537A">
                              <w:rPr>
                                <w:rFonts w:ascii="標楷體" w:eastAsia="標楷體" w:hAnsi="標楷體" w:cstheme="minorBidi" w:hint="eastAsia"/>
                                <w:sz w:val="18"/>
                                <w:szCs w:val="18"/>
                              </w:rPr>
                              <w:t>註：1</w:t>
                            </w:r>
                            <w:r w:rsidRPr="0081537A">
                              <w:rPr>
                                <w:rFonts w:ascii="標楷體" w:eastAsia="標楷體" w:hAnsi="標楷體" w:cstheme="minorBidi"/>
                                <w:sz w:val="18"/>
                                <w:szCs w:val="18"/>
                              </w:rPr>
                              <w:t>.</w:t>
                            </w:r>
                            <w:r w:rsidRPr="0081537A">
                              <w:rPr>
                                <w:rFonts w:ascii="標楷體" w:eastAsia="標楷體" w:hAnsi="標楷體" w:cstheme="minorBidi" w:hint="eastAsia"/>
                                <w:sz w:val="18"/>
                                <w:szCs w:val="18"/>
                              </w:rPr>
                              <w:t>實現率=實現數/</w:t>
                            </w:r>
                            <w:r w:rsidRPr="0081537A">
                              <w:rPr>
                                <w:rFonts w:ascii="標楷體" w:eastAsia="標楷體" w:hAnsi="標楷體" w:cs="新細明體" w:hint="eastAsia"/>
                                <w:color w:val="000000"/>
                                <w:kern w:val="0"/>
                                <w:sz w:val="18"/>
                                <w:szCs w:val="18"/>
                              </w:rPr>
                              <w:t>112年度分配預算數</w:t>
                            </w:r>
                            <w:r w:rsidRPr="0081537A">
                              <w:rPr>
                                <w:rFonts w:ascii="標楷體" w:eastAsia="標楷體" w:hAnsi="標楷體" w:cs="新細明體"/>
                                <w:color w:val="000000"/>
                                <w:kern w:val="0"/>
                                <w:sz w:val="18"/>
                                <w:szCs w:val="18"/>
                              </w:rPr>
                              <w:t>×100</w:t>
                            </w:r>
                            <w:r w:rsidRPr="0078131B">
                              <w:rPr>
                                <w:rFonts w:ascii="標楷體" w:eastAsia="標楷體" w:hAnsi="標楷體" w:cs="新細明體" w:hint="eastAsia"/>
                                <w:color w:val="000000"/>
                                <w:kern w:val="0"/>
                                <w:sz w:val="18"/>
                                <w:szCs w:val="18"/>
                              </w:rPr>
                              <w:t>％</w:t>
                            </w:r>
                            <w:r w:rsidRPr="0081537A">
                              <w:rPr>
                                <w:rFonts w:ascii="標楷體" w:eastAsia="標楷體" w:hAnsi="標楷體" w:cs="新細明體" w:hint="eastAsia"/>
                                <w:color w:val="000000"/>
                                <w:kern w:val="0"/>
                                <w:sz w:val="18"/>
                                <w:szCs w:val="18"/>
                              </w:rPr>
                              <w:t>。</w:t>
                            </w:r>
                          </w:p>
                          <w:p w14:paraId="4A712266" w14:textId="77777777" w:rsidR="00A0212B" w:rsidRPr="00FE4B26" w:rsidRDefault="00A0212B" w:rsidP="000131EC">
                            <w:pPr>
                              <w:spacing w:line="240" w:lineRule="exact"/>
                              <w:ind w:firstLineChars="200" w:firstLine="360"/>
                              <w:rPr>
                                <w:rFonts w:ascii="標楷體" w:eastAsia="標楷體" w:hAnsi="標楷體" w:cstheme="minorBidi"/>
                                <w:kern w:val="0"/>
                                <w:sz w:val="18"/>
                                <w:szCs w:val="18"/>
                              </w:rPr>
                            </w:pPr>
                            <w:r>
                              <w:rPr>
                                <w:rFonts w:ascii="標楷體" w:eastAsia="標楷體" w:hAnsi="標楷體" w:cstheme="minorBidi"/>
                                <w:sz w:val="18"/>
                                <w:szCs w:val="18"/>
                              </w:rPr>
                              <w:t>2.</w:t>
                            </w:r>
                            <w:r w:rsidRPr="00FE4B26">
                              <w:rPr>
                                <w:rFonts w:ascii="標楷體" w:eastAsia="標楷體" w:hAnsi="標楷體" w:cstheme="minorBidi" w:hint="eastAsia"/>
                                <w:sz w:val="18"/>
                                <w:szCs w:val="18"/>
                              </w:rPr>
                              <w:t>資料來源：整理自</w:t>
                            </w:r>
                            <w:r w:rsidRPr="00FE4B26">
                              <w:rPr>
                                <w:rFonts w:ascii="標楷體" w:eastAsia="標楷體" w:hAnsi="標楷體" w:cs="新細明體" w:hint="eastAsia"/>
                                <w:kern w:val="0"/>
                                <w:sz w:val="18"/>
                                <w:szCs w:val="18"/>
                              </w:rPr>
                              <w:t>行政院</w:t>
                            </w:r>
                            <w:r w:rsidRPr="00FE4B26">
                              <w:rPr>
                                <w:rFonts w:ascii="標楷體" w:eastAsia="標楷體" w:hAnsi="標楷體" w:cstheme="minorBidi" w:hint="eastAsia"/>
                                <w:sz w:val="18"/>
                                <w:szCs w:val="18"/>
                              </w:rPr>
                              <w:t>112年度中央政府總決算總說明、主要表及相關附屬表（第1冊）。</w:t>
                            </w:r>
                          </w:p>
                          <w:p w14:paraId="714189A1" w14:textId="77777777" w:rsidR="00A0212B" w:rsidRPr="00FE4B26" w:rsidRDefault="00A0212B" w:rsidP="000131EC">
                            <w:pPr>
                              <w:widowControl/>
                              <w:spacing w:line="240" w:lineRule="exact"/>
                              <w:rPr>
                                <w:rFonts w:ascii="標楷體" w:eastAsia="標楷體" w:hAnsi="標楷體" w:cs="新細明體"/>
                                <w:color w:val="000000"/>
                                <w:kern w:val="0"/>
                                <w:sz w:val="20"/>
                              </w:rPr>
                            </w:pPr>
                          </w:p>
                        </w:tc>
                      </w:tr>
                    </w:tbl>
                    <w:p w14:paraId="7E11FF15" w14:textId="77777777" w:rsidR="00A0212B" w:rsidRPr="00CC045A" w:rsidRDefault="00A0212B" w:rsidP="008A6163">
                      <w:pPr>
                        <w:spacing w:line="220" w:lineRule="exact"/>
                        <w:ind w:leftChars="155" w:left="552" w:hangingChars="100" w:hanging="180"/>
                        <w:jc w:val="center"/>
                        <w:rPr>
                          <w:rFonts w:ascii="標楷體" w:eastAsia="標楷體" w:hAnsi="標楷體"/>
                          <w:sz w:val="18"/>
                        </w:rPr>
                      </w:pPr>
                    </w:p>
                  </w:txbxContent>
                </v:textbox>
                <w10:wrap type="tight" anchorx="page" anchory="margin"/>
              </v:shape>
            </w:pict>
          </mc:Fallback>
        </mc:AlternateContent>
      </w:r>
      <w:r w:rsidR="005774CC" w:rsidRPr="00FE4B26">
        <w:rPr>
          <w:rFonts w:ascii="標楷體" w:eastAsia="標楷體" w:hAnsi="標楷體" w:cstheme="minorBidi" w:hint="eastAsia"/>
          <w:bCs/>
          <w:noProof/>
          <w:spacing w:val="-20"/>
        </w:rPr>
        <mc:AlternateContent>
          <mc:Choice Requires="wps">
            <w:drawing>
              <wp:anchor distT="0" distB="0" distL="114300" distR="114300" simplePos="0" relativeHeight="251667456" behindDoc="1" locked="0" layoutInCell="1" allowOverlap="1" wp14:anchorId="76B0C161" wp14:editId="1D5A2422">
                <wp:simplePos x="0" y="0"/>
                <wp:positionH relativeFrom="page">
                  <wp:posOffset>581025</wp:posOffset>
                </wp:positionH>
                <wp:positionV relativeFrom="margin">
                  <wp:posOffset>101600</wp:posOffset>
                </wp:positionV>
                <wp:extent cx="6374765" cy="4255135"/>
                <wp:effectExtent l="0" t="0" r="6985" b="0"/>
                <wp:wrapTight wrapText="bothSides">
                  <wp:wrapPolygon edited="0">
                    <wp:start x="0" y="0"/>
                    <wp:lineTo x="0" y="21468"/>
                    <wp:lineTo x="21559" y="21468"/>
                    <wp:lineTo x="21559" y="0"/>
                    <wp:lineTo x="0" y="0"/>
                  </wp:wrapPolygon>
                </wp:wrapTight>
                <wp:docPr id="84" name="文字方塊 84"/>
                <wp:cNvGraphicFramePr/>
                <a:graphic xmlns:a="http://schemas.openxmlformats.org/drawingml/2006/main">
                  <a:graphicData uri="http://schemas.microsoft.com/office/word/2010/wordprocessingShape">
                    <wps:wsp>
                      <wps:cNvSpPr txBox="1"/>
                      <wps:spPr>
                        <a:xfrm>
                          <a:off x="0" y="0"/>
                          <a:ext cx="6374765" cy="4255135"/>
                        </a:xfrm>
                        <a:prstGeom prst="rect">
                          <a:avLst/>
                        </a:prstGeom>
                        <a:solidFill>
                          <a:sysClr val="window" lastClr="FFFFFF"/>
                        </a:solidFill>
                        <a:ln w="6350">
                          <a:noFill/>
                        </a:ln>
                        <a:effectLst/>
                      </wps:spPr>
                      <wps:txbx>
                        <w:txbxContent>
                          <w:tbl>
                            <w:tblPr>
                              <w:tblW w:w="9659" w:type="dxa"/>
                              <w:jc w:val="center"/>
                              <w:tblCellMar>
                                <w:left w:w="28" w:type="dxa"/>
                                <w:right w:w="28" w:type="dxa"/>
                              </w:tblCellMar>
                              <w:tblLook w:val="04A0" w:firstRow="1" w:lastRow="0" w:firstColumn="1" w:lastColumn="0" w:noHBand="0" w:noVBand="1"/>
                            </w:tblPr>
                            <w:tblGrid>
                              <w:gridCol w:w="2137"/>
                              <w:gridCol w:w="1159"/>
                              <w:gridCol w:w="1159"/>
                              <w:gridCol w:w="1058"/>
                              <w:gridCol w:w="1058"/>
                              <w:gridCol w:w="896"/>
                              <w:gridCol w:w="1058"/>
                              <w:gridCol w:w="1134"/>
                            </w:tblGrid>
                            <w:tr w:rsidR="00A0212B" w:rsidRPr="00FE4B26" w14:paraId="1519BCBA" w14:textId="77777777" w:rsidTr="000131EC">
                              <w:trPr>
                                <w:trHeight w:val="20"/>
                                <w:jc w:val="center"/>
                              </w:trPr>
                              <w:tc>
                                <w:tcPr>
                                  <w:tcW w:w="9659" w:type="dxa"/>
                                  <w:gridSpan w:val="8"/>
                                  <w:shd w:val="clear" w:color="auto" w:fill="auto"/>
                                  <w:vAlign w:val="center"/>
                                </w:tcPr>
                                <w:p w14:paraId="2A90EE7B" w14:textId="452ADE3A" w:rsidR="00A0212B" w:rsidRPr="00FE4B26" w:rsidRDefault="00A0212B">
                                  <w:pPr>
                                    <w:widowControl/>
                                    <w:spacing w:line="240" w:lineRule="exact"/>
                                    <w:jc w:val="center"/>
                                    <w:rPr>
                                      <w:rFonts w:ascii="標楷體" w:eastAsia="標楷體" w:hAnsi="標楷體" w:cs="新細明體"/>
                                      <w:kern w:val="0"/>
                                      <w:sz w:val="20"/>
                                    </w:rPr>
                                  </w:pPr>
                                  <w:r w:rsidRPr="00FE4B26">
                                    <w:rPr>
                                      <w:rFonts w:ascii="標楷體" w:eastAsia="標楷體" w:hAnsi="標楷體" w:hint="eastAsia"/>
                                      <w:b/>
                                      <w:bCs/>
                                    </w:rPr>
                                    <w:t>表</w:t>
                                  </w:r>
                                  <w:r>
                                    <w:rPr>
                                      <w:rFonts w:ascii="標楷體" w:eastAsia="標楷體" w:hAnsi="標楷體"/>
                                      <w:b/>
                                      <w:bCs/>
                                    </w:rPr>
                                    <w:t>24</w:t>
                                  </w:r>
                                  <w:r w:rsidRPr="00FE4B26">
                                    <w:rPr>
                                      <w:rFonts w:ascii="標楷體" w:eastAsia="標楷體" w:hAnsi="標楷體" w:hint="eastAsia"/>
                                      <w:b/>
                                      <w:bCs/>
                                    </w:rPr>
                                    <w:t xml:space="preserve">　前瞻計畫第</w:t>
                                  </w:r>
                                  <w:r w:rsidRPr="00FE4B26">
                                    <w:rPr>
                                      <w:rFonts w:ascii="標楷體" w:eastAsia="標楷體" w:hAnsi="標楷體"/>
                                      <w:b/>
                                      <w:bCs/>
                                    </w:rPr>
                                    <w:t>4期特別預算</w:t>
                                  </w:r>
                                  <w:r w:rsidRPr="00FE4B26">
                                    <w:rPr>
                                      <w:rFonts w:ascii="標楷體" w:eastAsia="標楷體" w:hAnsi="標楷體" w:hint="eastAsia"/>
                                      <w:b/>
                                      <w:bCs/>
                                    </w:rPr>
                                    <w:t>1</w:t>
                                  </w:r>
                                  <w:r w:rsidRPr="00FE4B26">
                                    <w:rPr>
                                      <w:rFonts w:ascii="標楷體" w:eastAsia="標楷體" w:hAnsi="標楷體"/>
                                      <w:b/>
                                      <w:bCs/>
                                    </w:rPr>
                                    <w:t>12</w:t>
                                  </w:r>
                                  <w:r w:rsidRPr="00FE4B26">
                                    <w:rPr>
                                      <w:rFonts w:ascii="標楷體" w:eastAsia="標楷體" w:hAnsi="標楷體" w:hint="eastAsia"/>
                                      <w:b/>
                                      <w:bCs/>
                                    </w:rPr>
                                    <w:t>年度中央主管機關執行情形</w:t>
                                  </w:r>
                                </w:p>
                              </w:tc>
                            </w:tr>
                            <w:tr w:rsidR="00A0212B" w:rsidRPr="00FE4B26" w14:paraId="561424B5" w14:textId="77777777" w:rsidTr="000131EC">
                              <w:trPr>
                                <w:trHeight w:val="20"/>
                                <w:jc w:val="center"/>
                              </w:trPr>
                              <w:tc>
                                <w:tcPr>
                                  <w:tcW w:w="9659" w:type="dxa"/>
                                  <w:gridSpan w:val="8"/>
                                  <w:tcBorders>
                                    <w:bottom w:val="single" w:sz="4" w:space="0" w:color="auto"/>
                                  </w:tcBorders>
                                  <w:shd w:val="clear" w:color="auto" w:fill="auto"/>
                                  <w:vAlign w:val="center"/>
                                </w:tcPr>
                                <w:p w14:paraId="1769EF75" w14:textId="77777777" w:rsidR="00A0212B" w:rsidRPr="00374A6D" w:rsidRDefault="00A0212B" w:rsidP="000131EC">
                                  <w:pPr>
                                    <w:widowControl/>
                                    <w:spacing w:line="240" w:lineRule="exact"/>
                                    <w:jc w:val="right"/>
                                    <w:rPr>
                                      <w:rFonts w:ascii="標楷體" w:eastAsia="標楷體" w:hAnsi="標楷體" w:cs="新細明體"/>
                                      <w:kern w:val="0"/>
                                      <w:sz w:val="20"/>
                                    </w:rPr>
                                  </w:pPr>
                                  <w:r w:rsidRPr="00374A6D">
                                    <w:rPr>
                                      <w:rFonts w:ascii="標楷體" w:eastAsia="標楷體" w:hAnsi="標楷體" w:cs="新細明體" w:hint="eastAsia"/>
                                      <w:kern w:val="0"/>
                                      <w:sz w:val="20"/>
                                    </w:rPr>
                                    <w:t>單位：新臺幣千元、％</w:t>
                                  </w:r>
                                </w:p>
                              </w:tc>
                            </w:tr>
                            <w:tr w:rsidR="00A0212B" w:rsidRPr="00FE4B26" w14:paraId="5276C0B2" w14:textId="77777777" w:rsidTr="000131EC">
                              <w:trPr>
                                <w:trHeight w:val="20"/>
                                <w:jc w:val="center"/>
                              </w:trPr>
                              <w:tc>
                                <w:tcPr>
                                  <w:tcW w:w="2137" w:type="dxa"/>
                                  <w:vMerge w:val="restart"/>
                                  <w:tcBorders>
                                    <w:top w:val="single" w:sz="4" w:space="0" w:color="auto"/>
                                    <w:left w:val="single" w:sz="4" w:space="0" w:color="auto"/>
                                    <w:right w:val="single" w:sz="4" w:space="0" w:color="auto"/>
                                  </w:tcBorders>
                                  <w:shd w:val="clear" w:color="auto" w:fill="auto"/>
                                  <w:vAlign w:val="center"/>
                                  <w:hideMark/>
                                </w:tcPr>
                                <w:p w14:paraId="5DD11F59" w14:textId="77777777" w:rsidR="00A0212B" w:rsidRPr="00FE4B26" w:rsidRDefault="00A0212B" w:rsidP="000131EC">
                                  <w:pPr>
                                    <w:widowControl/>
                                    <w:spacing w:line="240" w:lineRule="exact"/>
                                    <w:jc w:val="center"/>
                                    <w:rPr>
                                      <w:rFonts w:ascii="標楷體" w:eastAsia="標楷體" w:hAnsi="標楷體" w:cs="新細明體"/>
                                      <w:kern w:val="0"/>
                                    </w:rPr>
                                  </w:pPr>
                                  <w:r w:rsidRPr="00FE4B26">
                                    <w:rPr>
                                      <w:rFonts w:ascii="標楷體" w:eastAsia="標楷體" w:hAnsi="標楷體" w:cs="新細明體" w:hint="eastAsia"/>
                                      <w:kern w:val="0"/>
                                      <w:sz w:val="20"/>
                                    </w:rPr>
                                    <w:t>主管機關</w:t>
                                  </w:r>
                                </w:p>
                              </w:tc>
                              <w:tc>
                                <w:tcPr>
                                  <w:tcW w:w="1159" w:type="dxa"/>
                                  <w:vMerge w:val="restart"/>
                                  <w:tcBorders>
                                    <w:top w:val="single" w:sz="4" w:space="0" w:color="auto"/>
                                    <w:left w:val="nil"/>
                                    <w:right w:val="single" w:sz="4" w:space="0" w:color="auto"/>
                                  </w:tcBorders>
                                  <w:shd w:val="clear" w:color="auto" w:fill="auto"/>
                                  <w:vAlign w:val="center"/>
                                  <w:hideMark/>
                                </w:tcPr>
                                <w:p w14:paraId="3AAC933E" w14:textId="77777777" w:rsidR="00A0212B" w:rsidRPr="00FE4B26" w:rsidRDefault="00A0212B" w:rsidP="000131EC">
                                  <w:pPr>
                                    <w:widowControl/>
                                    <w:spacing w:line="240" w:lineRule="exact"/>
                                    <w:jc w:val="center"/>
                                    <w:rPr>
                                      <w:rFonts w:ascii="標楷體" w:eastAsia="標楷體" w:hAnsi="標楷體" w:cs="新細明體"/>
                                      <w:kern w:val="0"/>
                                    </w:rPr>
                                  </w:pPr>
                                  <w:r w:rsidRPr="00FE4B26">
                                    <w:rPr>
                                      <w:rFonts w:ascii="標楷體" w:eastAsia="標楷體" w:hAnsi="標楷體" w:cs="新細明體" w:hint="eastAsia"/>
                                      <w:kern w:val="0"/>
                                      <w:sz w:val="20"/>
                                    </w:rPr>
                                    <w:t>預算數</w:t>
                                  </w:r>
                                </w:p>
                              </w:tc>
                              <w:tc>
                                <w:tcPr>
                                  <w:tcW w:w="1159" w:type="dxa"/>
                                  <w:vMerge w:val="restart"/>
                                  <w:tcBorders>
                                    <w:top w:val="single" w:sz="4" w:space="0" w:color="auto"/>
                                    <w:left w:val="nil"/>
                                    <w:right w:val="single" w:sz="4" w:space="0" w:color="auto"/>
                                  </w:tcBorders>
                                  <w:shd w:val="clear" w:color="auto" w:fill="auto"/>
                                  <w:vAlign w:val="center"/>
                                  <w:hideMark/>
                                </w:tcPr>
                                <w:p w14:paraId="0999794F"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1</w:t>
                                  </w:r>
                                  <w:r w:rsidRPr="00FE4B26">
                                    <w:rPr>
                                      <w:rFonts w:ascii="標楷體" w:eastAsia="標楷體" w:hAnsi="標楷體" w:cs="新細明體"/>
                                      <w:kern w:val="0"/>
                                      <w:sz w:val="20"/>
                                    </w:rPr>
                                    <w:t>12</w:t>
                                  </w:r>
                                  <w:r w:rsidRPr="00FE4B26">
                                    <w:rPr>
                                      <w:rFonts w:ascii="標楷體" w:eastAsia="標楷體" w:hAnsi="標楷體" w:cs="新細明體" w:hint="eastAsia"/>
                                      <w:kern w:val="0"/>
                                      <w:sz w:val="20"/>
                                    </w:rPr>
                                    <w:t>年度</w:t>
                                  </w:r>
                                </w:p>
                                <w:p w14:paraId="5FCF7F9F" w14:textId="77777777" w:rsidR="00A0212B" w:rsidRPr="00FE4B26" w:rsidRDefault="00A0212B" w:rsidP="000131EC">
                                  <w:pPr>
                                    <w:widowControl/>
                                    <w:spacing w:line="240" w:lineRule="exact"/>
                                    <w:jc w:val="center"/>
                                    <w:rPr>
                                      <w:rFonts w:ascii="標楷體" w:eastAsia="標楷體" w:hAnsi="標楷體" w:cs="新細明體"/>
                                      <w:kern w:val="0"/>
                                    </w:rPr>
                                  </w:pPr>
                                  <w:r w:rsidRPr="00FE4B26">
                                    <w:rPr>
                                      <w:rFonts w:ascii="標楷體" w:eastAsia="標楷體" w:hAnsi="標楷體" w:cs="新細明體" w:hint="eastAsia"/>
                                      <w:kern w:val="0"/>
                                      <w:sz w:val="20"/>
                                    </w:rPr>
                                    <w:t>分配預算數</w:t>
                                  </w:r>
                                </w:p>
                              </w:tc>
                              <w:tc>
                                <w:tcPr>
                                  <w:tcW w:w="4070" w:type="dxa"/>
                                  <w:gridSpan w:val="4"/>
                                  <w:tcBorders>
                                    <w:top w:val="single" w:sz="4" w:space="0" w:color="auto"/>
                                    <w:left w:val="nil"/>
                                    <w:bottom w:val="single" w:sz="4" w:space="0" w:color="auto"/>
                                    <w:right w:val="single" w:sz="4" w:space="0" w:color="auto"/>
                                  </w:tcBorders>
                                  <w:shd w:val="clear" w:color="auto" w:fill="auto"/>
                                  <w:vAlign w:val="center"/>
                                  <w:hideMark/>
                                </w:tcPr>
                                <w:p w14:paraId="365FF23F"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執行情形</w:t>
                                  </w:r>
                                </w:p>
                              </w:tc>
                              <w:tc>
                                <w:tcPr>
                                  <w:tcW w:w="1134" w:type="dxa"/>
                                  <w:vMerge w:val="restart"/>
                                  <w:tcBorders>
                                    <w:top w:val="single" w:sz="4" w:space="0" w:color="auto"/>
                                    <w:left w:val="nil"/>
                                    <w:right w:val="single" w:sz="4" w:space="0" w:color="auto"/>
                                  </w:tcBorders>
                                  <w:shd w:val="clear" w:color="auto" w:fill="auto"/>
                                  <w:vAlign w:val="center"/>
                                  <w:hideMark/>
                                </w:tcPr>
                                <w:p w14:paraId="19DD1B8D" w14:textId="77777777" w:rsidR="00A0212B" w:rsidRPr="00FE4B26" w:rsidRDefault="00A0212B" w:rsidP="000131EC">
                                  <w:pPr>
                                    <w:widowControl/>
                                    <w:spacing w:line="240" w:lineRule="exact"/>
                                    <w:jc w:val="center"/>
                                    <w:rPr>
                                      <w:rFonts w:ascii="標楷體" w:eastAsia="標楷體" w:hAnsi="標楷體" w:cs="新細明體"/>
                                      <w:kern w:val="0"/>
                                    </w:rPr>
                                  </w:pPr>
                                  <w:r w:rsidRPr="00FE4B26">
                                    <w:rPr>
                                      <w:rFonts w:ascii="標楷體" w:eastAsia="標楷體" w:hAnsi="標楷體" w:cs="新細明體" w:hint="eastAsia"/>
                                      <w:kern w:val="0"/>
                                      <w:sz w:val="20"/>
                                    </w:rPr>
                                    <w:t>分配數餘額</w:t>
                                  </w:r>
                                </w:p>
                              </w:tc>
                            </w:tr>
                            <w:tr w:rsidR="00A0212B" w:rsidRPr="00FE4B26" w14:paraId="4741A236" w14:textId="77777777" w:rsidTr="000131EC">
                              <w:trPr>
                                <w:trHeight w:val="240"/>
                                <w:jc w:val="center"/>
                              </w:trPr>
                              <w:tc>
                                <w:tcPr>
                                  <w:tcW w:w="2137" w:type="dxa"/>
                                  <w:vMerge/>
                                  <w:tcBorders>
                                    <w:left w:val="single" w:sz="4" w:space="0" w:color="auto"/>
                                    <w:right w:val="single" w:sz="4" w:space="0" w:color="auto"/>
                                  </w:tcBorders>
                                  <w:shd w:val="clear" w:color="auto" w:fill="auto"/>
                                  <w:vAlign w:val="center"/>
                                </w:tcPr>
                                <w:p w14:paraId="30CB49A7"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59" w:type="dxa"/>
                                  <w:vMerge/>
                                  <w:tcBorders>
                                    <w:left w:val="nil"/>
                                    <w:right w:val="single" w:sz="4" w:space="0" w:color="auto"/>
                                  </w:tcBorders>
                                  <w:shd w:val="clear" w:color="auto" w:fill="auto"/>
                                  <w:vAlign w:val="center"/>
                                </w:tcPr>
                                <w:p w14:paraId="01D54F1C"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59" w:type="dxa"/>
                                  <w:vMerge/>
                                  <w:tcBorders>
                                    <w:left w:val="nil"/>
                                    <w:right w:val="single" w:sz="4" w:space="0" w:color="auto"/>
                                  </w:tcBorders>
                                  <w:shd w:val="clear" w:color="auto" w:fill="auto"/>
                                  <w:vAlign w:val="center"/>
                                </w:tcPr>
                                <w:p w14:paraId="6F488490"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058" w:type="dxa"/>
                                  <w:vMerge w:val="restart"/>
                                  <w:tcBorders>
                                    <w:top w:val="single" w:sz="4" w:space="0" w:color="auto"/>
                                    <w:left w:val="nil"/>
                                    <w:right w:val="single" w:sz="4" w:space="0" w:color="auto"/>
                                  </w:tcBorders>
                                  <w:shd w:val="clear" w:color="auto" w:fill="auto"/>
                                  <w:vAlign w:val="center"/>
                                  <w:hideMark/>
                                </w:tcPr>
                                <w:p w14:paraId="4C128CA3"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合計</w:t>
                                  </w:r>
                                </w:p>
                              </w:tc>
                              <w:tc>
                                <w:tcPr>
                                  <w:tcW w:w="1954" w:type="dxa"/>
                                  <w:gridSpan w:val="2"/>
                                  <w:tcBorders>
                                    <w:top w:val="single" w:sz="4" w:space="0" w:color="auto"/>
                                    <w:left w:val="nil"/>
                                    <w:right w:val="single" w:sz="4" w:space="0" w:color="auto"/>
                                  </w:tcBorders>
                                  <w:shd w:val="clear" w:color="auto" w:fill="auto"/>
                                  <w:vAlign w:val="center"/>
                                  <w:hideMark/>
                                </w:tcPr>
                                <w:p w14:paraId="7EAA3196"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058" w:type="dxa"/>
                                  <w:vMerge w:val="restart"/>
                                  <w:tcBorders>
                                    <w:top w:val="single" w:sz="4" w:space="0" w:color="auto"/>
                                    <w:left w:val="nil"/>
                                    <w:right w:val="single" w:sz="4" w:space="0" w:color="auto"/>
                                  </w:tcBorders>
                                  <w:shd w:val="clear" w:color="auto" w:fill="auto"/>
                                  <w:vAlign w:val="center"/>
                                  <w:hideMark/>
                                </w:tcPr>
                                <w:p w14:paraId="623D48AB"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預付數</w:t>
                                  </w:r>
                                </w:p>
                              </w:tc>
                              <w:tc>
                                <w:tcPr>
                                  <w:tcW w:w="1134" w:type="dxa"/>
                                  <w:vMerge/>
                                  <w:tcBorders>
                                    <w:left w:val="nil"/>
                                    <w:right w:val="single" w:sz="4" w:space="0" w:color="auto"/>
                                  </w:tcBorders>
                                  <w:shd w:val="clear" w:color="auto" w:fill="auto"/>
                                  <w:vAlign w:val="center"/>
                                </w:tcPr>
                                <w:p w14:paraId="6419A7A7" w14:textId="77777777" w:rsidR="00A0212B" w:rsidRPr="00FE4B26" w:rsidRDefault="00A0212B" w:rsidP="000131EC">
                                  <w:pPr>
                                    <w:widowControl/>
                                    <w:spacing w:line="240" w:lineRule="exact"/>
                                    <w:jc w:val="center"/>
                                    <w:rPr>
                                      <w:rFonts w:ascii="標楷體" w:eastAsia="標楷體" w:hAnsi="標楷體" w:cs="新細明體"/>
                                      <w:kern w:val="0"/>
                                      <w:sz w:val="20"/>
                                    </w:rPr>
                                  </w:pPr>
                                </w:p>
                              </w:tc>
                            </w:tr>
                            <w:tr w:rsidR="00A0212B" w:rsidRPr="00FE4B26" w14:paraId="0E4D683D" w14:textId="77777777" w:rsidTr="000131EC">
                              <w:trPr>
                                <w:trHeight w:val="240"/>
                                <w:jc w:val="center"/>
                              </w:trPr>
                              <w:tc>
                                <w:tcPr>
                                  <w:tcW w:w="2137" w:type="dxa"/>
                                  <w:vMerge/>
                                  <w:tcBorders>
                                    <w:left w:val="single" w:sz="4" w:space="0" w:color="auto"/>
                                    <w:bottom w:val="single" w:sz="4" w:space="0" w:color="auto"/>
                                    <w:right w:val="single" w:sz="4" w:space="0" w:color="auto"/>
                                  </w:tcBorders>
                                  <w:shd w:val="clear" w:color="auto" w:fill="auto"/>
                                  <w:vAlign w:val="center"/>
                                </w:tcPr>
                                <w:p w14:paraId="3BF8C4B7"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59" w:type="dxa"/>
                                  <w:vMerge/>
                                  <w:tcBorders>
                                    <w:left w:val="nil"/>
                                    <w:bottom w:val="single" w:sz="4" w:space="0" w:color="auto"/>
                                    <w:right w:val="single" w:sz="4" w:space="0" w:color="auto"/>
                                  </w:tcBorders>
                                  <w:shd w:val="clear" w:color="auto" w:fill="auto"/>
                                  <w:vAlign w:val="center"/>
                                </w:tcPr>
                                <w:p w14:paraId="519F64D0"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59" w:type="dxa"/>
                                  <w:vMerge/>
                                  <w:tcBorders>
                                    <w:left w:val="nil"/>
                                    <w:bottom w:val="single" w:sz="4" w:space="0" w:color="auto"/>
                                    <w:right w:val="single" w:sz="4" w:space="0" w:color="auto"/>
                                  </w:tcBorders>
                                  <w:shd w:val="clear" w:color="auto" w:fill="auto"/>
                                  <w:vAlign w:val="center"/>
                                </w:tcPr>
                                <w:p w14:paraId="6AEB7293"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058" w:type="dxa"/>
                                  <w:vMerge/>
                                  <w:tcBorders>
                                    <w:left w:val="nil"/>
                                    <w:bottom w:val="single" w:sz="4" w:space="0" w:color="auto"/>
                                    <w:right w:val="single" w:sz="4" w:space="0" w:color="auto"/>
                                  </w:tcBorders>
                                  <w:shd w:val="clear" w:color="auto" w:fill="auto"/>
                                  <w:vAlign w:val="center"/>
                                </w:tcPr>
                                <w:p w14:paraId="65976AA2"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058" w:type="dxa"/>
                                  <w:tcBorders>
                                    <w:left w:val="nil"/>
                                    <w:bottom w:val="single" w:sz="4" w:space="0" w:color="auto"/>
                                    <w:right w:val="single" w:sz="4" w:space="0" w:color="auto"/>
                                  </w:tcBorders>
                                  <w:shd w:val="clear" w:color="auto" w:fill="auto"/>
                                </w:tcPr>
                                <w:p w14:paraId="7CE2C527"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實現數</w:t>
                                  </w:r>
                                </w:p>
                              </w:tc>
                              <w:tc>
                                <w:tcPr>
                                  <w:tcW w:w="896" w:type="dxa"/>
                                  <w:tcBorders>
                                    <w:top w:val="single" w:sz="4" w:space="0" w:color="auto"/>
                                    <w:left w:val="nil"/>
                                    <w:bottom w:val="single" w:sz="4" w:space="0" w:color="auto"/>
                                    <w:right w:val="single" w:sz="4" w:space="0" w:color="auto"/>
                                  </w:tcBorders>
                                  <w:shd w:val="clear" w:color="auto" w:fill="auto"/>
                                  <w:vAlign w:val="center"/>
                                </w:tcPr>
                                <w:p w14:paraId="22B2767C"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實現率</w:t>
                                  </w:r>
                                </w:p>
                                <w:p w14:paraId="33783CB4"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color w:val="000000"/>
                                      <w:kern w:val="0"/>
                                      <w:sz w:val="20"/>
                                    </w:rPr>
                                    <w:t>（註1）</w:t>
                                  </w:r>
                                </w:p>
                              </w:tc>
                              <w:tc>
                                <w:tcPr>
                                  <w:tcW w:w="1058" w:type="dxa"/>
                                  <w:vMerge/>
                                  <w:tcBorders>
                                    <w:left w:val="nil"/>
                                    <w:bottom w:val="single" w:sz="4" w:space="0" w:color="auto"/>
                                    <w:right w:val="single" w:sz="4" w:space="0" w:color="auto"/>
                                  </w:tcBorders>
                                  <w:shd w:val="clear" w:color="auto" w:fill="auto"/>
                                  <w:vAlign w:val="center"/>
                                </w:tcPr>
                                <w:p w14:paraId="26BD8E13"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34" w:type="dxa"/>
                                  <w:vMerge/>
                                  <w:tcBorders>
                                    <w:left w:val="nil"/>
                                    <w:bottom w:val="single" w:sz="4" w:space="0" w:color="auto"/>
                                    <w:right w:val="single" w:sz="4" w:space="0" w:color="auto"/>
                                  </w:tcBorders>
                                  <w:shd w:val="clear" w:color="auto" w:fill="auto"/>
                                  <w:vAlign w:val="center"/>
                                </w:tcPr>
                                <w:p w14:paraId="510029B8" w14:textId="77777777" w:rsidR="00A0212B" w:rsidRPr="00FE4B26" w:rsidRDefault="00A0212B" w:rsidP="000131EC">
                                  <w:pPr>
                                    <w:widowControl/>
                                    <w:spacing w:line="240" w:lineRule="exact"/>
                                    <w:jc w:val="center"/>
                                    <w:rPr>
                                      <w:rFonts w:ascii="標楷體" w:eastAsia="標楷體" w:hAnsi="標楷體" w:cs="新細明體"/>
                                      <w:kern w:val="0"/>
                                      <w:sz w:val="20"/>
                                    </w:rPr>
                                  </w:pPr>
                                </w:p>
                              </w:tc>
                            </w:tr>
                            <w:tr w:rsidR="00A0212B" w:rsidRPr="00FE4B26" w14:paraId="55233DE0"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auto" w:fill="auto"/>
                                  <w:vAlign w:val="center"/>
                                  <w:hideMark/>
                                </w:tcPr>
                                <w:p w14:paraId="4AA4B152" w14:textId="0038AF2D" w:rsidR="00A0212B" w:rsidRPr="00FE4B26" w:rsidRDefault="00A0212B" w:rsidP="008204D4">
                                  <w:pPr>
                                    <w:widowControl/>
                                    <w:spacing w:line="240" w:lineRule="exact"/>
                                    <w:jc w:val="center"/>
                                    <w:rPr>
                                      <w:rFonts w:ascii="標楷體" w:eastAsia="標楷體" w:hAnsi="標楷體" w:cs="新細明體"/>
                                      <w:b/>
                                      <w:bCs/>
                                      <w:kern w:val="0"/>
                                      <w:sz w:val="20"/>
                                    </w:rPr>
                                  </w:pPr>
                                  <w:r w:rsidRPr="00FE4B26">
                                    <w:rPr>
                                      <w:rFonts w:ascii="標楷體" w:eastAsia="標楷體" w:hAnsi="標楷體" w:cs="新細明體" w:hint="eastAsia"/>
                                      <w:b/>
                                      <w:bCs/>
                                      <w:kern w:val="0"/>
                                      <w:sz w:val="20"/>
                                    </w:rPr>
                                    <w:t>合計</w:t>
                                  </w:r>
                                </w:p>
                              </w:tc>
                              <w:tc>
                                <w:tcPr>
                                  <w:tcW w:w="1159" w:type="dxa"/>
                                  <w:tcBorders>
                                    <w:top w:val="nil"/>
                                    <w:left w:val="nil"/>
                                    <w:bottom w:val="single" w:sz="4" w:space="0" w:color="auto"/>
                                    <w:right w:val="single" w:sz="4" w:space="0" w:color="auto"/>
                                  </w:tcBorders>
                                  <w:shd w:val="clear" w:color="auto" w:fill="auto"/>
                                  <w:vAlign w:val="center"/>
                                  <w:hideMark/>
                                </w:tcPr>
                                <w:p w14:paraId="2B33635E"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b/>
                                      <w:bCs/>
                                      <w:kern w:val="0"/>
                                      <w:sz w:val="20"/>
                                    </w:rPr>
                                    <w:t>209,832,555</w:t>
                                  </w:r>
                                </w:p>
                              </w:tc>
                              <w:tc>
                                <w:tcPr>
                                  <w:tcW w:w="1159" w:type="dxa"/>
                                  <w:tcBorders>
                                    <w:top w:val="nil"/>
                                    <w:left w:val="nil"/>
                                    <w:bottom w:val="single" w:sz="4" w:space="0" w:color="auto"/>
                                    <w:right w:val="single" w:sz="4" w:space="0" w:color="auto"/>
                                  </w:tcBorders>
                                  <w:shd w:val="clear" w:color="auto" w:fill="auto"/>
                                  <w:vAlign w:val="center"/>
                                  <w:hideMark/>
                                </w:tcPr>
                                <w:p w14:paraId="6D77D90C"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104,287,156</w:t>
                                  </w:r>
                                </w:p>
                              </w:tc>
                              <w:tc>
                                <w:tcPr>
                                  <w:tcW w:w="1058" w:type="dxa"/>
                                  <w:tcBorders>
                                    <w:top w:val="nil"/>
                                    <w:left w:val="nil"/>
                                    <w:bottom w:val="single" w:sz="4" w:space="0" w:color="auto"/>
                                    <w:right w:val="single" w:sz="4" w:space="0" w:color="auto"/>
                                  </w:tcBorders>
                                  <w:shd w:val="clear" w:color="auto" w:fill="auto"/>
                                  <w:vAlign w:val="center"/>
                                  <w:hideMark/>
                                </w:tcPr>
                                <w:p w14:paraId="29CEA1A3"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86,165,118</w:t>
                                  </w:r>
                                </w:p>
                              </w:tc>
                              <w:tc>
                                <w:tcPr>
                                  <w:tcW w:w="1058" w:type="dxa"/>
                                  <w:tcBorders>
                                    <w:top w:val="nil"/>
                                    <w:left w:val="nil"/>
                                    <w:bottom w:val="single" w:sz="4" w:space="0" w:color="auto"/>
                                    <w:right w:val="single" w:sz="4" w:space="0" w:color="auto"/>
                                  </w:tcBorders>
                                  <w:shd w:val="clear" w:color="auto" w:fill="auto"/>
                                  <w:vAlign w:val="center"/>
                                  <w:hideMark/>
                                </w:tcPr>
                                <w:p w14:paraId="771BC2DA"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72,990,754</w:t>
                                  </w:r>
                                </w:p>
                              </w:tc>
                              <w:tc>
                                <w:tcPr>
                                  <w:tcW w:w="896" w:type="dxa"/>
                                  <w:tcBorders>
                                    <w:top w:val="nil"/>
                                    <w:left w:val="nil"/>
                                    <w:bottom w:val="single" w:sz="4" w:space="0" w:color="auto"/>
                                    <w:right w:val="single" w:sz="4" w:space="0" w:color="auto"/>
                                  </w:tcBorders>
                                  <w:shd w:val="clear" w:color="auto" w:fill="auto"/>
                                  <w:noWrap/>
                                  <w:vAlign w:val="center"/>
                                  <w:hideMark/>
                                </w:tcPr>
                                <w:p w14:paraId="7F0F20D3"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69.99</w:t>
                                  </w:r>
                                </w:p>
                              </w:tc>
                              <w:tc>
                                <w:tcPr>
                                  <w:tcW w:w="1058" w:type="dxa"/>
                                  <w:tcBorders>
                                    <w:top w:val="nil"/>
                                    <w:left w:val="nil"/>
                                    <w:bottom w:val="single" w:sz="4" w:space="0" w:color="auto"/>
                                    <w:right w:val="single" w:sz="4" w:space="0" w:color="auto"/>
                                  </w:tcBorders>
                                  <w:shd w:val="clear" w:color="auto" w:fill="auto"/>
                                  <w:vAlign w:val="center"/>
                                  <w:hideMark/>
                                </w:tcPr>
                                <w:p w14:paraId="026B33C5"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13,174,364</w:t>
                                  </w:r>
                                </w:p>
                              </w:tc>
                              <w:tc>
                                <w:tcPr>
                                  <w:tcW w:w="1134" w:type="dxa"/>
                                  <w:tcBorders>
                                    <w:top w:val="nil"/>
                                    <w:left w:val="nil"/>
                                    <w:bottom w:val="single" w:sz="4" w:space="0" w:color="auto"/>
                                    <w:right w:val="single" w:sz="4" w:space="0" w:color="auto"/>
                                  </w:tcBorders>
                                  <w:shd w:val="clear" w:color="auto" w:fill="auto"/>
                                  <w:vAlign w:val="center"/>
                                  <w:hideMark/>
                                </w:tcPr>
                                <w:p w14:paraId="65ADBC72"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18,122,037</w:t>
                                  </w:r>
                                </w:p>
                              </w:tc>
                            </w:tr>
                            <w:tr w:rsidR="00A0212B" w:rsidRPr="00FE4B26" w14:paraId="3F8063FD" w14:textId="77777777" w:rsidTr="003E7F03">
                              <w:trPr>
                                <w:trHeight w:val="20"/>
                                <w:jc w:val="center"/>
                              </w:trPr>
                              <w:tc>
                                <w:tcPr>
                                  <w:tcW w:w="2137" w:type="dxa"/>
                                  <w:tcBorders>
                                    <w:top w:val="nil"/>
                                    <w:left w:val="single" w:sz="4" w:space="0" w:color="auto"/>
                                    <w:bottom w:val="single" w:sz="4" w:space="0" w:color="auto"/>
                                    <w:right w:val="single" w:sz="4" w:space="0" w:color="auto"/>
                                  </w:tcBorders>
                                  <w:shd w:val="clear" w:color="auto" w:fill="auto"/>
                                  <w:vAlign w:val="center"/>
                                  <w:hideMark/>
                                </w:tcPr>
                                <w:p w14:paraId="4409B0C3"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總統府</w:t>
                                  </w:r>
                                </w:p>
                              </w:tc>
                              <w:tc>
                                <w:tcPr>
                                  <w:tcW w:w="1159" w:type="dxa"/>
                                  <w:tcBorders>
                                    <w:top w:val="nil"/>
                                    <w:left w:val="nil"/>
                                    <w:bottom w:val="single" w:sz="4" w:space="0" w:color="auto"/>
                                    <w:right w:val="single" w:sz="4" w:space="0" w:color="auto"/>
                                  </w:tcBorders>
                                  <w:shd w:val="clear" w:color="auto" w:fill="auto"/>
                                  <w:noWrap/>
                                  <w:vAlign w:val="center"/>
                                  <w:hideMark/>
                                </w:tcPr>
                                <w:p w14:paraId="42CF0261"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194,399</w:t>
                                  </w:r>
                                </w:p>
                              </w:tc>
                              <w:tc>
                                <w:tcPr>
                                  <w:tcW w:w="1159" w:type="dxa"/>
                                  <w:tcBorders>
                                    <w:top w:val="nil"/>
                                    <w:left w:val="nil"/>
                                    <w:bottom w:val="single" w:sz="4" w:space="0" w:color="auto"/>
                                    <w:right w:val="single" w:sz="4" w:space="0" w:color="auto"/>
                                  </w:tcBorders>
                                  <w:shd w:val="clear" w:color="auto" w:fill="auto"/>
                                  <w:noWrap/>
                                  <w:vAlign w:val="center"/>
                                  <w:hideMark/>
                                </w:tcPr>
                                <w:p w14:paraId="1A9B1F6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96,399</w:t>
                                  </w:r>
                                </w:p>
                              </w:tc>
                              <w:tc>
                                <w:tcPr>
                                  <w:tcW w:w="1058" w:type="dxa"/>
                                  <w:tcBorders>
                                    <w:top w:val="nil"/>
                                    <w:left w:val="nil"/>
                                    <w:bottom w:val="single" w:sz="4" w:space="0" w:color="auto"/>
                                    <w:right w:val="single" w:sz="4" w:space="0" w:color="auto"/>
                                  </w:tcBorders>
                                  <w:shd w:val="clear" w:color="auto" w:fill="auto"/>
                                  <w:noWrap/>
                                  <w:vAlign w:val="center"/>
                                  <w:hideMark/>
                                </w:tcPr>
                                <w:p w14:paraId="4C1075EE"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85,522</w:t>
                                  </w:r>
                                </w:p>
                              </w:tc>
                              <w:tc>
                                <w:tcPr>
                                  <w:tcW w:w="1058" w:type="dxa"/>
                                  <w:tcBorders>
                                    <w:top w:val="nil"/>
                                    <w:left w:val="nil"/>
                                    <w:bottom w:val="single" w:sz="4" w:space="0" w:color="auto"/>
                                    <w:right w:val="single" w:sz="4" w:space="0" w:color="auto"/>
                                  </w:tcBorders>
                                  <w:shd w:val="clear" w:color="auto" w:fill="auto"/>
                                  <w:noWrap/>
                                  <w:vAlign w:val="center"/>
                                  <w:hideMark/>
                                </w:tcPr>
                                <w:p w14:paraId="2E88F83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85,522</w:t>
                                  </w:r>
                                </w:p>
                              </w:tc>
                              <w:tc>
                                <w:tcPr>
                                  <w:tcW w:w="896" w:type="dxa"/>
                                  <w:tcBorders>
                                    <w:top w:val="nil"/>
                                    <w:left w:val="nil"/>
                                    <w:bottom w:val="single" w:sz="4" w:space="0" w:color="auto"/>
                                    <w:right w:val="single" w:sz="4" w:space="0" w:color="auto"/>
                                  </w:tcBorders>
                                  <w:shd w:val="clear" w:color="auto" w:fill="auto"/>
                                  <w:noWrap/>
                                  <w:vAlign w:val="center"/>
                                  <w:hideMark/>
                                </w:tcPr>
                                <w:p w14:paraId="57A6234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88.72</w:t>
                                  </w:r>
                                </w:p>
                              </w:tc>
                              <w:tc>
                                <w:tcPr>
                                  <w:tcW w:w="1058" w:type="dxa"/>
                                  <w:tcBorders>
                                    <w:top w:val="nil"/>
                                    <w:left w:val="nil"/>
                                    <w:bottom w:val="single" w:sz="4" w:space="0" w:color="auto"/>
                                    <w:right w:val="single" w:sz="4" w:space="0" w:color="auto"/>
                                  </w:tcBorders>
                                  <w:shd w:val="clear" w:color="000000" w:fill="FFFFFF"/>
                                  <w:noWrap/>
                                  <w:vAlign w:val="center"/>
                                  <w:hideMark/>
                                </w:tcPr>
                                <w:p w14:paraId="1BA42C78"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auto"/>
                                  <w:noWrap/>
                                  <w:vAlign w:val="center"/>
                                  <w:hideMark/>
                                </w:tcPr>
                                <w:p w14:paraId="044AAAA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10,876</w:t>
                                  </w:r>
                                </w:p>
                              </w:tc>
                            </w:tr>
                            <w:tr w:rsidR="00A0212B" w:rsidRPr="00FE4B26" w14:paraId="05217530"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B88ACAA"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行政院</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554C1B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5,527,665</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F992A2E"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2,778,705</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1F3FB3B"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1,977,153</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7F9DC14"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1,434,582</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77CB657"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51.63</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66C27F5"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542,571</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E45C19C"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801,551</w:t>
                                  </w:r>
                                </w:p>
                              </w:tc>
                            </w:tr>
                            <w:tr w:rsidR="00A0212B" w:rsidRPr="00FE4B26" w14:paraId="150FDA4A"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6F995B1F"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內政部</w:t>
                                  </w:r>
                                </w:p>
                              </w:tc>
                              <w:tc>
                                <w:tcPr>
                                  <w:tcW w:w="1159" w:type="dxa"/>
                                  <w:tcBorders>
                                    <w:top w:val="nil"/>
                                    <w:left w:val="nil"/>
                                    <w:bottom w:val="single" w:sz="4" w:space="0" w:color="auto"/>
                                    <w:right w:val="single" w:sz="4" w:space="0" w:color="auto"/>
                                  </w:tcBorders>
                                  <w:shd w:val="clear" w:color="000000" w:fill="FFFFFF"/>
                                  <w:noWrap/>
                                  <w:vAlign w:val="center"/>
                                  <w:hideMark/>
                                </w:tcPr>
                                <w:p w14:paraId="6949A64D"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23,267,248</w:t>
                                  </w:r>
                                </w:p>
                              </w:tc>
                              <w:tc>
                                <w:tcPr>
                                  <w:tcW w:w="1159" w:type="dxa"/>
                                  <w:tcBorders>
                                    <w:top w:val="nil"/>
                                    <w:left w:val="nil"/>
                                    <w:bottom w:val="single" w:sz="4" w:space="0" w:color="auto"/>
                                    <w:right w:val="single" w:sz="4" w:space="0" w:color="auto"/>
                                  </w:tcBorders>
                                  <w:shd w:val="clear" w:color="000000" w:fill="FFFFFF"/>
                                  <w:noWrap/>
                                  <w:vAlign w:val="center"/>
                                  <w:hideMark/>
                                </w:tcPr>
                                <w:p w14:paraId="497DC37F"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12,528,148</w:t>
                                  </w:r>
                                </w:p>
                              </w:tc>
                              <w:tc>
                                <w:tcPr>
                                  <w:tcW w:w="1058" w:type="dxa"/>
                                  <w:tcBorders>
                                    <w:top w:val="nil"/>
                                    <w:left w:val="nil"/>
                                    <w:bottom w:val="single" w:sz="4" w:space="0" w:color="auto"/>
                                    <w:right w:val="single" w:sz="4" w:space="0" w:color="auto"/>
                                  </w:tcBorders>
                                  <w:shd w:val="clear" w:color="000000" w:fill="FFFFFF"/>
                                  <w:noWrap/>
                                  <w:vAlign w:val="center"/>
                                  <w:hideMark/>
                                </w:tcPr>
                                <w:p w14:paraId="78C1ABB6"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11,554,036</w:t>
                                  </w:r>
                                </w:p>
                              </w:tc>
                              <w:tc>
                                <w:tcPr>
                                  <w:tcW w:w="1058" w:type="dxa"/>
                                  <w:tcBorders>
                                    <w:top w:val="nil"/>
                                    <w:left w:val="nil"/>
                                    <w:bottom w:val="single" w:sz="4" w:space="0" w:color="auto"/>
                                    <w:right w:val="single" w:sz="4" w:space="0" w:color="auto"/>
                                  </w:tcBorders>
                                  <w:shd w:val="clear" w:color="000000" w:fill="FFFFFF"/>
                                  <w:noWrap/>
                                  <w:vAlign w:val="center"/>
                                  <w:hideMark/>
                                </w:tcPr>
                                <w:p w14:paraId="38E5576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10,461,299</w:t>
                                  </w:r>
                                </w:p>
                              </w:tc>
                              <w:tc>
                                <w:tcPr>
                                  <w:tcW w:w="896" w:type="dxa"/>
                                  <w:tcBorders>
                                    <w:top w:val="nil"/>
                                    <w:left w:val="nil"/>
                                    <w:bottom w:val="single" w:sz="4" w:space="0" w:color="auto"/>
                                    <w:right w:val="single" w:sz="4" w:space="0" w:color="auto"/>
                                  </w:tcBorders>
                                  <w:shd w:val="clear" w:color="auto" w:fill="auto"/>
                                  <w:noWrap/>
                                  <w:vAlign w:val="center"/>
                                  <w:hideMark/>
                                </w:tcPr>
                                <w:p w14:paraId="5156249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83.50</w:t>
                                  </w:r>
                                </w:p>
                              </w:tc>
                              <w:tc>
                                <w:tcPr>
                                  <w:tcW w:w="1058" w:type="dxa"/>
                                  <w:tcBorders>
                                    <w:top w:val="nil"/>
                                    <w:left w:val="nil"/>
                                    <w:bottom w:val="single" w:sz="4" w:space="0" w:color="auto"/>
                                    <w:right w:val="single" w:sz="4" w:space="0" w:color="auto"/>
                                  </w:tcBorders>
                                  <w:shd w:val="clear" w:color="000000" w:fill="FFFFFF"/>
                                  <w:noWrap/>
                                  <w:vAlign w:val="center"/>
                                  <w:hideMark/>
                                </w:tcPr>
                                <w:p w14:paraId="70C69476"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1,092,737</w:t>
                                  </w:r>
                                </w:p>
                              </w:tc>
                              <w:tc>
                                <w:tcPr>
                                  <w:tcW w:w="1134" w:type="dxa"/>
                                  <w:tcBorders>
                                    <w:top w:val="nil"/>
                                    <w:left w:val="nil"/>
                                    <w:bottom w:val="single" w:sz="4" w:space="0" w:color="auto"/>
                                    <w:right w:val="single" w:sz="4" w:space="0" w:color="auto"/>
                                  </w:tcBorders>
                                  <w:shd w:val="clear" w:color="000000" w:fill="FFFFFF"/>
                                  <w:noWrap/>
                                  <w:vAlign w:val="center"/>
                                  <w:hideMark/>
                                </w:tcPr>
                                <w:p w14:paraId="0D3A6A6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974,111</w:t>
                                  </w:r>
                                </w:p>
                              </w:tc>
                            </w:tr>
                            <w:tr w:rsidR="00A0212B" w:rsidRPr="00FE4B26" w14:paraId="561E0AFC"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1C361490"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財政部</w:t>
                                  </w:r>
                                </w:p>
                              </w:tc>
                              <w:tc>
                                <w:tcPr>
                                  <w:tcW w:w="1159" w:type="dxa"/>
                                  <w:tcBorders>
                                    <w:top w:val="nil"/>
                                    <w:left w:val="nil"/>
                                    <w:bottom w:val="single" w:sz="4" w:space="0" w:color="auto"/>
                                    <w:right w:val="single" w:sz="4" w:space="0" w:color="auto"/>
                                  </w:tcBorders>
                                  <w:shd w:val="clear" w:color="000000" w:fill="FFFFFF"/>
                                  <w:noWrap/>
                                  <w:vAlign w:val="center"/>
                                  <w:hideMark/>
                                </w:tcPr>
                                <w:p w14:paraId="61BF9D5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333,869</w:t>
                                  </w:r>
                                </w:p>
                              </w:tc>
                              <w:tc>
                                <w:tcPr>
                                  <w:tcW w:w="1159" w:type="dxa"/>
                                  <w:tcBorders>
                                    <w:top w:val="nil"/>
                                    <w:left w:val="nil"/>
                                    <w:bottom w:val="single" w:sz="4" w:space="0" w:color="auto"/>
                                    <w:right w:val="single" w:sz="4" w:space="0" w:color="auto"/>
                                  </w:tcBorders>
                                  <w:shd w:val="clear" w:color="000000" w:fill="FFFFFF"/>
                                  <w:noWrap/>
                                  <w:vAlign w:val="center"/>
                                  <w:hideMark/>
                                </w:tcPr>
                                <w:p w14:paraId="0F0337CC"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136,529</w:t>
                                  </w:r>
                                </w:p>
                              </w:tc>
                              <w:tc>
                                <w:tcPr>
                                  <w:tcW w:w="1058" w:type="dxa"/>
                                  <w:tcBorders>
                                    <w:top w:val="nil"/>
                                    <w:left w:val="nil"/>
                                    <w:bottom w:val="single" w:sz="4" w:space="0" w:color="auto"/>
                                    <w:right w:val="single" w:sz="4" w:space="0" w:color="auto"/>
                                  </w:tcBorders>
                                  <w:shd w:val="clear" w:color="000000" w:fill="FFFFFF"/>
                                  <w:noWrap/>
                                  <w:vAlign w:val="center"/>
                                  <w:hideMark/>
                                </w:tcPr>
                                <w:p w14:paraId="09803AE5"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126,029</w:t>
                                  </w:r>
                                </w:p>
                              </w:tc>
                              <w:tc>
                                <w:tcPr>
                                  <w:tcW w:w="1058" w:type="dxa"/>
                                  <w:tcBorders>
                                    <w:top w:val="nil"/>
                                    <w:left w:val="nil"/>
                                    <w:bottom w:val="single" w:sz="4" w:space="0" w:color="auto"/>
                                    <w:right w:val="single" w:sz="4" w:space="0" w:color="auto"/>
                                  </w:tcBorders>
                                  <w:shd w:val="clear" w:color="000000" w:fill="FFFFFF"/>
                                  <w:noWrap/>
                                  <w:vAlign w:val="center"/>
                                  <w:hideMark/>
                                </w:tcPr>
                                <w:p w14:paraId="176015FF"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126,029</w:t>
                                  </w:r>
                                </w:p>
                              </w:tc>
                              <w:tc>
                                <w:tcPr>
                                  <w:tcW w:w="896" w:type="dxa"/>
                                  <w:tcBorders>
                                    <w:top w:val="nil"/>
                                    <w:left w:val="nil"/>
                                    <w:bottom w:val="single" w:sz="4" w:space="0" w:color="auto"/>
                                    <w:right w:val="single" w:sz="4" w:space="0" w:color="auto"/>
                                  </w:tcBorders>
                                  <w:shd w:val="clear" w:color="auto" w:fill="auto"/>
                                  <w:noWrap/>
                                  <w:vAlign w:val="center"/>
                                  <w:hideMark/>
                                </w:tcPr>
                                <w:p w14:paraId="5C3890F5"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92.31</w:t>
                                  </w:r>
                                </w:p>
                              </w:tc>
                              <w:tc>
                                <w:tcPr>
                                  <w:tcW w:w="1058" w:type="dxa"/>
                                  <w:tcBorders>
                                    <w:top w:val="nil"/>
                                    <w:left w:val="nil"/>
                                    <w:bottom w:val="single" w:sz="4" w:space="0" w:color="auto"/>
                                    <w:right w:val="single" w:sz="4" w:space="0" w:color="auto"/>
                                  </w:tcBorders>
                                  <w:shd w:val="clear" w:color="000000" w:fill="FFFFFF"/>
                                  <w:noWrap/>
                                  <w:vAlign w:val="center"/>
                                  <w:hideMark/>
                                </w:tcPr>
                                <w:p w14:paraId="011DDF2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000000" w:fill="FFFFFF"/>
                                  <w:noWrap/>
                                  <w:vAlign w:val="center"/>
                                  <w:hideMark/>
                                </w:tcPr>
                                <w:p w14:paraId="7205731D"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10,499</w:t>
                                  </w:r>
                                </w:p>
                              </w:tc>
                            </w:tr>
                            <w:tr w:rsidR="00A0212B" w:rsidRPr="00FE4B26" w14:paraId="2A2BC33C" w14:textId="77777777" w:rsidTr="003E7F03">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599836B1"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教育部</w:t>
                                  </w:r>
                                </w:p>
                              </w:tc>
                              <w:tc>
                                <w:tcPr>
                                  <w:tcW w:w="1159" w:type="dxa"/>
                                  <w:tcBorders>
                                    <w:top w:val="nil"/>
                                    <w:left w:val="nil"/>
                                    <w:bottom w:val="single" w:sz="4" w:space="0" w:color="auto"/>
                                    <w:right w:val="single" w:sz="4" w:space="0" w:color="auto"/>
                                  </w:tcBorders>
                                  <w:shd w:val="clear" w:color="000000" w:fill="FFFFFF"/>
                                  <w:noWrap/>
                                  <w:vAlign w:val="center"/>
                                  <w:hideMark/>
                                </w:tcPr>
                                <w:p w14:paraId="3F7719A4"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12,312,674</w:t>
                                  </w:r>
                                </w:p>
                              </w:tc>
                              <w:tc>
                                <w:tcPr>
                                  <w:tcW w:w="1159" w:type="dxa"/>
                                  <w:tcBorders>
                                    <w:top w:val="nil"/>
                                    <w:left w:val="nil"/>
                                    <w:bottom w:val="single" w:sz="4" w:space="0" w:color="auto"/>
                                    <w:right w:val="single" w:sz="4" w:space="0" w:color="auto"/>
                                  </w:tcBorders>
                                  <w:shd w:val="clear" w:color="000000" w:fill="FFFFFF"/>
                                  <w:noWrap/>
                                  <w:vAlign w:val="center"/>
                                  <w:hideMark/>
                                </w:tcPr>
                                <w:p w14:paraId="571F6D49"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6,081,036</w:t>
                                  </w:r>
                                </w:p>
                              </w:tc>
                              <w:tc>
                                <w:tcPr>
                                  <w:tcW w:w="1058" w:type="dxa"/>
                                  <w:tcBorders>
                                    <w:top w:val="nil"/>
                                    <w:left w:val="nil"/>
                                    <w:bottom w:val="single" w:sz="4" w:space="0" w:color="auto"/>
                                    <w:right w:val="single" w:sz="4" w:space="0" w:color="auto"/>
                                  </w:tcBorders>
                                  <w:shd w:val="clear" w:color="000000" w:fill="FFFFFF"/>
                                  <w:noWrap/>
                                  <w:vAlign w:val="center"/>
                                  <w:hideMark/>
                                </w:tcPr>
                                <w:p w14:paraId="6BB07903"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5,076,292</w:t>
                                  </w:r>
                                </w:p>
                              </w:tc>
                              <w:tc>
                                <w:tcPr>
                                  <w:tcW w:w="1058" w:type="dxa"/>
                                  <w:tcBorders>
                                    <w:top w:val="nil"/>
                                    <w:left w:val="nil"/>
                                    <w:bottom w:val="single" w:sz="4" w:space="0" w:color="auto"/>
                                    <w:right w:val="single" w:sz="4" w:space="0" w:color="auto"/>
                                  </w:tcBorders>
                                  <w:shd w:val="clear" w:color="000000" w:fill="FFFFFF"/>
                                  <w:noWrap/>
                                  <w:vAlign w:val="center"/>
                                  <w:hideMark/>
                                </w:tcPr>
                                <w:p w14:paraId="6C1F4CB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5,004,384</w:t>
                                  </w:r>
                                </w:p>
                              </w:tc>
                              <w:tc>
                                <w:tcPr>
                                  <w:tcW w:w="896" w:type="dxa"/>
                                  <w:tcBorders>
                                    <w:top w:val="nil"/>
                                    <w:left w:val="nil"/>
                                    <w:bottom w:val="single" w:sz="4" w:space="0" w:color="auto"/>
                                    <w:right w:val="single" w:sz="4" w:space="0" w:color="auto"/>
                                  </w:tcBorders>
                                  <w:shd w:val="clear" w:color="auto" w:fill="auto"/>
                                  <w:noWrap/>
                                  <w:vAlign w:val="center"/>
                                  <w:hideMark/>
                                </w:tcPr>
                                <w:p w14:paraId="07CF069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82.29</w:t>
                                  </w:r>
                                </w:p>
                              </w:tc>
                              <w:tc>
                                <w:tcPr>
                                  <w:tcW w:w="1058" w:type="dxa"/>
                                  <w:tcBorders>
                                    <w:top w:val="nil"/>
                                    <w:left w:val="nil"/>
                                    <w:bottom w:val="single" w:sz="4" w:space="0" w:color="auto"/>
                                    <w:right w:val="single" w:sz="4" w:space="0" w:color="auto"/>
                                  </w:tcBorders>
                                  <w:shd w:val="clear" w:color="000000" w:fill="FFFFFF"/>
                                  <w:noWrap/>
                                  <w:vAlign w:val="center"/>
                                  <w:hideMark/>
                                </w:tcPr>
                                <w:p w14:paraId="2C3C76F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71,907</w:t>
                                  </w:r>
                                </w:p>
                              </w:tc>
                              <w:tc>
                                <w:tcPr>
                                  <w:tcW w:w="1134" w:type="dxa"/>
                                  <w:tcBorders>
                                    <w:top w:val="nil"/>
                                    <w:left w:val="nil"/>
                                    <w:bottom w:val="single" w:sz="4" w:space="0" w:color="auto"/>
                                    <w:right w:val="single" w:sz="4" w:space="0" w:color="auto"/>
                                  </w:tcBorders>
                                  <w:shd w:val="clear" w:color="000000" w:fill="FFFFFF"/>
                                  <w:noWrap/>
                                  <w:vAlign w:val="center"/>
                                  <w:hideMark/>
                                </w:tcPr>
                                <w:p w14:paraId="26ABDC36"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1,004,743</w:t>
                                  </w:r>
                                </w:p>
                              </w:tc>
                            </w:tr>
                            <w:tr w:rsidR="00A0212B" w:rsidRPr="00FE4B26" w14:paraId="7BA5AF2C"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BED9070"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經濟部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3CB0902"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58,810,786</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F254FF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32,771,706</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57A9AF2"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29,176,899</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B96D71B"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24,336,659</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4C7128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74.26</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41FB312"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4,840,240</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F257928"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3,594,806</w:t>
                                  </w:r>
                                </w:p>
                              </w:tc>
                            </w:tr>
                            <w:tr w:rsidR="00A0212B" w:rsidRPr="00FE4B26" w14:paraId="5965CD65"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E3E1B4E"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交通部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FAA3D9A"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69,978,508</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10A149C"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30,932,753</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AC59272"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21,571,370</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88FD6DC"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16,984,977</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1329FA6"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54.91</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E236219"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4,586,393</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E7714C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9,361,382</w:t>
                                  </w:r>
                                </w:p>
                              </w:tc>
                            </w:tr>
                            <w:tr w:rsidR="00A0212B" w:rsidRPr="00FE4B26" w14:paraId="3DE8C245" w14:textId="77777777" w:rsidTr="003E7F03">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31857C20"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勞動部</w:t>
                                  </w:r>
                                </w:p>
                              </w:tc>
                              <w:tc>
                                <w:tcPr>
                                  <w:tcW w:w="1159" w:type="dxa"/>
                                  <w:tcBorders>
                                    <w:top w:val="nil"/>
                                    <w:left w:val="nil"/>
                                    <w:bottom w:val="single" w:sz="4" w:space="0" w:color="auto"/>
                                    <w:right w:val="single" w:sz="4" w:space="0" w:color="auto"/>
                                  </w:tcBorders>
                                  <w:shd w:val="clear" w:color="000000" w:fill="FFFFFF"/>
                                  <w:noWrap/>
                                  <w:vAlign w:val="center"/>
                                  <w:hideMark/>
                                </w:tcPr>
                                <w:p w14:paraId="68F7A8B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14,000</w:t>
                                  </w:r>
                                </w:p>
                              </w:tc>
                              <w:tc>
                                <w:tcPr>
                                  <w:tcW w:w="1159" w:type="dxa"/>
                                  <w:tcBorders>
                                    <w:top w:val="nil"/>
                                    <w:left w:val="nil"/>
                                    <w:bottom w:val="single" w:sz="4" w:space="0" w:color="auto"/>
                                    <w:right w:val="single" w:sz="4" w:space="0" w:color="auto"/>
                                  </w:tcBorders>
                                  <w:shd w:val="clear" w:color="000000" w:fill="FFFFFF"/>
                                  <w:noWrap/>
                                  <w:vAlign w:val="center"/>
                                  <w:hideMark/>
                                </w:tcPr>
                                <w:p w14:paraId="000FA30A"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058" w:type="dxa"/>
                                  <w:tcBorders>
                                    <w:top w:val="nil"/>
                                    <w:left w:val="nil"/>
                                    <w:bottom w:val="single" w:sz="4" w:space="0" w:color="auto"/>
                                    <w:right w:val="single" w:sz="4" w:space="0" w:color="auto"/>
                                  </w:tcBorders>
                                  <w:shd w:val="clear" w:color="000000" w:fill="FFFFFF"/>
                                  <w:noWrap/>
                                  <w:vAlign w:val="center"/>
                                  <w:hideMark/>
                                </w:tcPr>
                                <w:p w14:paraId="72EE5919"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w:t>
                                  </w:r>
                                </w:p>
                              </w:tc>
                              <w:tc>
                                <w:tcPr>
                                  <w:tcW w:w="1058" w:type="dxa"/>
                                  <w:tcBorders>
                                    <w:top w:val="nil"/>
                                    <w:left w:val="nil"/>
                                    <w:bottom w:val="single" w:sz="4" w:space="0" w:color="auto"/>
                                    <w:right w:val="single" w:sz="4" w:space="0" w:color="auto"/>
                                  </w:tcBorders>
                                  <w:shd w:val="clear" w:color="000000" w:fill="FFFFFF"/>
                                  <w:noWrap/>
                                  <w:vAlign w:val="center"/>
                                  <w:hideMark/>
                                </w:tcPr>
                                <w:p w14:paraId="3CDD0334"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896" w:type="dxa"/>
                                  <w:tcBorders>
                                    <w:top w:val="nil"/>
                                    <w:left w:val="nil"/>
                                    <w:bottom w:val="single" w:sz="4" w:space="0" w:color="auto"/>
                                    <w:right w:val="single" w:sz="4" w:space="0" w:color="auto"/>
                                  </w:tcBorders>
                                  <w:shd w:val="clear" w:color="000000" w:fill="FFFFFF"/>
                                  <w:noWrap/>
                                  <w:vAlign w:val="center"/>
                                  <w:hideMark/>
                                </w:tcPr>
                                <w:p w14:paraId="05D0B165"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058" w:type="dxa"/>
                                  <w:tcBorders>
                                    <w:top w:val="nil"/>
                                    <w:left w:val="nil"/>
                                    <w:bottom w:val="single" w:sz="4" w:space="0" w:color="auto"/>
                                    <w:right w:val="single" w:sz="4" w:space="0" w:color="auto"/>
                                  </w:tcBorders>
                                  <w:shd w:val="clear" w:color="000000" w:fill="FFFFFF"/>
                                  <w:noWrap/>
                                  <w:vAlign w:val="center"/>
                                  <w:hideMark/>
                                </w:tcPr>
                                <w:p w14:paraId="32321874"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000000" w:fill="FFFFFF"/>
                                  <w:noWrap/>
                                  <w:vAlign w:val="center"/>
                                  <w:hideMark/>
                                </w:tcPr>
                                <w:p w14:paraId="46E0ECC9"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r>
                            <w:tr w:rsidR="00A0212B" w:rsidRPr="00FE4B26" w14:paraId="0D453D33"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71B672" w14:textId="2B53E650" w:rsidR="00A0212B" w:rsidRPr="00FC08EA" w:rsidRDefault="00A0212B" w:rsidP="000131EC">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原子能委員會（</w:t>
                                  </w:r>
                                  <w:r w:rsidRPr="00FC08EA">
                                    <w:rPr>
                                      <w:rFonts w:ascii="標楷體" w:eastAsia="標楷體" w:hAnsi="標楷體" w:cs="新細明體" w:hint="eastAsia"/>
                                      <w:kern w:val="0"/>
                                      <w:sz w:val="20"/>
                                    </w:rPr>
                                    <w:t>核能安全委員會</w:t>
                                  </w:r>
                                  <w:r>
                                    <w:rPr>
                                      <w:rFonts w:ascii="標楷體" w:eastAsia="標楷體" w:hAnsi="標楷體" w:cs="新細明體" w:hint="eastAsia"/>
                                      <w:kern w:val="0"/>
                                      <w:sz w:val="20"/>
                                    </w:rPr>
                                    <w:t>）</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671040A"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377,908</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8B4B832"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188,951</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80B115C"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188,857</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BA5BCE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141,502</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04DCD61"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74.89</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3CCD0B0"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47,355</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36ED098"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93</w:t>
                                  </w:r>
                                </w:p>
                              </w:tc>
                            </w:tr>
                            <w:tr w:rsidR="00A0212B" w:rsidRPr="00FE4B26" w14:paraId="1B4AFFE9"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449892C" w14:textId="600DB542" w:rsidR="00A0212B" w:rsidRPr="00FC08EA" w:rsidRDefault="00A0212B" w:rsidP="000131EC">
                                  <w:pPr>
                                    <w:widowControl/>
                                    <w:spacing w:line="240" w:lineRule="exact"/>
                                    <w:rPr>
                                      <w:rFonts w:ascii="標楷體" w:eastAsia="標楷體" w:hAnsi="標楷體" w:cs="新細明體"/>
                                      <w:kern w:val="0"/>
                                      <w:sz w:val="20"/>
                                    </w:rPr>
                                  </w:pPr>
                                  <w:r w:rsidRPr="005774CC">
                                    <w:rPr>
                                      <w:rFonts w:ascii="標楷體" w:eastAsia="標楷體" w:hAnsi="標楷體" w:cs="新細明體" w:hint="eastAsia"/>
                                      <w:kern w:val="0"/>
                                      <w:sz w:val="20"/>
                                    </w:rPr>
                                    <w:t>農業委員會（農業部）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42026F1"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6,598,728</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082A9B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2,931,632</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FB6AEB9"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2,634,520</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E59BABB"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2,233,673</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35D9BB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76.19</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92C4241"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400,846</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1F691F9"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297,111</w:t>
                                  </w:r>
                                </w:p>
                              </w:tc>
                            </w:tr>
                            <w:tr w:rsidR="00A0212B" w:rsidRPr="00FE4B26" w14:paraId="1A7D4421"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7484A43"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衛生福利部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B55C429"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4,484,21</w:t>
                                  </w:r>
                                  <w:r w:rsidRPr="00FC08EA">
                                    <w:rPr>
                                      <w:rFonts w:ascii="標楷體" w:eastAsia="標楷體" w:hAnsi="標楷體" w:cs="新細明體"/>
                                      <w:kern w:val="0"/>
                                      <w:sz w:val="20"/>
                                    </w:rPr>
                                    <w:t>0</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45307E0"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2,023,750</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061F1F2"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1,166,292</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88B9507"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866,960</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DE0E54A"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42.84</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7C9271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299,332</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AEE7EA5"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857,457</w:t>
                                  </w:r>
                                </w:p>
                              </w:tc>
                            </w:tr>
                            <w:tr w:rsidR="00A0212B" w:rsidRPr="00FE4B26" w14:paraId="5659C4AD" w14:textId="77777777" w:rsidTr="003E7F03">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52AB64B4" w14:textId="23C360BE" w:rsidR="00A0212B" w:rsidRPr="00FE4B26" w:rsidRDefault="00A0212B" w:rsidP="000131EC">
                                  <w:pPr>
                                    <w:widowControl/>
                                    <w:spacing w:line="240" w:lineRule="exact"/>
                                    <w:rPr>
                                      <w:rFonts w:ascii="標楷體" w:eastAsia="標楷體" w:hAnsi="標楷體" w:cs="新細明體"/>
                                      <w:kern w:val="0"/>
                                      <w:sz w:val="20"/>
                                    </w:rPr>
                                  </w:pPr>
                                  <w:r w:rsidRPr="005774CC">
                                    <w:rPr>
                                      <w:rFonts w:ascii="標楷體" w:eastAsia="標楷體" w:hAnsi="標楷體" w:cs="新細明體" w:hint="eastAsia"/>
                                      <w:kern w:val="0"/>
                                      <w:sz w:val="20"/>
                                    </w:rPr>
                                    <w:t>環境保護署（環境部）</w:t>
                                  </w:r>
                                </w:p>
                              </w:tc>
                              <w:tc>
                                <w:tcPr>
                                  <w:tcW w:w="1159" w:type="dxa"/>
                                  <w:tcBorders>
                                    <w:top w:val="nil"/>
                                    <w:left w:val="nil"/>
                                    <w:bottom w:val="single" w:sz="4" w:space="0" w:color="auto"/>
                                    <w:right w:val="single" w:sz="4" w:space="0" w:color="auto"/>
                                  </w:tcBorders>
                                  <w:shd w:val="clear" w:color="000000" w:fill="FFFFFF"/>
                                  <w:noWrap/>
                                  <w:vAlign w:val="center"/>
                                  <w:hideMark/>
                                </w:tcPr>
                                <w:p w14:paraId="1443288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1,152,356</w:t>
                                  </w:r>
                                </w:p>
                              </w:tc>
                              <w:tc>
                                <w:tcPr>
                                  <w:tcW w:w="1159" w:type="dxa"/>
                                  <w:tcBorders>
                                    <w:top w:val="nil"/>
                                    <w:left w:val="nil"/>
                                    <w:bottom w:val="single" w:sz="4" w:space="0" w:color="auto"/>
                                    <w:right w:val="single" w:sz="4" w:space="0" w:color="auto"/>
                                  </w:tcBorders>
                                  <w:shd w:val="clear" w:color="000000" w:fill="FFFFFF"/>
                                  <w:noWrap/>
                                  <w:vAlign w:val="center"/>
                                  <w:hideMark/>
                                </w:tcPr>
                                <w:p w14:paraId="6F75B1E8"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322,00</w:t>
                                  </w:r>
                                  <w:r w:rsidRPr="00FE4B26">
                                    <w:rPr>
                                      <w:rFonts w:ascii="標楷體" w:eastAsia="標楷體" w:hAnsi="標楷體" w:cs="新細明體"/>
                                      <w:kern w:val="0"/>
                                      <w:sz w:val="20"/>
                                    </w:rPr>
                                    <w:t>0</w:t>
                                  </w:r>
                                </w:p>
                              </w:tc>
                              <w:tc>
                                <w:tcPr>
                                  <w:tcW w:w="1058" w:type="dxa"/>
                                  <w:tcBorders>
                                    <w:top w:val="nil"/>
                                    <w:left w:val="nil"/>
                                    <w:bottom w:val="single" w:sz="4" w:space="0" w:color="auto"/>
                                    <w:right w:val="single" w:sz="4" w:space="0" w:color="auto"/>
                                  </w:tcBorders>
                                  <w:shd w:val="clear" w:color="000000" w:fill="FFFFFF"/>
                                  <w:noWrap/>
                                  <w:vAlign w:val="center"/>
                                  <w:hideMark/>
                                </w:tcPr>
                                <w:p w14:paraId="1136F158"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276,439</w:t>
                                  </w:r>
                                </w:p>
                              </w:tc>
                              <w:tc>
                                <w:tcPr>
                                  <w:tcW w:w="1058" w:type="dxa"/>
                                  <w:tcBorders>
                                    <w:top w:val="nil"/>
                                    <w:left w:val="nil"/>
                                    <w:bottom w:val="single" w:sz="4" w:space="0" w:color="auto"/>
                                    <w:right w:val="single" w:sz="4" w:space="0" w:color="auto"/>
                                  </w:tcBorders>
                                  <w:shd w:val="clear" w:color="000000" w:fill="FFFFFF"/>
                                  <w:noWrap/>
                                  <w:vAlign w:val="center"/>
                                  <w:hideMark/>
                                </w:tcPr>
                                <w:p w14:paraId="03D56B5A"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259,021</w:t>
                                  </w:r>
                                </w:p>
                              </w:tc>
                              <w:tc>
                                <w:tcPr>
                                  <w:tcW w:w="896" w:type="dxa"/>
                                  <w:tcBorders>
                                    <w:top w:val="nil"/>
                                    <w:left w:val="nil"/>
                                    <w:bottom w:val="single" w:sz="4" w:space="0" w:color="auto"/>
                                    <w:right w:val="single" w:sz="4" w:space="0" w:color="auto"/>
                                  </w:tcBorders>
                                  <w:shd w:val="clear" w:color="auto" w:fill="auto"/>
                                  <w:noWrap/>
                                  <w:vAlign w:val="center"/>
                                  <w:hideMark/>
                                </w:tcPr>
                                <w:p w14:paraId="2D841FE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80.44</w:t>
                                  </w:r>
                                </w:p>
                              </w:tc>
                              <w:tc>
                                <w:tcPr>
                                  <w:tcW w:w="1058" w:type="dxa"/>
                                  <w:tcBorders>
                                    <w:top w:val="nil"/>
                                    <w:left w:val="nil"/>
                                    <w:bottom w:val="single" w:sz="4" w:space="0" w:color="auto"/>
                                    <w:right w:val="single" w:sz="4" w:space="0" w:color="auto"/>
                                  </w:tcBorders>
                                  <w:shd w:val="clear" w:color="000000" w:fill="FFFFFF"/>
                                  <w:noWrap/>
                                  <w:vAlign w:val="center"/>
                                  <w:hideMark/>
                                </w:tcPr>
                                <w:p w14:paraId="40C7DFD1"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17,418</w:t>
                                  </w:r>
                                </w:p>
                              </w:tc>
                              <w:tc>
                                <w:tcPr>
                                  <w:tcW w:w="1134" w:type="dxa"/>
                                  <w:tcBorders>
                                    <w:top w:val="nil"/>
                                    <w:left w:val="nil"/>
                                    <w:bottom w:val="single" w:sz="4" w:space="0" w:color="auto"/>
                                    <w:right w:val="single" w:sz="4" w:space="0" w:color="auto"/>
                                  </w:tcBorders>
                                  <w:shd w:val="clear" w:color="000000" w:fill="FFFFFF"/>
                                  <w:noWrap/>
                                  <w:vAlign w:val="center"/>
                                  <w:hideMark/>
                                </w:tcPr>
                                <w:p w14:paraId="4EE2300A"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45,560</w:t>
                                  </w:r>
                                </w:p>
                              </w:tc>
                            </w:tr>
                            <w:tr w:rsidR="00A0212B" w:rsidRPr="00FE4B26" w14:paraId="64956E68"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CDB00E8"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文化部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8BE98E1"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5,512,740</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2FBA5F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2,553,400</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B1BA1DE"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2,056,508</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E1D9C03"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1,769,103</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0F6FB2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69.28</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E0ED040"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287,405</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9581E77"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496,891</w:t>
                                  </w:r>
                                </w:p>
                              </w:tc>
                            </w:tr>
                            <w:tr w:rsidR="00A0212B" w:rsidRPr="00FE4B26" w14:paraId="12814990"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53B967F1"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數位發展部</w:t>
                                  </w:r>
                                </w:p>
                              </w:tc>
                              <w:tc>
                                <w:tcPr>
                                  <w:tcW w:w="1159" w:type="dxa"/>
                                  <w:tcBorders>
                                    <w:top w:val="nil"/>
                                    <w:left w:val="nil"/>
                                    <w:bottom w:val="single" w:sz="4" w:space="0" w:color="auto"/>
                                    <w:right w:val="single" w:sz="4" w:space="0" w:color="auto"/>
                                  </w:tcBorders>
                                  <w:shd w:val="clear" w:color="000000" w:fill="FFFFFF"/>
                                  <w:noWrap/>
                                  <w:vAlign w:val="center"/>
                                  <w:hideMark/>
                                </w:tcPr>
                                <w:p w14:paraId="0AD5726E"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15,867,464</w:t>
                                  </w:r>
                                </w:p>
                              </w:tc>
                              <w:tc>
                                <w:tcPr>
                                  <w:tcW w:w="1159" w:type="dxa"/>
                                  <w:tcBorders>
                                    <w:top w:val="nil"/>
                                    <w:left w:val="nil"/>
                                    <w:bottom w:val="single" w:sz="4" w:space="0" w:color="auto"/>
                                    <w:right w:val="single" w:sz="4" w:space="0" w:color="auto"/>
                                  </w:tcBorders>
                                  <w:shd w:val="clear" w:color="000000" w:fill="FFFFFF"/>
                                  <w:noWrap/>
                                  <w:vAlign w:val="center"/>
                                  <w:hideMark/>
                                </w:tcPr>
                                <w:p w14:paraId="39938C53"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8,062,147</w:t>
                                  </w:r>
                                </w:p>
                              </w:tc>
                              <w:tc>
                                <w:tcPr>
                                  <w:tcW w:w="1058" w:type="dxa"/>
                                  <w:tcBorders>
                                    <w:top w:val="nil"/>
                                    <w:left w:val="nil"/>
                                    <w:bottom w:val="single" w:sz="4" w:space="0" w:color="auto"/>
                                    <w:right w:val="single" w:sz="4" w:space="0" w:color="auto"/>
                                  </w:tcBorders>
                                  <w:shd w:val="clear" w:color="000000" w:fill="FFFFFF"/>
                                  <w:noWrap/>
                                  <w:vAlign w:val="center"/>
                                  <w:hideMark/>
                                </w:tcPr>
                                <w:p w14:paraId="6C7B25FD"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7,395,195</w:t>
                                  </w:r>
                                </w:p>
                              </w:tc>
                              <w:tc>
                                <w:tcPr>
                                  <w:tcW w:w="1058" w:type="dxa"/>
                                  <w:tcBorders>
                                    <w:top w:val="nil"/>
                                    <w:left w:val="nil"/>
                                    <w:bottom w:val="single" w:sz="4" w:space="0" w:color="auto"/>
                                    <w:right w:val="single" w:sz="4" w:space="0" w:color="auto"/>
                                  </w:tcBorders>
                                  <w:shd w:val="clear" w:color="000000" w:fill="FFFFFF"/>
                                  <w:noWrap/>
                                  <w:vAlign w:val="center"/>
                                  <w:hideMark/>
                                </w:tcPr>
                                <w:p w14:paraId="4B6D52F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6,642,750</w:t>
                                  </w:r>
                                </w:p>
                              </w:tc>
                              <w:tc>
                                <w:tcPr>
                                  <w:tcW w:w="896" w:type="dxa"/>
                                  <w:tcBorders>
                                    <w:top w:val="nil"/>
                                    <w:left w:val="nil"/>
                                    <w:bottom w:val="single" w:sz="4" w:space="0" w:color="auto"/>
                                    <w:right w:val="single" w:sz="4" w:space="0" w:color="auto"/>
                                  </w:tcBorders>
                                  <w:shd w:val="clear" w:color="auto" w:fill="auto"/>
                                  <w:noWrap/>
                                  <w:vAlign w:val="center"/>
                                  <w:hideMark/>
                                </w:tcPr>
                                <w:p w14:paraId="3C13E774"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82.39</w:t>
                                  </w:r>
                                </w:p>
                              </w:tc>
                              <w:tc>
                                <w:tcPr>
                                  <w:tcW w:w="1058" w:type="dxa"/>
                                  <w:tcBorders>
                                    <w:top w:val="nil"/>
                                    <w:left w:val="nil"/>
                                    <w:bottom w:val="single" w:sz="4" w:space="0" w:color="auto"/>
                                    <w:right w:val="single" w:sz="4" w:space="0" w:color="auto"/>
                                  </w:tcBorders>
                                  <w:shd w:val="clear" w:color="000000" w:fill="FFFFFF"/>
                                  <w:noWrap/>
                                  <w:vAlign w:val="center"/>
                                  <w:hideMark/>
                                </w:tcPr>
                                <w:p w14:paraId="62A3294D"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752,444</w:t>
                                  </w:r>
                                </w:p>
                              </w:tc>
                              <w:tc>
                                <w:tcPr>
                                  <w:tcW w:w="1134" w:type="dxa"/>
                                  <w:tcBorders>
                                    <w:top w:val="nil"/>
                                    <w:left w:val="nil"/>
                                    <w:bottom w:val="single" w:sz="4" w:space="0" w:color="auto"/>
                                    <w:right w:val="single" w:sz="4" w:space="0" w:color="auto"/>
                                  </w:tcBorders>
                                  <w:shd w:val="clear" w:color="000000" w:fill="FFFFFF"/>
                                  <w:noWrap/>
                                  <w:vAlign w:val="center"/>
                                  <w:hideMark/>
                                </w:tcPr>
                                <w:p w14:paraId="287458D9"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666,951</w:t>
                                  </w:r>
                                </w:p>
                              </w:tc>
                            </w:tr>
                            <w:tr w:rsidR="00A0212B" w:rsidRPr="00FE4B26" w14:paraId="54E8F99C"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04EFCCCB"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國家科學及技術委員會</w:t>
                                  </w:r>
                                </w:p>
                              </w:tc>
                              <w:tc>
                                <w:tcPr>
                                  <w:tcW w:w="1159" w:type="dxa"/>
                                  <w:tcBorders>
                                    <w:top w:val="nil"/>
                                    <w:left w:val="nil"/>
                                    <w:bottom w:val="single" w:sz="4" w:space="0" w:color="auto"/>
                                    <w:right w:val="single" w:sz="4" w:space="0" w:color="auto"/>
                                  </w:tcBorders>
                                  <w:shd w:val="clear" w:color="000000" w:fill="FFFFFF"/>
                                  <w:noWrap/>
                                  <w:vAlign w:val="center"/>
                                  <w:hideMark/>
                                </w:tcPr>
                                <w:p w14:paraId="7E90330D"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5,400,000</w:t>
                                  </w:r>
                                </w:p>
                              </w:tc>
                              <w:tc>
                                <w:tcPr>
                                  <w:tcW w:w="1159" w:type="dxa"/>
                                  <w:tcBorders>
                                    <w:top w:val="nil"/>
                                    <w:left w:val="nil"/>
                                    <w:bottom w:val="single" w:sz="4" w:space="0" w:color="auto"/>
                                    <w:right w:val="single" w:sz="4" w:space="0" w:color="auto"/>
                                  </w:tcBorders>
                                  <w:shd w:val="clear" w:color="000000" w:fill="FFFFFF"/>
                                  <w:noWrap/>
                                  <w:vAlign w:val="center"/>
                                  <w:hideMark/>
                                </w:tcPr>
                                <w:p w14:paraId="7D037979"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2,880,000</w:t>
                                  </w:r>
                                </w:p>
                              </w:tc>
                              <w:tc>
                                <w:tcPr>
                                  <w:tcW w:w="1058" w:type="dxa"/>
                                  <w:tcBorders>
                                    <w:top w:val="nil"/>
                                    <w:left w:val="nil"/>
                                    <w:bottom w:val="single" w:sz="4" w:space="0" w:color="auto"/>
                                    <w:right w:val="single" w:sz="4" w:space="0" w:color="auto"/>
                                  </w:tcBorders>
                                  <w:shd w:val="clear" w:color="000000" w:fill="FFFFFF"/>
                                  <w:noWrap/>
                                  <w:vAlign w:val="center"/>
                                  <w:hideMark/>
                                </w:tcPr>
                                <w:p w14:paraId="09580BA0"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2,880,</w:t>
                                  </w:r>
                                  <w:r>
                                    <w:rPr>
                                      <w:rFonts w:ascii="標楷體" w:eastAsia="標楷體" w:hAnsi="標楷體" w:cs="新細明體"/>
                                      <w:b/>
                                      <w:bCs/>
                                      <w:kern w:val="0"/>
                                      <w:sz w:val="20"/>
                                    </w:rPr>
                                    <w:t>0</w:t>
                                  </w:r>
                                  <w:r w:rsidRPr="00FE4B26">
                                    <w:rPr>
                                      <w:rFonts w:ascii="標楷體" w:eastAsia="標楷體" w:hAnsi="標楷體" w:cs="新細明體" w:hint="eastAsia"/>
                                      <w:b/>
                                      <w:bCs/>
                                      <w:kern w:val="0"/>
                                      <w:sz w:val="20"/>
                                    </w:rPr>
                                    <w:t>00</w:t>
                                  </w:r>
                                </w:p>
                              </w:tc>
                              <w:tc>
                                <w:tcPr>
                                  <w:tcW w:w="1058" w:type="dxa"/>
                                  <w:tcBorders>
                                    <w:top w:val="nil"/>
                                    <w:left w:val="nil"/>
                                    <w:bottom w:val="single" w:sz="4" w:space="0" w:color="auto"/>
                                    <w:right w:val="single" w:sz="4" w:space="0" w:color="auto"/>
                                  </w:tcBorders>
                                  <w:shd w:val="clear" w:color="000000" w:fill="FFFFFF"/>
                                  <w:noWrap/>
                                  <w:vAlign w:val="center"/>
                                  <w:hideMark/>
                                </w:tcPr>
                                <w:p w14:paraId="11C2A59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2,644,290</w:t>
                                  </w:r>
                                </w:p>
                              </w:tc>
                              <w:tc>
                                <w:tcPr>
                                  <w:tcW w:w="896" w:type="dxa"/>
                                  <w:tcBorders>
                                    <w:top w:val="nil"/>
                                    <w:left w:val="nil"/>
                                    <w:bottom w:val="single" w:sz="4" w:space="0" w:color="auto"/>
                                    <w:right w:val="single" w:sz="4" w:space="0" w:color="auto"/>
                                  </w:tcBorders>
                                  <w:shd w:val="clear" w:color="auto" w:fill="auto"/>
                                  <w:noWrap/>
                                  <w:vAlign w:val="center"/>
                                  <w:hideMark/>
                                </w:tcPr>
                                <w:p w14:paraId="73562DC5"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91.82</w:t>
                                  </w:r>
                                </w:p>
                              </w:tc>
                              <w:tc>
                                <w:tcPr>
                                  <w:tcW w:w="1058" w:type="dxa"/>
                                  <w:tcBorders>
                                    <w:top w:val="nil"/>
                                    <w:left w:val="nil"/>
                                    <w:bottom w:val="single" w:sz="4" w:space="0" w:color="auto"/>
                                    <w:right w:val="single" w:sz="4" w:space="0" w:color="auto"/>
                                  </w:tcBorders>
                                  <w:shd w:val="clear" w:color="000000" w:fill="FFFFFF"/>
                                  <w:noWrap/>
                                  <w:vAlign w:val="center"/>
                                  <w:hideMark/>
                                </w:tcPr>
                                <w:p w14:paraId="4C26E211"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235,709</w:t>
                                  </w:r>
                                </w:p>
                              </w:tc>
                              <w:tc>
                                <w:tcPr>
                                  <w:tcW w:w="1134" w:type="dxa"/>
                                  <w:tcBorders>
                                    <w:top w:val="nil"/>
                                    <w:left w:val="nil"/>
                                    <w:bottom w:val="single" w:sz="4" w:space="0" w:color="auto"/>
                                    <w:right w:val="single" w:sz="4" w:space="0" w:color="auto"/>
                                  </w:tcBorders>
                                  <w:shd w:val="clear" w:color="000000" w:fill="FFFFFF"/>
                                  <w:noWrap/>
                                  <w:vAlign w:val="center"/>
                                  <w:hideMark/>
                                </w:tcPr>
                                <w:p w14:paraId="0ABB77A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r>
                            <w:tr w:rsidR="00A0212B" w:rsidRPr="00FE4B26" w14:paraId="6925B756" w14:textId="77777777" w:rsidTr="000131EC">
                              <w:trPr>
                                <w:trHeight w:val="20"/>
                                <w:jc w:val="center"/>
                              </w:trPr>
                              <w:tc>
                                <w:tcPr>
                                  <w:tcW w:w="9659" w:type="dxa"/>
                                  <w:gridSpan w:val="8"/>
                                  <w:tcBorders>
                                    <w:top w:val="single" w:sz="4" w:space="0" w:color="auto"/>
                                  </w:tcBorders>
                                  <w:shd w:val="clear" w:color="000000" w:fill="FFFFFF"/>
                                </w:tcPr>
                                <w:p w14:paraId="08BCB044" w14:textId="77777777" w:rsidR="00A0212B" w:rsidRPr="0081537A" w:rsidRDefault="00A0212B" w:rsidP="000131EC">
                                  <w:pPr>
                                    <w:spacing w:line="240" w:lineRule="exact"/>
                                    <w:rPr>
                                      <w:rFonts w:ascii="標楷體" w:eastAsia="標楷體" w:hAnsi="標楷體" w:cs="新細明體"/>
                                      <w:color w:val="000000"/>
                                      <w:kern w:val="0"/>
                                      <w:sz w:val="18"/>
                                      <w:szCs w:val="18"/>
                                    </w:rPr>
                                  </w:pPr>
                                  <w:r w:rsidRPr="0081537A">
                                    <w:rPr>
                                      <w:rFonts w:ascii="標楷體" w:eastAsia="標楷體" w:hAnsi="標楷體" w:cstheme="minorBidi" w:hint="eastAsia"/>
                                      <w:sz w:val="18"/>
                                      <w:szCs w:val="18"/>
                                    </w:rPr>
                                    <w:t>註：1</w:t>
                                  </w:r>
                                  <w:r w:rsidRPr="0081537A">
                                    <w:rPr>
                                      <w:rFonts w:ascii="標楷體" w:eastAsia="標楷體" w:hAnsi="標楷體" w:cstheme="minorBidi"/>
                                      <w:sz w:val="18"/>
                                      <w:szCs w:val="18"/>
                                    </w:rPr>
                                    <w:t>.</w:t>
                                  </w:r>
                                  <w:r w:rsidRPr="0081537A">
                                    <w:rPr>
                                      <w:rFonts w:ascii="標楷體" w:eastAsia="標楷體" w:hAnsi="標楷體" w:cstheme="minorBidi" w:hint="eastAsia"/>
                                      <w:sz w:val="18"/>
                                      <w:szCs w:val="18"/>
                                    </w:rPr>
                                    <w:t>實現率=實現數/</w:t>
                                  </w:r>
                                  <w:r w:rsidRPr="0081537A">
                                    <w:rPr>
                                      <w:rFonts w:ascii="標楷體" w:eastAsia="標楷體" w:hAnsi="標楷體" w:cs="新細明體" w:hint="eastAsia"/>
                                      <w:color w:val="000000"/>
                                      <w:kern w:val="0"/>
                                      <w:sz w:val="18"/>
                                      <w:szCs w:val="18"/>
                                    </w:rPr>
                                    <w:t>112年度分配預算數</w:t>
                                  </w:r>
                                  <w:r w:rsidRPr="0081537A">
                                    <w:rPr>
                                      <w:rFonts w:ascii="標楷體" w:eastAsia="標楷體" w:hAnsi="標楷體" w:cs="新細明體"/>
                                      <w:color w:val="000000"/>
                                      <w:kern w:val="0"/>
                                      <w:sz w:val="18"/>
                                      <w:szCs w:val="18"/>
                                    </w:rPr>
                                    <w:t>×100</w:t>
                                  </w:r>
                                  <w:r w:rsidRPr="0078131B">
                                    <w:rPr>
                                      <w:rFonts w:ascii="標楷體" w:eastAsia="標楷體" w:hAnsi="標楷體" w:cs="新細明體" w:hint="eastAsia"/>
                                      <w:color w:val="000000"/>
                                      <w:kern w:val="0"/>
                                      <w:sz w:val="18"/>
                                      <w:szCs w:val="18"/>
                                    </w:rPr>
                                    <w:t>％</w:t>
                                  </w:r>
                                  <w:r w:rsidRPr="0081537A">
                                    <w:rPr>
                                      <w:rFonts w:ascii="標楷體" w:eastAsia="標楷體" w:hAnsi="標楷體" w:cs="新細明體" w:hint="eastAsia"/>
                                      <w:color w:val="000000"/>
                                      <w:kern w:val="0"/>
                                      <w:sz w:val="18"/>
                                      <w:szCs w:val="18"/>
                                    </w:rPr>
                                    <w:t>。</w:t>
                                  </w:r>
                                </w:p>
                                <w:p w14:paraId="49C2C4F8" w14:textId="77777777" w:rsidR="00A0212B" w:rsidRDefault="00A0212B" w:rsidP="000131EC">
                                  <w:pPr>
                                    <w:spacing w:line="240" w:lineRule="exact"/>
                                    <w:ind w:firstLineChars="200" w:firstLine="360"/>
                                    <w:rPr>
                                      <w:rFonts w:ascii="標楷體" w:eastAsia="標楷體" w:hAnsi="標楷體" w:cstheme="minorBidi"/>
                                      <w:sz w:val="18"/>
                                      <w:szCs w:val="18"/>
                                    </w:rPr>
                                  </w:pPr>
                                  <w:r w:rsidRPr="00FE4B26">
                                    <w:rPr>
                                      <w:rFonts w:ascii="標楷體" w:eastAsia="標楷體" w:hAnsi="標楷體" w:cstheme="minorBidi" w:hint="eastAsia"/>
                                      <w:sz w:val="18"/>
                                      <w:szCs w:val="18"/>
                                    </w:rPr>
                                    <w:t>2</w:t>
                                  </w:r>
                                  <w:r w:rsidRPr="00FE4B26">
                                    <w:rPr>
                                      <w:rFonts w:ascii="標楷體" w:eastAsia="標楷體" w:hAnsi="標楷體" w:cstheme="minorBidi"/>
                                      <w:sz w:val="18"/>
                                      <w:szCs w:val="18"/>
                                    </w:rPr>
                                    <w:t>.</w:t>
                                  </w:r>
                                  <w:r w:rsidRPr="00B331AB">
                                    <w:rPr>
                                      <w:rFonts w:ascii="標楷體" w:eastAsia="標楷體" w:hAnsi="標楷體" w:cstheme="minorBidi" w:hint="eastAsia"/>
                                      <w:sz w:val="18"/>
                                      <w:szCs w:val="18"/>
                                    </w:rPr>
                                    <w:t>底色部分為實現率未達8成</w:t>
                                  </w:r>
                                  <w:r>
                                    <w:rPr>
                                      <w:rFonts w:ascii="標楷體" w:eastAsia="標楷體" w:hAnsi="標楷體" w:cstheme="minorBidi" w:hint="eastAsia"/>
                                      <w:sz w:val="18"/>
                                      <w:szCs w:val="18"/>
                                    </w:rPr>
                                    <w:t>之中央主管機關。</w:t>
                                  </w:r>
                                </w:p>
                                <w:p w14:paraId="500B34A3" w14:textId="77777777" w:rsidR="00A0212B" w:rsidRPr="00FE4B26" w:rsidRDefault="00A0212B" w:rsidP="000131EC">
                                  <w:pPr>
                                    <w:spacing w:line="240" w:lineRule="exact"/>
                                    <w:ind w:firstLineChars="200" w:firstLine="360"/>
                                    <w:rPr>
                                      <w:rFonts w:ascii="標楷體" w:eastAsia="標楷體" w:hAnsi="標楷體" w:cstheme="minorBidi"/>
                                      <w:kern w:val="0"/>
                                      <w:sz w:val="18"/>
                                      <w:szCs w:val="18"/>
                                    </w:rPr>
                                  </w:pPr>
                                  <w:r>
                                    <w:rPr>
                                      <w:rFonts w:ascii="標楷體" w:eastAsia="標楷體" w:hAnsi="標楷體" w:cstheme="minorBidi"/>
                                      <w:sz w:val="18"/>
                                      <w:szCs w:val="18"/>
                                    </w:rPr>
                                    <w:t>3.</w:t>
                                  </w:r>
                                  <w:r w:rsidRPr="00FE4B26">
                                    <w:rPr>
                                      <w:rFonts w:ascii="標楷體" w:eastAsia="標楷體" w:hAnsi="標楷體" w:cstheme="minorBidi" w:hint="eastAsia"/>
                                      <w:sz w:val="18"/>
                                      <w:szCs w:val="18"/>
                                    </w:rPr>
                                    <w:t>資料來源：整理自</w:t>
                                  </w:r>
                                  <w:r w:rsidRPr="00FE4B26">
                                    <w:rPr>
                                      <w:rFonts w:ascii="標楷體" w:eastAsia="標楷體" w:hAnsi="標楷體" w:cs="新細明體" w:hint="eastAsia"/>
                                      <w:kern w:val="0"/>
                                      <w:sz w:val="18"/>
                                      <w:szCs w:val="18"/>
                                    </w:rPr>
                                    <w:t>行政院</w:t>
                                  </w:r>
                                  <w:r w:rsidRPr="00FE4B26">
                                    <w:rPr>
                                      <w:rFonts w:ascii="標楷體" w:eastAsia="標楷體" w:hAnsi="標楷體" w:cstheme="minorBidi" w:hint="eastAsia"/>
                                      <w:sz w:val="18"/>
                                      <w:szCs w:val="18"/>
                                    </w:rPr>
                                    <w:t>112年度中央政府總決算總說明、主要表及相關附屬表（第1冊）。</w:t>
                                  </w:r>
                                </w:p>
                                <w:p w14:paraId="58EF232F" w14:textId="77777777" w:rsidR="00A0212B" w:rsidRPr="00FE4B26" w:rsidRDefault="00A0212B" w:rsidP="000131EC">
                                  <w:pPr>
                                    <w:widowControl/>
                                    <w:spacing w:line="240" w:lineRule="exact"/>
                                    <w:rPr>
                                      <w:rFonts w:ascii="標楷體" w:eastAsia="標楷體" w:hAnsi="標楷體" w:cs="新細明體"/>
                                      <w:kern w:val="0"/>
                                      <w:sz w:val="20"/>
                                    </w:rPr>
                                  </w:pPr>
                                </w:p>
                              </w:tc>
                            </w:tr>
                          </w:tbl>
                          <w:p w14:paraId="66F74258" w14:textId="77777777" w:rsidR="00A0212B" w:rsidRPr="00FE4B26" w:rsidRDefault="00A0212B" w:rsidP="008A6163">
                            <w:pPr>
                              <w:spacing w:line="220" w:lineRule="exact"/>
                              <w:ind w:leftChars="155" w:left="552" w:hangingChars="100" w:hanging="180"/>
                              <w:jc w:val="center"/>
                              <w:rPr>
                                <w:rFonts w:ascii="標楷體" w:eastAsia="標楷體" w:hAnsi="標楷體"/>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0C161" id="文字方塊 84" o:spid="_x0000_s1089" type="#_x0000_t202" style="position:absolute;left:0;text-align:left;margin-left:45.75pt;margin-top:8pt;width:501.95pt;height:335.0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" fillcolor="window" stroked="f" strokeweight=".5pt">
                <v:textbox>
                  <w:txbxContent>
                    <w:tbl>
                      <w:tblPr>
                        <w:tblW w:w="9659" w:type="dxa"/>
                        <w:jc w:val="center"/>
                        <w:tblCellMar>
                          <w:left w:w="28" w:type="dxa"/>
                          <w:right w:w="28" w:type="dxa"/>
                        </w:tblCellMar>
                        <w:tblLook w:val="04A0" w:firstRow="1" w:lastRow="0" w:firstColumn="1" w:lastColumn="0" w:noHBand="0" w:noVBand="1"/>
                      </w:tblPr>
                      <w:tblGrid>
                        <w:gridCol w:w="2137"/>
                        <w:gridCol w:w="1159"/>
                        <w:gridCol w:w="1159"/>
                        <w:gridCol w:w="1058"/>
                        <w:gridCol w:w="1058"/>
                        <w:gridCol w:w="896"/>
                        <w:gridCol w:w="1058"/>
                        <w:gridCol w:w="1134"/>
                      </w:tblGrid>
                      <w:tr w:rsidR="00A0212B" w:rsidRPr="00FE4B26" w14:paraId="1519BCBA" w14:textId="77777777" w:rsidTr="000131EC">
                        <w:trPr>
                          <w:trHeight w:val="20"/>
                          <w:jc w:val="center"/>
                        </w:trPr>
                        <w:tc>
                          <w:tcPr>
                            <w:tcW w:w="9659" w:type="dxa"/>
                            <w:gridSpan w:val="8"/>
                            <w:shd w:val="clear" w:color="auto" w:fill="auto"/>
                            <w:vAlign w:val="center"/>
                          </w:tcPr>
                          <w:p w14:paraId="2A90EE7B" w14:textId="452ADE3A" w:rsidR="00A0212B" w:rsidRPr="00FE4B26" w:rsidRDefault="00A0212B">
                            <w:pPr>
                              <w:widowControl/>
                              <w:spacing w:line="240" w:lineRule="exact"/>
                              <w:jc w:val="center"/>
                              <w:rPr>
                                <w:rFonts w:ascii="標楷體" w:eastAsia="標楷體" w:hAnsi="標楷體" w:cs="新細明體"/>
                                <w:kern w:val="0"/>
                                <w:sz w:val="20"/>
                              </w:rPr>
                            </w:pPr>
                            <w:r w:rsidRPr="00FE4B26">
                              <w:rPr>
                                <w:rFonts w:ascii="標楷體" w:eastAsia="標楷體" w:hAnsi="標楷體" w:hint="eastAsia"/>
                                <w:b/>
                                <w:bCs/>
                              </w:rPr>
                              <w:t>表</w:t>
                            </w:r>
                            <w:r>
                              <w:rPr>
                                <w:rFonts w:ascii="標楷體" w:eastAsia="標楷體" w:hAnsi="標楷體"/>
                                <w:b/>
                                <w:bCs/>
                              </w:rPr>
                              <w:t>24</w:t>
                            </w:r>
                            <w:r w:rsidRPr="00FE4B26">
                              <w:rPr>
                                <w:rFonts w:ascii="標楷體" w:eastAsia="標楷體" w:hAnsi="標楷體" w:hint="eastAsia"/>
                                <w:b/>
                                <w:bCs/>
                              </w:rPr>
                              <w:t xml:space="preserve">　前瞻計畫第</w:t>
                            </w:r>
                            <w:r w:rsidRPr="00FE4B26">
                              <w:rPr>
                                <w:rFonts w:ascii="標楷體" w:eastAsia="標楷體" w:hAnsi="標楷體"/>
                                <w:b/>
                                <w:bCs/>
                              </w:rPr>
                              <w:t>4期特別預算</w:t>
                            </w:r>
                            <w:r w:rsidRPr="00FE4B26">
                              <w:rPr>
                                <w:rFonts w:ascii="標楷體" w:eastAsia="標楷體" w:hAnsi="標楷體" w:hint="eastAsia"/>
                                <w:b/>
                                <w:bCs/>
                              </w:rPr>
                              <w:t>1</w:t>
                            </w:r>
                            <w:r w:rsidRPr="00FE4B26">
                              <w:rPr>
                                <w:rFonts w:ascii="標楷體" w:eastAsia="標楷體" w:hAnsi="標楷體"/>
                                <w:b/>
                                <w:bCs/>
                              </w:rPr>
                              <w:t>12</w:t>
                            </w:r>
                            <w:r w:rsidRPr="00FE4B26">
                              <w:rPr>
                                <w:rFonts w:ascii="標楷體" w:eastAsia="標楷體" w:hAnsi="標楷體" w:hint="eastAsia"/>
                                <w:b/>
                                <w:bCs/>
                              </w:rPr>
                              <w:t>年度中央主管機關執行情形</w:t>
                            </w:r>
                          </w:p>
                        </w:tc>
                      </w:tr>
                      <w:tr w:rsidR="00A0212B" w:rsidRPr="00FE4B26" w14:paraId="561424B5" w14:textId="77777777" w:rsidTr="000131EC">
                        <w:trPr>
                          <w:trHeight w:val="20"/>
                          <w:jc w:val="center"/>
                        </w:trPr>
                        <w:tc>
                          <w:tcPr>
                            <w:tcW w:w="9659" w:type="dxa"/>
                            <w:gridSpan w:val="8"/>
                            <w:tcBorders>
                              <w:bottom w:val="single" w:sz="4" w:space="0" w:color="auto"/>
                            </w:tcBorders>
                            <w:shd w:val="clear" w:color="auto" w:fill="auto"/>
                            <w:vAlign w:val="center"/>
                          </w:tcPr>
                          <w:p w14:paraId="1769EF75" w14:textId="77777777" w:rsidR="00A0212B" w:rsidRPr="00374A6D" w:rsidRDefault="00A0212B" w:rsidP="000131EC">
                            <w:pPr>
                              <w:widowControl/>
                              <w:spacing w:line="240" w:lineRule="exact"/>
                              <w:jc w:val="right"/>
                              <w:rPr>
                                <w:rFonts w:ascii="標楷體" w:eastAsia="標楷體" w:hAnsi="標楷體" w:cs="新細明體"/>
                                <w:kern w:val="0"/>
                                <w:sz w:val="20"/>
                              </w:rPr>
                            </w:pPr>
                            <w:r w:rsidRPr="00374A6D">
                              <w:rPr>
                                <w:rFonts w:ascii="標楷體" w:eastAsia="標楷體" w:hAnsi="標楷體" w:cs="新細明體" w:hint="eastAsia"/>
                                <w:kern w:val="0"/>
                                <w:sz w:val="20"/>
                              </w:rPr>
                              <w:t>單位：新臺幣千元、％</w:t>
                            </w:r>
                          </w:p>
                        </w:tc>
                      </w:tr>
                      <w:tr w:rsidR="00A0212B" w:rsidRPr="00FE4B26" w14:paraId="5276C0B2" w14:textId="77777777" w:rsidTr="000131EC">
                        <w:trPr>
                          <w:trHeight w:val="20"/>
                          <w:jc w:val="center"/>
                        </w:trPr>
                        <w:tc>
                          <w:tcPr>
                            <w:tcW w:w="2137" w:type="dxa"/>
                            <w:vMerge w:val="restart"/>
                            <w:tcBorders>
                              <w:top w:val="single" w:sz="4" w:space="0" w:color="auto"/>
                              <w:left w:val="single" w:sz="4" w:space="0" w:color="auto"/>
                              <w:right w:val="single" w:sz="4" w:space="0" w:color="auto"/>
                            </w:tcBorders>
                            <w:shd w:val="clear" w:color="auto" w:fill="auto"/>
                            <w:vAlign w:val="center"/>
                            <w:hideMark/>
                          </w:tcPr>
                          <w:p w14:paraId="5DD11F59" w14:textId="77777777" w:rsidR="00A0212B" w:rsidRPr="00FE4B26" w:rsidRDefault="00A0212B" w:rsidP="000131EC">
                            <w:pPr>
                              <w:widowControl/>
                              <w:spacing w:line="240" w:lineRule="exact"/>
                              <w:jc w:val="center"/>
                              <w:rPr>
                                <w:rFonts w:ascii="標楷體" w:eastAsia="標楷體" w:hAnsi="標楷體" w:cs="新細明體"/>
                                <w:kern w:val="0"/>
                              </w:rPr>
                            </w:pPr>
                            <w:r w:rsidRPr="00FE4B26">
                              <w:rPr>
                                <w:rFonts w:ascii="標楷體" w:eastAsia="標楷體" w:hAnsi="標楷體" w:cs="新細明體" w:hint="eastAsia"/>
                                <w:kern w:val="0"/>
                                <w:sz w:val="20"/>
                              </w:rPr>
                              <w:t>主管機關</w:t>
                            </w:r>
                          </w:p>
                        </w:tc>
                        <w:tc>
                          <w:tcPr>
                            <w:tcW w:w="1159" w:type="dxa"/>
                            <w:vMerge w:val="restart"/>
                            <w:tcBorders>
                              <w:top w:val="single" w:sz="4" w:space="0" w:color="auto"/>
                              <w:left w:val="nil"/>
                              <w:right w:val="single" w:sz="4" w:space="0" w:color="auto"/>
                            </w:tcBorders>
                            <w:shd w:val="clear" w:color="auto" w:fill="auto"/>
                            <w:vAlign w:val="center"/>
                            <w:hideMark/>
                          </w:tcPr>
                          <w:p w14:paraId="3AAC933E" w14:textId="77777777" w:rsidR="00A0212B" w:rsidRPr="00FE4B26" w:rsidRDefault="00A0212B" w:rsidP="000131EC">
                            <w:pPr>
                              <w:widowControl/>
                              <w:spacing w:line="240" w:lineRule="exact"/>
                              <w:jc w:val="center"/>
                              <w:rPr>
                                <w:rFonts w:ascii="標楷體" w:eastAsia="標楷體" w:hAnsi="標楷體" w:cs="新細明體"/>
                                <w:kern w:val="0"/>
                              </w:rPr>
                            </w:pPr>
                            <w:r w:rsidRPr="00FE4B26">
                              <w:rPr>
                                <w:rFonts w:ascii="標楷體" w:eastAsia="標楷體" w:hAnsi="標楷體" w:cs="新細明體" w:hint="eastAsia"/>
                                <w:kern w:val="0"/>
                                <w:sz w:val="20"/>
                              </w:rPr>
                              <w:t>預算數</w:t>
                            </w:r>
                          </w:p>
                        </w:tc>
                        <w:tc>
                          <w:tcPr>
                            <w:tcW w:w="1159" w:type="dxa"/>
                            <w:vMerge w:val="restart"/>
                            <w:tcBorders>
                              <w:top w:val="single" w:sz="4" w:space="0" w:color="auto"/>
                              <w:left w:val="nil"/>
                              <w:right w:val="single" w:sz="4" w:space="0" w:color="auto"/>
                            </w:tcBorders>
                            <w:shd w:val="clear" w:color="auto" w:fill="auto"/>
                            <w:vAlign w:val="center"/>
                            <w:hideMark/>
                          </w:tcPr>
                          <w:p w14:paraId="0999794F"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1</w:t>
                            </w:r>
                            <w:r w:rsidRPr="00FE4B26">
                              <w:rPr>
                                <w:rFonts w:ascii="標楷體" w:eastAsia="標楷體" w:hAnsi="標楷體" w:cs="新細明體"/>
                                <w:kern w:val="0"/>
                                <w:sz w:val="20"/>
                              </w:rPr>
                              <w:t>12</w:t>
                            </w:r>
                            <w:r w:rsidRPr="00FE4B26">
                              <w:rPr>
                                <w:rFonts w:ascii="標楷體" w:eastAsia="標楷體" w:hAnsi="標楷體" w:cs="新細明體" w:hint="eastAsia"/>
                                <w:kern w:val="0"/>
                                <w:sz w:val="20"/>
                              </w:rPr>
                              <w:t>年度</w:t>
                            </w:r>
                          </w:p>
                          <w:p w14:paraId="5FCF7F9F" w14:textId="77777777" w:rsidR="00A0212B" w:rsidRPr="00FE4B26" w:rsidRDefault="00A0212B" w:rsidP="000131EC">
                            <w:pPr>
                              <w:widowControl/>
                              <w:spacing w:line="240" w:lineRule="exact"/>
                              <w:jc w:val="center"/>
                              <w:rPr>
                                <w:rFonts w:ascii="標楷體" w:eastAsia="標楷體" w:hAnsi="標楷體" w:cs="新細明體"/>
                                <w:kern w:val="0"/>
                              </w:rPr>
                            </w:pPr>
                            <w:r w:rsidRPr="00FE4B26">
                              <w:rPr>
                                <w:rFonts w:ascii="標楷體" w:eastAsia="標楷體" w:hAnsi="標楷體" w:cs="新細明體" w:hint="eastAsia"/>
                                <w:kern w:val="0"/>
                                <w:sz w:val="20"/>
                              </w:rPr>
                              <w:t>分配預算數</w:t>
                            </w:r>
                          </w:p>
                        </w:tc>
                        <w:tc>
                          <w:tcPr>
                            <w:tcW w:w="4070" w:type="dxa"/>
                            <w:gridSpan w:val="4"/>
                            <w:tcBorders>
                              <w:top w:val="single" w:sz="4" w:space="0" w:color="auto"/>
                              <w:left w:val="nil"/>
                              <w:bottom w:val="single" w:sz="4" w:space="0" w:color="auto"/>
                              <w:right w:val="single" w:sz="4" w:space="0" w:color="auto"/>
                            </w:tcBorders>
                            <w:shd w:val="clear" w:color="auto" w:fill="auto"/>
                            <w:vAlign w:val="center"/>
                            <w:hideMark/>
                          </w:tcPr>
                          <w:p w14:paraId="365FF23F"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執行情形</w:t>
                            </w:r>
                          </w:p>
                        </w:tc>
                        <w:tc>
                          <w:tcPr>
                            <w:tcW w:w="1134" w:type="dxa"/>
                            <w:vMerge w:val="restart"/>
                            <w:tcBorders>
                              <w:top w:val="single" w:sz="4" w:space="0" w:color="auto"/>
                              <w:left w:val="nil"/>
                              <w:right w:val="single" w:sz="4" w:space="0" w:color="auto"/>
                            </w:tcBorders>
                            <w:shd w:val="clear" w:color="auto" w:fill="auto"/>
                            <w:vAlign w:val="center"/>
                            <w:hideMark/>
                          </w:tcPr>
                          <w:p w14:paraId="19DD1B8D" w14:textId="77777777" w:rsidR="00A0212B" w:rsidRPr="00FE4B26" w:rsidRDefault="00A0212B" w:rsidP="000131EC">
                            <w:pPr>
                              <w:widowControl/>
                              <w:spacing w:line="240" w:lineRule="exact"/>
                              <w:jc w:val="center"/>
                              <w:rPr>
                                <w:rFonts w:ascii="標楷體" w:eastAsia="標楷體" w:hAnsi="標楷體" w:cs="新細明體"/>
                                <w:kern w:val="0"/>
                              </w:rPr>
                            </w:pPr>
                            <w:r w:rsidRPr="00FE4B26">
                              <w:rPr>
                                <w:rFonts w:ascii="標楷體" w:eastAsia="標楷體" w:hAnsi="標楷體" w:cs="新細明體" w:hint="eastAsia"/>
                                <w:kern w:val="0"/>
                                <w:sz w:val="20"/>
                              </w:rPr>
                              <w:t>分配數餘額</w:t>
                            </w:r>
                          </w:p>
                        </w:tc>
                      </w:tr>
                      <w:tr w:rsidR="00A0212B" w:rsidRPr="00FE4B26" w14:paraId="4741A236" w14:textId="77777777" w:rsidTr="000131EC">
                        <w:trPr>
                          <w:trHeight w:val="240"/>
                          <w:jc w:val="center"/>
                        </w:trPr>
                        <w:tc>
                          <w:tcPr>
                            <w:tcW w:w="2137" w:type="dxa"/>
                            <w:vMerge/>
                            <w:tcBorders>
                              <w:left w:val="single" w:sz="4" w:space="0" w:color="auto"/>
                              <w:right w:val="single" w:sz="4" w:space="0" w:color="auto"/>
                            </w:tcBorders>
                            <w:shd w:val="clear" w:color="auto" w:fill="auto"/>
                            <w:vAlign w:val="center"/>
                          </w:tcPr>
                          <w:p w14:paraId="30CB49A7"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59" w:type="dxa"/>
                            <w:vMerge/>
                            <w:tcBorders>
                              <w:left w:val="nil"/>
                              <w:right w:val="single" w:sz="4" w:space="0" w:color="auto"/>
                            </w:tcBorders>
                            <w:shd w:val="clear" w:color="auto" w:fill="auto"/>
                            <w:vAlign w:val="center"/>
                          </w:tcPr>
                          <w:p w14:paraId="01D54F1C"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59" w:type="dxa"/>
                            <w:vMerge/>
                            <w:tcBorders>
                              <w:left w:val="nil"/>
                              <w:right w:val="single" w:sz="4" w:space="0" w:color="auto"/>
                            </w:tcBorders>
                            <w:shd w:val="clear" w:color="auto" w:fill="auto"/>
                            <w:vAlign w:val="center"/>
                          </w:tcPr>
                          <w:p w14:paraId="6F488490"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058" w:type="dxa"/>
                            <w:vMerge w:val="restart"/>
                            <w:tcBorders>
                              <w:top w:val="single" w:sz="4" w:space="0" w:color="auto"/>
                              <w:left w:val="nil"/>
                              <w:right w:val="single" w:sz="4" w:space="0" w:color="auto"/>
                            </w:tcBorders>
                            <w:shd w:val="clear" w:color="auto" w:fill="auto"/>
                            <w:vAlign w:val="center"/>
                            <w:hideMark/>
                          </w:tcPr>
                          <w:p w14:paraId="4C128CA3"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合計</w:t>
                            </w:r>
                          </w:p>
                        </w:tc>
                        <w:tc>
                          <w:tcPr>
                            <w:tcW w:w="1954" w:type="dxa"/>
                            <w:gridSpan w:val="2"/>
                            <w:tcBorders>
                              <w:top w:val="single" w:sz="4" w:space="0" w:color="auto"/>
                              <w:left w:val="nil"/>
                              <w:right w:val="single" w:sz="4" w:space="0" w:color="auto"/>
                            </w:tcBorders>
                            <w:shd w:val="clear" w:color="auto" w:fill="auto"/>
                            <w:vAlign w:val="center"/>
                            <w:hideMark/>
                          </w:tcPr>
                          <w:p w14:paraId="7EAA3196"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058" w:type="dxa"/>
                            <w:vMerge w:val="restart"/>
                            <w:tcBorders>
                              <w:top w:val="single" w:sz="4" w:space="0" w:color="auto"/>
                              <w:left w:val="nil"/>
                              <w:right w:val="single" w:sz="4" w:space="0" w:color="auto"/>
                            </w:tcBorders>
                            <w:shd w:val="clear" w:color="auto" w:fill="auto"/>
                            <w:vAlign w:val="center"/>
                            <w:hideMark/>
                          </w:tcPr>
                          <w:p w14:paraId="623D48AB"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預付數</w:t>
                            </w:r>
                          </w:p>
                        </w:tc>
                        <w:tc>
                          <w:tcPr>
                            <w:tcW w:w="1134" w:type="dxa"/>
                            <w:vMerge/>
                            <w:tcBorders>
                              <w:left w:val="nil"/>
                              <w:right w:val="single" w:sz="4" w:space="0" w:color="auto"/>
                            </w:tcBorders>
                            <w:shd w:val="clear" w:color="auto" w:fill="auto"/>
                            <w:vAlign w:val="center"/>
                          </w:tcPr>
                          <w:p w14:paraId="6419A7A7" w14:textId="77777777" w:rsidR="00A0212B" w:rsidRPr="00FE4B26" w:rsidRDefault="00A0212B" w:rsidP="000131EC">
                            <w:pPr>
                              <w:widowControl/>
                              <w:spacing w:line="240" w:lineRule="exact"/>
                              <w:jc w:val="center"/>
                              <w:rPr>
                                <w:rFonts w:ascii="標楷體" w:eastAsia="標楷體" w:hAnsi="標楷體" w:cs="新細明體"/>
                                <w:kern w:val="0"/>
                                <w:sz w:val="20"/>
                              </w:rPr>
                            </w:pPr>
                          </w:p>
                        </w:tc>
                      </w:tr>
                      <w:tr w:rsidR="00A0212B" w:rsidRPr="00FE4B26" w14:paraId="0E4D683D" w14:textId="77777777" w:rsidTr="000131EC">
                        <w:trPr>
                          <w:trHeight w:val="240"/>
                          <w:jc w:val="center"/>
                        </w:trPr>
                        <w:tc>
                          <w:tcPr>
                            <w:tcW w:w="2137" w:type="dxa"/>
                            <w:vMerge/>
                            <w:tcBorders>
                              <w:left w:val="single" w:sz="4" w:space="0" w:color="auto"/>
                              <w:bottom w:val="single" w:sz="4" w:space="0" w:color="auto"/>
                              <w:right w:val="single" w:sz="4" w:space="0" w:color="auto"/>
                            </w:tcBorders>
                            <w:shd w:val="clear" w:color="auto" w:fill="auto"/>
                            <w:vAlign w:val="center"/>
                          </w:tcPr>
                          <w:p w14:paraId="3BF8C4B7"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59" w:type="dxa"/>
                            <w:vMerge/>
                            <w:tcBorders>
                              <w:left w:val="nil"/>
                              <w:bottom w:val="single" w:sz="4" w:space="0" w:color="auto"/>
                              <w:right w:val="single" w:sz="4" w:space="0" w:color="auto"/>
                            </w:tcBorders>
                            <w:shd w:val="clear" w:color="auto" w:fill="auto"/>
                            <w:vAlign w:val="center"/>
                          </w:tcPr>
                          <w:p w14:paraId="519F64D0"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59" w:type="dxa"/>
                            <w:vMerge/>
                            <w:tcBorders>
                              <w:left w:val="nil"/>
                              <w:bottom w:val="single" w:sz="4" w:space="0" w:color="auto"/>
                              <w:right w:val="single" w:sz="4" w:space="0" w:color="auto"/>
                            </w:tcBorders>
                            <w:shd w:val="clear" w:color="auto" w:fill="auto"/>
                            <w:vAlign w:val="center"/>
                          </w:tcPr>
                          <w:p w14:paraId="6AEB7293"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058" w:type="dxa"/>
                            <w:vMerge/>
                            <w:tcBorders>
                              <w:left w:val="nil"/>
                              <w:bottom w:val="single" w:sz="4" w:space="0" w:color="auto"/>
                              <w:right w:val="single" w:sz="4" w:space="0" w:color="auto"/>
                            </w:tcBorders>
                            <w:shd w:val="clear" w:color="auto" w:fill="auto"/>
                            <w:vAlign w:val="center"/>
                          </w:tcPr>
                          <w:p w14:paraId="65976AA2"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058" w:type="dxa"/>
                            <w:tcBorders>
                              <w:left w:val="nil"/>
                              <w:bottom w:val="single" w:sz="4" w:space="0" w:color="auto"/>
                              <w:right w:val="single" w:sz="4" w:space="0" w:color="auto"/>
                            </w:tcBorders>
                            <w:shd w:val="clear" w:color="auto" w:fill="auto"/>
                          </w:tcPr>
                          <w:p w14:paraId="7CE2C527"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實現數</w:t>
                            </w:r>
                          </w:p>
                        </w:tc>
                        <w:tc>
                          <w:tcPr>
                            <w:tcW w:w="896" w:type="dxa"/>
                            <w:tcBorders>
                              <w:top w:val="single" w:sz="4" w:space="0" w:color="auto"/>
                              <w:left w:val="nil"/>
                              <w:bottom w:val="single" w:sz="4" w:space="0" w:color="auto"/>
                              <w:right w:val="single" w:sz="4" w:space="0" w:color="auto"/>
                            </w:tcBorders>
                            <w:shd w:val="clear" w:color="auto" w:fill="auto"/>
                            <w:vAlign w:val="center"/>
                          </w:tcPr>
                          <w:p w14:paraId="22B2767C"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kern w:val="0"/>
                                <w:sz w:val="20"/>
                              </w:rPr>
                              <w:t>實現率</w:t>
                            </w:r>
                          </w:p>
                          <w:p w14:paraId="33783CB4" w14:textId="77777777" w:rsidR="00A0212B" w:rsidRPr="00FE4B26" w:rsidRDefault="00A0212B" w:rsidP="000131EC">
                            <w:pPr>
                              <w:widowControl/>
                              <w:spacing w:line="240" w:lineRule="exact"/>
                              <w:jc w:val="center"/>
                              <w:rPr>
                                <w:rFonts w:ascii="標楷體" w:eastAsia="標楷體" w:hAnsi="標楷體" w:cs="新細明體"/>
                                <w:kern w:val="0"/>
                                <w:sz w:val="20"/>
                              </w:rPr>
                            </w:pPr>
                            <w:r w:rsidRPr="00FE4B26">
                              <w:rPr>
                                <w:rFonts w:ascii="標楷體" w:eastAsia="標楷體" w:hAnsi="標楷體" w:cs="新細明體" w:hint="eastAsia"/>
                                <w:color w:val="000000"/>
                                <w:kern w:val="0"/>
                                <w:sz w:val="20"/>
                              </w:rPr>
                              <w:t>（註1）</w:t>
                            </w:r>
                          </w:p>
                        </w:tc>
                        <w:tc>
                          <w:tcPr>
                            <w:tcW w:w="1058" w:type="dxa"/>
                            <w:vMerge/>
                            <w:tcBorders>
                              <w:left w:val="nil"/>
                              <w:bottom w:val="single" w:sz="4" w:space="0" w:color="auto"/>
                              <w:right w:val="single" w:sz="4" w:space="0" w:color="auto"/>
                            </w:tcBorders>
                            <w:shd w:val="clear" w:color="auto" w:fill="auto"/>
                            <w:vAlign w:val="center"/>
                          </w:tcPr>
                          <w:p w14:paraId="26BD8E13" w14:textId="77777777" w:rsidR="00A0212B" w:rsidRPr="00FE4B26" w:rsidRDefault="00A0212B" w:rsidP="000131EC">
                            <w:pPr>
                              <w:widowControl/>
                              <w:spacing w:line="240" w:lineRule="exact"/>
                              <w:jc w:val="center"/>
                              <w:rPr>
                                <w:rFonts w:ascii="標楷體" w:eastAsia="標楷體" w:hAnsi="標楷體" w:cs="新細明體"/>
                                <w:kern w:val="0"/>
                                <w:sz w:val="20"/>
                              </w:rPr>
                            </w:pPr>
                          </w:p>
                        </w:tc>
                        <w:tc>
                          <w:tcPr>
                            <w:tcW w:w="1134" w:type="dxa"/>
                            <w:vMerge/>
                            <w:tcBorders>
                              <w:left w:val="nil"/>
                              <w:bottom w:val="single" w:sz="4" w:space="0" w:color="auto"/>
                              <w:right w:val="single" w:sz="4" w:space="0" w:color="auto"/>
                            </w:tcBorders>
                            <w:shd w:val="clear" w:color="auto" w:fill="auto"/>
                            <w:vAlign w:val="center"/>
                          </w:tcPr>
                          <w:p w14:paraId="510029B8" w14:textId="77777777" w:rsidR="00A0212B" w:rsidRPr="00FE4B26" w:rsidRDefault="00A0212B" w:rsidP="000131EC">
                            <w:pPr>
                              <w:widowControl/>
                              <w:spacing w:line="240" w:lineRule="exact"/>
                              <w:jc w:val="center"/>
                              <w:rPr>
                                <w:rFonts w:ascii="標楷體" w:eastAsia="標楷體" w:hAnsi="標楷體" w:cs="新細明體"/>
                                <w:kern w:val="0"/>
                                <w:sz w:val="20"/>
                              </w:rPr>
                            </w:pPr>
                          </w:p>
                        </w:tc>
                      </w:tr>
                      <w:tr w:rsidR="00A0212B" w:rsidRPr="00FE4B26" w14:paraId="55233DE0"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auto" w:fill="auto"/>
                            <w:vAlign w:val="center"/>
                            <w:hideMark/>
                          </w:tcPr>
                          <w:p w14:paraId="4AA4B152" w14:textId="0038AF2D" w:rsidR="00A0212B" w:rsidRPr="00FE4B26" w:rsidRDefault="00A0212B" w:rsidP="008204D4">
                            <w:pPr>
                              <w:widowControl/>
                              <w:spacing w:line="240" w:lineRule="exact"/>
                              <w:jc w:val="center"/>
                              <w:rPr>
                                <w:rFonts w:ascii="標楷體" w:eastAsia="標楷體" w:hAnsi="標楷體" w:cs="新細明體"/>
                                <w:b/>
                                <w:bCs/>
                                <w:kern w:val="0"/>
                                <w:sz w:val="20"/>
                              </w:rPr>
                            </w:pPr>
                            <w:r w:rsidRPr="00FE4B26">
                              <w:rPr>
                                <w:rFonts w:ascii="標楷體" w:eastAsia="標楷體" w:hAnsi="標楷體" w:cs="新細明體" w:hint="eastAsia"/>
                                <w:b/>
                                <w:bCs/>
                                <w:kern w:val="0"/>
                                <w:sz w:val="20"/>
                              </w:rPr>
                              <w:t>合計</w:t>
                            </w:r>
                          </w:p>
                        </w:tc>
                        <w:tc>
                          <w:tcPr>
                            <w:tcW w:w="1159" w:type="dxa"/>
                            <w:tcBorders>
                              <w:top w:val="nil"/>
                              <w:left w:val="nil"/>
                              <w:bottom w:val="single" w:sz="4" w:space="0" w:color="auto"/>
                              <w:right w:val="single" w:sz="4" w:space="0" w:color="auto"/>
                            </w:tcBorders>
                            <w:shd w:val="clear" w:color="auto" w:fill="auto"/>
                            <w:vAlign w:val="center"/>
                            <w:hideMark/>
                          </w:tcPr>
                          <w:p w14:paraId="2B33635E"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b/>
                                <w:bCs/>
                                <w:kern w:val="0"/>
                                <w:sz w:val="20"/>
                              </w:rPr>
                              <w:t>209,832,555</w:t>
                            </w:r>
                          </w:p>
                        </w:tc>
                        <w:tc>
                          <w:tcPr>
                            <w:tcW w:w="1159" w:type="dxa"/>
                            <w:tcBorders>
                              <w:top w:val="nil"/>
                              <w:left w:val="nil"/>
                              <w:bottom w:val="single" w:sz="4" w:space="0" w:color="auto"/>
                              <w:right w:val="single" w:sz="4" w:space="0" w:color="auto"/>
                            </w:tcBorders>
                            <w:shd w:val="clear" w:color="auto" w:fill="auto"/>
                            <w:vAlign w:val="center"/>
                            <w:hideMark/>
                          </w:tcPr>
                          <w:p w14:paraId="6D77D90C"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104,287,156</w:t>
                            </w:r>
                          </w:p>
                        </w:tc>
                        <w:tc>
                          <w:tcPr>
                            <w:tcW w:w="1058" w:type="dxa"/>
                            <w:tcBorders>
                              <w:top w:val="nil"/>
                              <w:left w:val="nil"/>
                              <w:bottom w:val="single" w:sz="4" w:space="0" w:color="auto"/>
                              <w:right w:val="single" w:sz="4" w:space="0" w:color="auto"/>
                            </w:tcBorders>
                            <w:shd w:val="clear" w:color="auto" w:fill="auto"/>
                            <w:vAlign w:val="center"/>
                            <w:hideMark/>
                          </w:tcPr>
                          <w:p w14:paraId="29CEA1A3"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86,165,118</w:t>
                            </w:r>
                          </w:p>
                        </w:tc>
                        <w:tc>
                          <w:tcPr>
                            <w:tcW w:w="1058" w:type="dxa"/>
                            <w:tcBorders>
                              <w:top w:val="nil"/>
                              <w:left w:val="nil"/>
                              <w:bottom w:val="single" w:sz="4" w:space="0" w:color="auto"/>
                              <w:right w:val="single" w:sz="4" w:space="0" w:color="auto"/>
                            </w:tcBorders>
                            <w:shd w:val="clear" w:color="auto" w:fill="auto"/>
                            <w:vAlign w:val="center"/>
                            <w:hideMark/>
                          </w:tcPr>
                          <w:p w14:paraId="771BC2DA"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72,990,754</w:t>
                            </w:r>
                          </w:p>
                        </w:tc>
                        <w:tc>
                          <w:tcPr>
                            <w:tcW w:w="896" w:type="dxa"/>
                            <w:tcBorders>
                              <w:top w:val="nil"/>
                              <w:left w:val="nil"/>
                              <w:bottom w:val="single" w:sz="4" w:space="0" w:color="auto"/>
                              <w:right w:val="single" w:sz="4" w:space="0" w:color="auto"/>
                            </w:tcBorders>
                            <w:shd w:val="clear" w:color="auto" w:fill="auto"/>
                            <w:noWrap/>
                            <w:vAlign w:val="center"/>
                            <w:hideMark/>
                          </w:tcPr>
                          <w:p w14:paraId="7F0F20D3"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69.99</w:t>
                            </w:r>
                          </w:p>
                        </w:tc>
                        <w:tc>
                          <w:tcPr>
                            <w:tcW w:w="1058" w:type="dxa"/>
                            <w:tcBorders>
                              <w:top w:val="nil"/>
                              <w:left w:val="nil"/>
                              <w:bottom w:val="single" w:sz="4" w:space="0" w:color="auto"/>
                              <w:right w:val="single" w:sz="4" w:space="0" w:color="auto"/>
                            </w:tcBorders>
                            <w:shd w:val="clear" w:color="auto" w:fill="auto"/>
                            <w:vAlign w:val="center"/>
                            <w:hideMark/>
                          </w:tcPr>
                          <w:p w14:paraId="026B33C5"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13,174,364</w:t>
                            </w:r>
                          </w:p>
                        </w:tc>
                        <w:tc>
                          <w:tcPr>
                            <w:tcW w:w="1134" w:type="dxa"/>
                            <w:tcBorders>
                              <w:top w:val="nil"/>
                              <w:left w:val="nil"/>
                              <w:bottom w:val="single" w:sz="4" w:space="0" w:color="auto"/>
                              <w:right w:val="single" w:sz="4" w:space="0" w:color="auto"/>
                            </w:tcBorders>
                            <w:shd w:val="clear" w:color="auto" w:fill="auto"/>
                            <w:vAlign w:val="center"/>
                            <w:hideMark/>
                          </w:tcPr>
                          <w:p w14:paraId="65ADBC72"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18,122,037</w:t>
                            </w:r>
                          </w:p>
                        </w:tc>
                      </w:tr>
                      <w:tr w:rsidR="00A0212B" w:rsidRPr="00FE4B26" w14:paraId="3F8063FD" w14:textId="77777777" w:rsidTr="003E7F03">
                        <w:trPr>
                          <w:trHeight w:val="20"/>
                          <w:jc w:val="center"/>
                        </w:trPr>
                        <w:tc>
                          <w:tcPr>
                            <w:tcW w:w="2137" w:type="dxa"/>
                            <w:tcBorders>
                              <w:top w:val="nil"/>
                              <w:left w:val="single" w:sz="4" w:space="0" w:color="auto"/>
                              <w:bottom w:val="single" w:sz="4" w:space="0" w:color="auto"/>
                              <w:right w:val="single" w:sz="4" w:space="0" w:color="auto"/>
                            </w:tcBorders>
                            <w:shd w:val="clear" w:color="auto" w:fill="auto"/>
                            <w:vAlign w:val="center"/>
                            <w:hideMark/>
                          </w:tcPr>
                          <w:p w14:paraId="4409B0C3"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總統府</w:t>
                            </w:r>
                          </w:p>
                        </w:tc>
                        <w:tc>
                          <w:tcPr>
                            <w:tcW w:w="1159" w:type="dxa"/>
                            <w:tcBorders>
                              <w:top w:val="nil"/>
                              <w:left w:val="nil"/>
                              <w:bottom w:val="single" w:sz="4" w:space="0" w:color="auto"/>
                              <w:right w:val="single" w:sz="4" w:space="0" w:color="auto"/>
                            </w:tcBorders>
                            <w:shd w:val="clear" w:color="auto" w:fill="auto"/>
                            <w:noWrap/>
                            <w:vAlign w:val="center"/>
                            <w:hideMark/>
                          </w:tcPr>
                          <w:p w14:paraId="42CF0261"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194,399</w:t>
                            </w:r>
                          </w:p>
                        </w:tc>
                        <w:tc>
                          <w:tcPr>
                            <w:tcW w:w="1159" w:type="dxa"/>
                            <w:tcBorders>
                              <w:top w:val="nil"/>
                              <w:left w:val="nil"/>
                              <w:bottom w:val="single" w:sz="4" w:space="0" w:color="auto"/>
                              <w:right w:val="single" w:sz="4" w:space="0" w:color="auto"/>
                            </w:tcBorders>
                            <w:shd w:val="clear" w:color="auto" w:fill="auto"/>
                            <w:noWrap/>
                            <w:vAlign w:val="center"/>
                            <w:hideMark/>
                          </w:tcPr>
                          <w:p w14:paraId="1A9B1F6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96,399</w:t>
                            </w:r>
                          </w:p>
                        </w:tc>
                        <w:tc>
                          <w:tcPr>
                            <w:tcW w:w="1058" w:type="dxa"/>
                            <w:tcBorders>
                              <w:top w:val="nil"/>
                              <w:left w:val="nil"/>
                              <w:bottom w:val="single" w:sz="4" w:space="0" w:color="auto"/>
                              <w:right w:val="single" w:sz="4" w:space="0" w:color="auto"/>
                            </w:tcBorders>
                            <w:shd w:val="clear" w:color="auto" w:fill="auto"/>
                            <w:noWrap/>
                            <w:vAlign w:val="center"/>
                            <w:hideMark/>
                          </w:tcPr>
                          <w:p w14:paraId="4C1075EE"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85,522</w:t>
                            </w:r>
                          </w:p>
                        </w:tc>
                        <w:tc>
                          <w:tcPr>
                            <w:tcW w:w="1058" w:type="dxa"/>
                            <w:tcBorders>
                              <w:top w:val="nil"/>
                              <w:left w:val="nil"/>
                              <w:bottom w:val="single" w:sz="4" w:space="0" w:color="auto"/>
                              <w:right w:val="single" w:sz="4" w:space="0" w:color="auto"/>
                            </w:tcBorders>
                            <w:shd w:val="clear" w:color="auto" w:fill="auto"/>
                            <w:noWrap/>
                            <w:vAlign w:val="center"/>
                            <w:hideMark/>
                          </w:tcPr>
                          <w:p w14:paraId="2E88F83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85,522</w:t>
                            </w:r>
                          </w:p>
                        </w:tc>
                        <w:tc>
                          <w:tcPr>
                            <w:tcW w:w="896" w:type="dxa"/>
                            <w:tcBorders>
                              <w:top w:val="nil"/>
                              <w:left w:val="nil"/>
                              <w:bottom w:val="single" w:sz="4" w:space="0" w:color="auto"/>
                              <w:right w:val="single" w:sz="4" w:space="0" w:color="auto"/>
                            </w:tcBorders>
                            <w:shd w:val="clear" w:color="auto" w:fill="auto"/>
                            <w:noWrap/>
                            <w:vAlign w:val="center"/>
                            <w:hideMark/>
                          </w:tcPr>
                          <w:p w14:paraId="57A6234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88.72</w:t>
                            </w:r>
                          </w:p>
                        </w:tc>
                        <w:tc>
                          <w:tcPr>
                            <w:tcW w:w="1058" w:type="dxa"/>
                            <w:tcBorders>
                              <w:top w:val="nil"/>
                              <w:left w:val="nil"/>
                              <w:bottom w:val="single" w:sz="4" w:space="0" w:color="auto"/>
                              <w:right w:val="single" w:sz="4" w:space="0" w:color="auto"/>
                            </w:tcBorders>
                            <w:shd w:val="clear" w:color="000000" w:fill="FFFFFF"/>
                            <w:noWrap/>
                            <w:vAlign w:val="center"/>
                            <w:hideMark/>
                          </w:tcPr>
                          <w:p w14:paraId="1BA42C78"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auto" w:fill="auto"/>
                            <w:noWrap/>
                            <w:vAlign w:val="center"/>
                            <w:hideMark/>
                          </w:tcPr>
                          <w:p w14:paraId="044AAAA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10,876</w:t>
                            </w:r>
                          </w:p>
                        </w:tc>
                      </w:tr>
                      <w:tr w:rsidR="00A0212B" w:rsidRPr="00FE4B26" w14:paraId="05217530"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B88ACAA"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行政院</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554C1B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5,527,665</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F992A2E"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2,778,705</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1F3FB3B"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1,977,153</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7F9DC14"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1,434,582</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77CB657"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51.63</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66C27F5"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542,571</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E45C19C"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801,551</w:t>
                            </w:r>
                          </w:p>
                        </w:tc>
                      </w:tr>
                      <w:tr w:rsidR="00A0212B" w:rsidRPr="00FE4B26" w14:paraId="150FDA4A"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6F995B1F"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內政部</w:t>
                            </w:r>
                          </w:p>
                        </w:tc>
                        <w:tc>
                          <w:tcPr>
                            <w:tcW w:w="1159" w:type="dxa"/>
                            <w:tcBorders>
                              <w:top w:val="nil"/>
                              <w:left w:val="nil"/>
                              <w:bottom w:val="single" w:sz="4" w:space="0" w:color="auto"/>
                              <w:right w:val="single" w:sz="4" w:space="0" w:color="auto"/>
                            </w:tcBorders>
                            <w:shd w:val="clear" w:color="000000" w:fill="FFFFFF"/>
                            <w:noWrap/>
                            <w:vAlign w:val="center"/>
                            <w:hideMark/>
                          </w:tcPr>
                          <w:p w14:paraId="6949A64D"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23,267,248</w:t>
                            </w:r>
                          </w:p>
                        </w:tc>
                        <w:tc>
                          <w:tcPr>
                            <w:tcW w:w="1159" w:type="dxa"/>
                            <w:tcBorders>
                              <w:top w:val="nil"/>
                              <w:left w:val="nil"/>
                              <w:bottom w:val="single" w:sz="4" w:space="0" w:color="auto"/>
                              <w:right w:val="single" w:sz="4" w:space="0" w:color="auto"/>
                            </w:tcBorders>
                            <w:shd w:val="clear" w:color="000000" w:fill="FFFFFF"/>
                            <w:noWrap/>
                            <w:vAlign w:val="center"/>
                            <w:hideMark/>
                          </w:tcPr>
                          <w:p w14:paraId="497DC37F"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12,528,148</w:t>
                            </w:r>
                          </w:p>
                        </w:tc>
                        <w:tc>
                          <w:tcPr>
                            <w:tcW w:w="1058" w:type="dxa"/>
                            <w:tcBorders>
                              <w:top w:val="nil"/>
                              <w:left w:val="nil"/>
                              <w:bottom w:val="single" w:sz="4" w:space="0" w:color="auto"/>
                              <w:right w:val="single" w:sz="4" w:space="0" w:color="auto"/>
                            </w:tcBorders>
                            <w:shd w:val="clear" w:color="000000" w:fill="FFFFFF"/>
                            <w:noWrap/>
                            <w:vAlign w:val="center"/>
                            <w:hideMark/>
                          </w:tcPr>
                          <w:p w14:paraId="78C1ABB6"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11,554,036</w:t>
                            </w:r>
                          </w:p>
                        </w:tc>
                        <w:tc>
                          <w:tcPr>
                            <w:tcW w:w="1058" w:type="dxa"/>
                            <w:tcBorders>
                              <w:top w:val="nil"/>
                              <w:left w:val="nil"/>
                              <w:bottom w:val="single" w:sz="4" w:space="0" w:color="auto"/>
                              <w:right w:val="single" w:sz="4" w:space="0" w:color="auto"/>
                            </w:tcBorders>
                            <w:shd w:val="clear" w:color="000000" w:fill="FFFFFF"/>
                            <w:noWrap/>
                            <w:vAlign w:val="center"/>
                            <w:hideMark/>
                          </w:tcPr>
                          <w:p w14:paraId="38E5576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10,461,299</w:t>
                            </w:r>
                          </w:p>
                        </w:tc>
                        <w:tc>
                          <w:tcPr>
                            <w:tcW w:w="896" w:type="dxa"/>
                            <w:tcBorders>
                              <w:top w:val="nil"/>
                              <w:left w:val="nil"/>
                              <w:bottom w:val="single" w:sz="4" w:space="0" w:color="auto"/>
                              <w:right w:val="single" w:sz="4" w:space="0" w:color="auto"/>
                            </w:tcBorders>
                            <w:shd w:val="clear" w:color="auto" w:fill="auto"/>
                            <w:noWrap/>
                            <w:vAlign w:val="center"/>
                            <w:hideMark/>
                          </w:tcPr>
                          <w:p w14:paraId="5156249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83.50</w:t>
                            </w:r>
                          </w:p>
                        </w:tc>
                        <w:tc>
                          <w:tcPr>
                            <w:tcW w:w="1058" w:type="dxa"/>
                            <w:tcBorders>
                              <w:top w:val="nil"/>
                              <w:left w:val="nil"/>
                              <w:bottom w:val="single" w:sz="4" w:space="0" w:color="auto"/>
                              <w:right w:val="single" w:sz="4" w:space="0" w:color="auto"/>
                            </w:tcBorders>
                            <w:shd w:val="clear" w:color="000000" w:fill="FFFFFF"/>
                            <w:noWrap/>
                            <w:vAlign w:val="center"/>
                            <w:hideMark/>
                          </w:tcPr>
                          <w:p w14:paraId="70C69476"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1,092,737</w:t>
                            </w:r>
                          </w:p>
                        </w:tc>
                        <w:tc>
                          <w:tcPr>
                            <w:tcW w:w="1134" w:type="dxa"/>
                            <w:tcBorders>
                              <w:top w:val="nil"/>
                              <w:left w:val="nil"/>
                              <w:bottom w:val="single" w:sz="4" w:space="0" w:color="auto"/>
                              <w:right w:val="single" w:sz="4" w:space="0" w:color="auto"/>
                            </w:tcBorders>
                            <w:shd w:val="clear" w:color="000000" w:fill="FFFFFF"/>
                            <w:noWrap/>
                            <w:vAlign w:val="center"/>
                            <w:hideMark/>
                          </w:tcPr>
                          <w:p w14:paraId="0D3A6A6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974,111</w:t>
                            </w:r>
                          </w:p>
                        </w:tc>
                      </w:tr>
                      <w:tr w:rsidR="00A0212B" w:rsidRPr="00FE4B26" w14:paraId="561E0AFC"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1C361490"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財政部</w:t>
                            </w:r>
                          </w:p>
                        </w:tc>
                        <w:tc>
                          <w:tcPr>
                            <w:tcW w:w="1159" w:type="dxa"/>
                            <w:tcBorders>
                              <w:top w:val="nil"/>
                              <w:left w:val="nil"/>
                              <w:bottom w:val="single" w:sz="4" w:space="0" w:color="auto"/>
                              <w:right w:val="single" w:sz="4" w:space="0" w:color="auto"/>
                            </w:tcBorders>
                            <w:shd w:val="clear" w:color="000000" w:fill="FFFFFF"/>
                            <w:noWrap/>
                            <w:vAlign w:val="center"/>
                            <w:hideMark/>
                          </w:tcPr>
                          <w:p w14:paraId="61BF9D5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333,869</w:t>
                            </w:r>
                          </w:p>
                        </w:tc>
                        <w:tc>
                          <w:tcPr>
                            <w:tcW w:w="1159" w:type="dxa"/>
                            <w:tcBorders>
                              <w:top w:val="nil"/>
                              <w:left w:val="nil"/>
                              <w:bottom w:val="single" w:sz="4" w:space="0" w:color="auto"/>
                              <w:right w:val="single" w:sz="4" w:space="0" w:color="auto"/>
                            </w:tcBorders>
                            <w:shd w:val="clear" w:color="000000" w:fill="FFFFFF"/>
                            <w:noWrap/>
                            <w:vAlign w:val="center"/>
                            <w:hideMark/>
                          </w:tcPr>
                          <w:p w14:paraId="0F0337CC"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136,529</w:t>
                            </w:r>
                          </w:p>
                        </w:tc>
                        <w:tc>
                          <w:tcPr>
                            <w:tcW w:w="1058" w:type="dxa"/>
                            <w:tcBorders>
                              <w:top w:val="nil"/>
                              <w:left w:val="nil"/>
                              <w:bottom w:val="single" w:sz="4" w:space="0" w:color="auto"/>
                              <w:right w:val="single" w:sz="4" w:space="0" w:color="auto"/>
                            </w:tcBorders>
                            <w:shd w:val="clear" w:color="000000" w:fill="FFFFFF"/>
                            <w:noWrap/>
                            <w:vAlign w:val="center"/>
                            <w:hideMark/>
                          </w:tcPr>
                          <w:p w14:paraId="09803AE5"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126,029</w:t>
                            </w:r>
                          </w:p>
                        </w:tc>
                        <w:tc>
                          <w:tcPr>
                            <w:tcW w:w="1058" w:type="dxa"/>
                            <w:tcBorders>
                              <w:top w:val="nil"/>
                              <w:left w:val="nil"/>
                              <w:bottom w:val="single" w:sz="4" w:space="0" w:color="auto"/>
                              <w:right w:val="single" w:sz="4" w:space="0" w:color="auto"/>
                            </w:tcBorders>
                            <w:shd w:val="clear" w:color="000000" w:fill="FFFFFF"/>
                            <w:noWrap/>
                            <w:vAlign w:val="center"/>
                            <w:hideMark/>
                          </w:tcPr>
                          <w:p w14:paraId="176015FF"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126,029</w:t>
                            </w:r>
                          </w:p>
                        </w:tc>
                        <w:tc>
                          <w:tcPr>
                            <w:tcW w:w="896" w:type="dxa"/>
                            <w:tcBorders>
                              <w:top w:val="nil"/>
                              <w:left w:val="nil"/>
                              <w:bottom w:val="single" w:sz="4" w:space="0" w:color="auto"/>
                              <w:right w:val="single" w:sz="4" w:space="0" w:color="auto"/>
                            </w:tcBorders>
                            <w:shd w:val="clear" w:color="auto" w:fill="auto"/>
                            <w:noWrap/>
                            <w:vAlign w:val="center"/>
                            <w:hideMark/>
                          </w:tcPr>
                          <w:p w14:paraId="5C3890F5"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92.31</w:t>
                            </w:r>
                          </w:p>
                        </w:tc>
                        <w:tc>
                          <w:tcPr>
                            <w:tcW w:w="1058" w:type="dxa"/>
                            <w:tcBorders>
                              <w:top w:val="nil"/>
                              <w:left w:val="nil"/>
                              <w:bottom w:val="single" w:sz="4" w:space="0" w:color="auto"/>
                              <w:right w:val="single" w:sz="4" w:space="0" w:color="auto"/>
                            </w:tcBorders>
                            <w:shd w:val="clear" w:color="000000" w:fill="FFFFFF"/>
                            <w:noWrap/>
                            <w:vAlign w:val="center"/>
                            <w:hideMark/>
                          </w:tcPr>
                          <w:p w14:paraId="011DDF2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000000" w:fill="FFFFFF"/>
                            <w:noWrap/>
                            <w:vAlign w:val="center"/>
                            <w:hideMark/>
                          </w:tcPr>
                          <w:p w14:paraId="7205731D"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10,499</w:t>
                            </w:r>
                          </w:p>
                        </w:tc>
                      </w:tr>
                      <w:tr w:rsidR="00A0212B" w:rsidRPr="00FE4B26" w14:paraId="2A2BC33C" w14:textId="77777777" w:rsidTr="003E7F03">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599836B1"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教育部</w:t>
                            </w:r>
                          </w:p>
                        </w:tc>
                        <w:tc>
                          <w:tcPr>
                            <w:tcW w:w="1159" w:type="dxa"/>
                            <w:tcBorders>
                              <w:top w:val="nil"/>
                              <w:left w:val="nil"/>
                              <w:bottom w:val="single" w:sz="4" w:space="0" w:color="auto"/>
                              <w:right w:val="single" w:sz="4" w:space="0" w:color="auto"/>
                            </w:tcBorders>
                            <w:shd w:val="clear" w:color="000000" w:fill="FFFFFF"/>
                            <w:noWrap/>
                            <w:vAlign w:val="center"/>
                            <w:hideMark/>
                          </w:tcPr>
                          <w:p w14:paraId="3F7719A4"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12,312,674</w:t>
                            </w:r>
                          </w:p>
                        </w:tc>
                        <w:tc>
                          <w:tcPr>
                            <w:tcW w:w="1159" w:type="dxa"/>
                            <w:tcBorders>
                              <w:top w:val="nil"/>
                              <w:left w:val="nil"/>
                              <w:bottom w:val="single" w:sz="4" w:space="0" w:color="auto"/>
                              <w:right w:val="single" w:sz="4" w:space="0" w:color="auto"/>
                            </w:tcBorders>
                            <w:shd w:val="clear" w:color="000000" w:fill="FFFFFF"/>
                            <w:noWrap/>
                            <w:vAlign w:val="center"/>
                            <w:hideMark/>
                          </w:tcPr>
                          <w:p w14:paraId="571F6D49"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6,081,036</w:t>
                            </w:r>
                          </w:p>
                        </w:tc>
                        <w:tc>
                          <w:tcPr>
                            <w:tcW w:w="1058" w:type="dxa"/>
                            <w:tcBorders>
                              <w:top w:val="nil"/>
                              <w:left w:val="nil"/>
                              <w:bottom w:val="single" w:sz="4" w:space="0" w:color="auto"/>
                              <w:right w:val="single" w:sz="4" w:space="0" w:color="auto"/>
                            </w:tcBorders>
                            <w:shd w:val="clear" w:color="000000" w:fill="FFFFFF"/>
                            <w:noWrap/>
                            <w:vAlign w:val="center"/>
                            <w:hideMark/>
                          </w:tcPr>
                          <w:p w14:paraId="6BB07903"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5,076,292</w:t>
                            </w:r>
                          </w:p>
                        </w:tc>
                        <w:tc>
                          <w:tcPr>
                            <w:tcW w:w="1058" w:type="dxa"/>
                            <w:tcBorders>
                              <w:top w:val="nil"/>
                              <w:left w:val="nil"/>
                              <w:bottom w:val="single" w:sz="4" w:space="0" w:color="auto"/>
                              <w:right w:val="single" w:sz="4" w:space="0" w:color="auto"/>
                            </w:tcBorders>
                            <w:shd w:val="clear" w:color="000000" w:fill="FFFFFF"/>
                            <w:noWrap/>
                            <w:vAlign w:val="center"/>
                            <w:hideMark/>
                          </w:tcPr>
                          <w:p w14:paraId="6C1F4CB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5,004,384</w:t>
                            </w:r>
                          </w:p>
                        </w:tc>
                        <w:tc>
                          <w:tcPr>
                            <w:tcW w:w="896" w:type="dxa"/>
                            <w:tcBorders>
                              <w:top w:val="nil"/>
                              <w:left w:val="nil"/>
                              <w:bottom w:val="single" w:sz="4" w:space="0" w:color="auto"/>
                              <w:right w:val="single" w:sz="4" w:space="0" w:color="auto"/>
                            </w:tcBorders>
                            <w:shd w:val="clear" w:color="auto" w:fill="auto"/>
                            <w:noWrap/>
                            <w:vAlign w:val="center"/>
                            <w:hideMark/>
                          </w:tcPr>
                          <w:p w14:paraId="07CF0697"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82.29</w:t>
                            </w:r>
                          </w:p>
                        </w:tc>
                        <w:tc>
                          <w:tcPr>
                            <w:tcW w:w="1058" w:type="dxa"/>
                            <w:tcBorders>
                              <w:top w:val="nil"/>
                              <w:left w:val="nil"/>
                              <w:bottom w:val="single" w:sz="4" w:space="0" w:color="auto"/>
                              <w:right w:val="single" w:sz="4" w:space="0" w:color="auto"/>
                            </w:tcBorders>
                            <w:shd w:val="clear" w:color="000000" w:fill="FFFFFF"/>
                            <w:noWrap/>
                            <w:vAlign w:val="center"/>
                            <w:hideMark/>
                          </w:tcPr>
                          <w:p w14:paraId="2C3C76F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71,907</w:t>
                            </w:r>
                          </w:p>
                        </w:tc>
                        <w:tc>
                          <w:tcPr>
                            <w:tcW w:w="1134" w:type="dxa"/>
                            <w:tcBorders>
                              <w:top w:val="nil"/>
                              <w:left w:val="nil"/>
                              <w:bottom w:val="single" w:sz="4" w:space="0" w:color="auto"/>
                              <w:right w:val="single" w:sz="4" w:space="0" w:color="auto"/>
                            </w:tcBorders>
                            <w:shd w:val="clear" w:color="000000" w:fill="FFFFFF"/>
                            <w:noWrap/>
                            <w:vAlign w:val="center"/>
                            <w:hideMark/>
                          </w:tcPr>
                          <w:p w14:paraId="26ABDC36"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1,004,743</w:t>
                            </w:r>
                          </w:p>
                        </w:tc>
                      </w:tr>
                      <w:tr w:rsidR="00A0212B" w:rsidRPr="00FE4B26" w14:paraId="7BA5AF2C"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BED9070"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經濟部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3CB0902"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58,810,786</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F254FF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32,771,706</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57A9AF2"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29,176,899</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B96D71B"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24,336,659</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4C7128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74.26</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41FB312"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4,840,240</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F257928"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3,594,806</w:t>
                            </w:r>
                          </w:p>
                        </w:tc>
                      </w:tr>
                      <w:tr w:rsidR="00A0212B" w:rsidRPr="00FE4B26" w14:paraId="5965CD65"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E3E1B4E"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交通部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FAA3D9A"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69,978,508</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10A149C"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30,932,753</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AC59272"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21,571,370</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88FD6DC"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16,984,977</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1329FA6"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54.91</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E236219"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4,586,393</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E7714C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9,361,382</w:t>
                            </w:r>
                          </w:p>
                        </w:tc>
                      </w:tr>
                      <w:tr w:rsidR="00A0212B" w:rsidRPr="00FE4B26" w14:paraId="3DE8C245" w14:textId="77777777" w:rsidTr="003E7F03">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31857C20"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勞動部</w:t>
                            </w:r>
                          </w:p>
                        </w:tc>
                        <w:tc>
                          <w:tcPr>
                            <w:tcW w:w="1159" w:type="dxa"/>
                            <w:tcBorders>
                              <w:top w:val="nil"/>
                              <w:left w:val="nil"/>
                              <w:bottom w:val="single" w:sz="4" w:space="0" w:color="auto"/>
                              <w:right w:val="single" w:sz="4" w:space="0" w:color="auto"/>
                            </w:tcBorders>
                            <w:shd w:val="clear" w:color="000000" w:fill="FFFFFF"/>
                            <w:noWrap/>
                            <w:vAlign w:val="center"/>
                            <w:hideMark/>
                          </w:tcPr>
                          <w:p w14:paraId="68F7A8B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14,000</w:t>
                            </w:r>
                          </w:p>
                        </w:tc>
                        <w:tc>
                          <w:tcPr>
                            <w:tcW w:w="1159" w:type="dxa"/>
                            <w:tcBorders>
                              <w:top w:val="nil"/>
                              <w:left w:val="nil"/>
                              <w:bottom w:val="single" w:sz="4" w:space="0" w:color="auto"/>
                              <w:right w:val="single" w:sz="4" w:space="0" w:color="auto"/>
                            </w:tcBorders>
                            <w:shd w:val="clear" w:color="000000" w:fill="FFFFFF"/>
                            <w:noWrap/>
                            <w:vAlign w:val="center"/>
                            <w:hideMark/>
                          </w:tcPr>
                          <w:p w14:paraId="000FA30A"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058" w:type="dxa"/>
                            <w:tcBorders>
                              <w:top w:val="nil"/>
                              <w:left w:val="nil"/>
                              <w:bottom w:val="single" w:sz="4" w:space="0" w:color="auto"/>
                              <w:right w:val="single" w:sz="4" w:space="0" w:color="auto"/>
                            </w:tcBorders>
                            <w:shd w:val="clear" w:color="000000" w:fill="FFFFFF"/>
                            <w:noWrap/>
                            <w:vAlign w:val="center"/>
                            <w:hideMark/>
                          </w:tcPr>
                          <w:p w14:paraId="72EE5919"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w:t>
                            </w:r>
                          </w:p>
                        </w:tc>
                        <w:tc>
                          <w:tcPr>
                            <w:tcW w:w="1058" w:type="dxa"/>
                            <w:tcBorders>
                              <w:top w:val="nil"/>
                              <w:left w:val="nil"/>
                              <w:bottom w:val="single" w:sz="4" w:space="0" w:color="auto"/>
                              <w:right w:val="single" w:sz="4" w:space="0" w:color="auto"/>
                            </w:tcBorders>
                            <w:shd w:val="clear" w:color="000000" w:fill="FFFFFF"/>
                            <w:noWrap/>
                            <w:vAlign w:val="center"/>
                            <w:hideMark/>
                          </w:tcPr>
                          <w:p w14:paraId="3CDD0334"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896" w:type="dxa"/>
                            <w:tcBorders>
                              <w:top w:val="nil"/>
                              <w:left w:val="nil"/>
                              <w:bottom w:val="single" w:sz="4" w:space="0" w:color="auto"/>
                              <w:right w:val="single" w:sz="4" w:space="0" w:color="auto"/>
                            </w:tcBorders>
                            <w:shd w:val="clear" w:color="000000" w:fill="FFFFFF"/>
                            <w:noWrap/>
                            <w:vAlign w:val="center"/>
                            <w:hideMark/>
                          </w:tcPr>
                          <w:p w14:paraId="05D0B165"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058" w:type="dxa"/>
                            <w:tcBorders>
                              <w:top w:val="nil"/>
                              <w:left w:val="nil"/>
                              <w:bottom w:val="single" w:sz="4" w:space="0" w:color="auto"/>
                              <w:right w:val="single" w:sz="4" w:space="0" w:color="auto"/>
                            </w:tcBorders>
                            <w:shd w:val="clear" w:color="000000" w:fill="FFFFFF"/>
                            <w:noWrap/>
                            <w:vAlign w:val="center"/>
                            <w:hideMark/>
                          </w:tcPr>
                          <w:p w14:paraId="32321874"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c>
                          <w:tcPr>
                            <w:tcW w:w="1134" w:type="dxa"/>
                            <w:tcBorders>
                              <w:top w:val="nil"/>
                              <w:left w:val="nil"/>
                              <w:bottom w:val="single" w:sz="4" w:space="0" w:color="auto"/>
                              <w:right w:val="single" w:sz="4" w:space="0" w:color="auto"/>
                            </w:tcBorders>
                            <w:shd w:val="clear" w:color="000000" w:fill="FFFFFF"/>
                            <w:noWrap/>
                            <w:vAlign w:val="center"/>
                            <w:hideMark/>
                          </w:tcPr>
                          <w:p w14:paraId="46E0ECC9"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r>
                      <w:tr w:rsidR="00A0212B" w:rsidRPr="00FE4B26" w14:paraId="0D453D33"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71B672" w14:textId="2B53E650" w:rsidR="00A0212B" w:rsidRPr="00FC08EA" w:rsidRDefault="00A0212B" w:rsidP="000131EC">
                            <w:pPr>
                              <w:widowControl/>
                              <w:spacing w:line="240" w:lineRule="exact"/>
                              <w:rPr>
                                <w:rFonts w:ascii="標楷體" w:eastAsia="標楷體" w:hAnsi="標楷體" w:cs="新細明體"/>
                                <w:kern w:val="0"/>
                                <w:sz w:val="20"/>
                              </w:rPr>
                            </w:pPr>
                            <w:r>
                              <w:rPr>
                                <w:rFonts w:ascii="標楷體" w:eastAsia="標楷體" w:hAnsi="標楷體" w:cs="新細明體" w:hint="eastAsia"/>
                                <w:kern w:val="0"/>
                                <w:sz w:val="20"/>
                              </w:rPr>
                              <w:t>原子能委員會（</w:t>
                            </w:r>
                            <w:r w:rsidRPr="00FC08EA">
                              <w:rPr>
                                <w:rFonts w:ascii="標楷體" w:eastAsia="標楷體" w:hAnsi="標楷體" w:cs="新細明體" w:hint="eastAsia"/>
                                <w:kern w:val="0"/>
                                <w:sz w:val="20"/>
                              </w:rPr>
                              <w:t>核能安全委員會</w:t>
                            </w:r>
                            <w:r>
                              <w:rPr>
                                <w:rFonts w:ascii="標楷體" w:eastAsia="標楷體" w:hAnsi="標楷體" w:cs="新細明體" w:hint="eastAsia"/>
                                <w:kern w:val="0"/>
                                <w:sz w:val="20"/>
                              </w:rPr>
                              <w:t>）</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671040A"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377,908</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8B4B832"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188,951</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80B115C"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188,857</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BA5BCE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141,502</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04DCD61"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74.89</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3CCD0B0"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47,355</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36ED098"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93</w:t>
                            </w:r>
                          </w:p>
                        </w:tc>
                      </w:tr>
                      <w:tr w:rsidR="00A0212B" w:rsidRPr="00FE4B26" w14:paraId="1B4AFFE9"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449892C" w14:textId="600DB542" w:rsidR="00A0212B" w:rsidRPr="00FC08EA" w:rsidRDefault="00A0212B" w:rsidP="000131EC">
                            <w:pPr>
                              <w:widowControl/>
                              <w:spacing w:line="240" w:lineRule="exact"/>
                              <w:rPr>
                                <w:rFonts w:ascii="標楷體" w:eastAsia="標楷體" w:hAnsi="標楷體" w:cs="新細明體"/>
                                <w:kern w:val="0"/>
                                <w:sz w:val="20"/>
                              </w:rPr>
                            </w:pPr>
                            <w:r w:rsidRPr="005774CC">
                              <w:rPr>
                                <w:rFonts w:ascii="標楷體" w:eastAsia="標楷體" w:hAnsi="標楷體" w:cs="新細明體" w:hint="eastAsia"/>
                                <w:kern w:val="0"/>
                                <w:sz w:val="20"/>
                              </w:rPr>
                              <w:t>農業委員會（農業部）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42026F1"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6,598,728</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082A9B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2,931,632</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FB6AEB9"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2,634,520</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E59BABB"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2,233,673</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35D9BB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76.19</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92C4241"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400,846</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1F691F9"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297,111</w:t>
                            </w:r>
                          </w:p>
                        </w:tc>
                      </w:tr>
                      <w:tr w:rsidR="00A0212B" w:rsidRPr="00FE4B26" w14:paraId="1A7D4421"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7484A43"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衛生福利部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B55C429"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4,484,21</w:t>
                            </w:r>
                            <w:r w:rsidRPr="00FC08EA">
                              <w:rPr>
                                <w:rFonts w:ascii="標楷體" w:eastAsia="標楷體" w:hAnsi="標楷體" w:cs="新細明體"/>
                                <w:kern w:val="0"/>
                                <w:sz w:val="20"/>
                              </w:rPr>
                              <w:t>0</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45307E0"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2,023,750</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061F1F2"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1,166,292</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88B9507"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866,960</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DE0E54A"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42.84</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7C9271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299,332</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AEE7EA5"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857,457</w:t>
                            </w:r>
                          </w:p>
                        </w:tc>
                      </w:tr>
                      <w:tr w:rsidR="00A0212B" w:rsidRPr="00FE4B26" w14:paraId="5659C4AD" w14:textId="77777777" w:rsidTr="003E7F03">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52AB64B4" w14:textId="23C360BE" w:rsidR="00A0212B" w:rsidRPr="00FE4B26" w:rsidRDefault="00A0212B" w:rsidP="000131EC">
                            <w:pPr>
                              <w:widowControl/>
                              <w:spacing w:line="240" w:lineRule="exact"/>
                              <w:rPr>
                                <w:rFonts w:ascii="標楷體" w:eastAsia="標楷體" w:hAnsi="標楷體" w:cs="新細明體"/>
                                <w:kern w:val="0"/>
                                <w:sz w:val="20"/>
                              </w:rPr>
                            </w:pPr>
                            <w:r w:rsidRPr="005774CC">
                              <w:rPr>
                                <w:rFonts w:ascii="標楷體" w:eastAsia="標楷體" w:hAnsi="標楷體" w:cs="新細明體" w:hint="eastAsia"/>
                                <w:kern w:val="0"/>
                                <w:sz w:val="20"/>
                              </w:rPr>
                              <w:t>環境保護署（環境部）</w:t>
                            </w:r>
                          </w:p>
                        </w:tc>
                        <w:tc>
                          <w:tcPr>
                            <w:tcW w:w="1159" w:type="dxa"/>
                            <w:tcBorders>
                              <w:top w:val="nil"/>
                              <w:left w:val="nil"/>
                              <w:bottom w:val="single" w:sz="4" w:space="0" w:color="auto"/>
                              <w:right w:val="single" w:sz="4" w:space="0" w:color="auto"/>
                            </w:tcBorders>
                            <w:shd w:val="clear" w:color="000000" w:fill="FFFFFF"/>
                            <w:noWrap/>
                            <w:vAlign w:val="center"/>
                            <w:hideMark/>
                          </w:tcPr>
                          <w:p w14:paraId="1443288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1,152,356</w:t>
                            </w:r>
                          </w:p>
                        </w:tc>
                        <w:tc>
                          <w:tcPr>
                            <w:tcW w:w="1159" w:type="dxa"/>
                            <w:tcBorders>
                              <w:top w:val="nil"/>
                              <w:left w:val="nil"/>
                              <w:bottom w:val="single" w:sz="4" w:space="0" w:color="auto"/>
                              <w:right w:val="single" w:sz="4" w:space="0" w:color="auto"/>
                            </w:tcBorders>
                            <w:shd w:val="clear" w:color="000000" w:fill="FFFFFF"/>
                            <w:noWrap/>
                            <w:vAlign w:val="center"/>
                            <w:hideMark/>
                          </w:tcPr>
                          <w:p w14:paraId="6F75B1E8"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322,00</w:t>
                            </w:r>
                            <w:r w:rsidRPr="00FE4B26">
                              <w:rPr>
                                <w:rFonts w:ascii="標楷體" w:eastAsia="標楷體" w:hAnsi="標楷體" w:cs="新細明體"/>
                                <w:kern w:val="0"/>
                                <w:sz w:val="20"/>
                              </w:rPr>
                              <w:t>0</w:t>
                            </w:r>
                          </w:p>
                        </w:tc>
                        <w:tc>
                          <w:tcPr>
                            <w:tcW w:w="1058" w:type="dxa"/>
                            <w:tcBorders>
                              <w:top w:val="nil"/>
                              <w:left w:val="nil"/>
                              <w:bottom w:val="single" w:sz="4" w:space="0" w:color="auto"/>
                              <w:right w:val="single" w:sz="4" w:space="0" w:color="auto"/>
                            </w:tcBorders>
                            <w:shd w:val="clear" w:color="000000" w:fill="FFFFFF"/>
                            <w:noWrap/>
                            <w:vAlign w:val="center"/>
                            <w:hideMark/>
                          </w:tcPr>
                          <w:p w14:paraId="1136F158"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276,439</w:t>
                            </w:r>
                          </w:p>
                        </w:tc>
                        <w:tc>
                          <w:tcPr>
                            <w:tcW w:w="1058" w:type="dxa"/>
                            <w:tcBorders>
                              <w:top w:val="nil"/>
                              <w:left w:val="nil"/>
                              <w:bottom w:val="single" w:sz="4" w:space="0" w:color="auto"/>
                              <w:right w:val="single" w:sz="4" w:space="0" w:color="auto"/>
                            </w:tcBorders>
                            <w:shd w:val="clear" w:color="000000" w:fill="FFFFFF"/>
                            <w:noWrap/>
                            <w:vAlign w:val="center"/>
                            <w:hideMark/>
                          </w:tcPr>
                          <w:p w14:paraId="03D56B5A"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259,021</w:t>
                            </w:r>
                          </w:p>
                        </w:tc>
                        <w:tc>
                          <w:tcPr>
                            <w:tcW w:w="896" w:type="dxa"/>
                            <w:tcBorders>
                              <w:top w:val="nil"/>
                              <w:left w:val="nil"/>
                              <w:bottom w:val="single" w:sz="4" w:space="0" w:color="auto"/>
                              <w:right w:val="single" w:sz="4" w:space="0" w:color="auto"/>
                            </w:tcBorders>
                            <w:shd w:val="clear" w:color="auto" w:fill="auto"/>
                            <w:noWrap/>
                            <w:vAlign w:val="center"/>
                            <w:hideMark/>
                          </w:tcPr>
                          <w:p w14:paraId="2D841FE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80.44</w:t>
                            </w:r>
                          </w:p>
                        </w:tc>
                        <w:tc>
                          <w:tcPr>
                            <w:tcW w:w="1058" w:type="dxa"/>
                            <w:tcBorders>
                              <w:top w:val="nil"/>
                              <w:left w:val="nil"/>
                              <w:bottom w:val="single" w:sz="4" w:space="0" w:color="auto"/>
                              <w:right w:val="single" w:sz="4" w:space="0" w:color="auto"/>
                            </w:tcBorders>
                            <w:shd w:val="clear" w:color="000000" w:fill="FFFFFF"/>
                            <w:noWrap/>
                            <w:vAlign w:val="center"/>
                            <w:hideMark/>
                          </w:tcPr>
                          <w:p w14:paraId="40C7DFD1"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17,418</w:t>
                            </w:r>
                          </w:p>
                        </w:tc>
                        <w:tc>
                          <w:tcPr>
                            <w:tcW w:w="1134" w:type="dxa"/>
                            <w:tcBorders>
                              <w:top w:val="nil"/>
                              <w:left w:val="nil"/>
                              <w:bottom w:val="single" w:sz="4" w:space="0" w:color="auto"/>
                              <w:right w:val="single" w:sz="4" w:space="0" w:color="auto"/>
                            </w:tcBorders>
                            <w:shd w:val="clear" w:color="000000" w:fill="FFFFFF"/>
                            <w:noWrap/>
                            <w:vAlign w:val="center"/>
                            <w:hideMark/>
                          </w:tcPr>
                          <w:p w14:paraId="4EE2300A"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45,560</w:t>
                            </w:r>
                          </w:p>
                        </w:tc>
                      </w:tr>
                      <w:tr w:rsidR="00A0212B" w:rsidRPr="00FE4B26" w14:paraId="64956E68" w14:textId="77777777" w:rsidTr="003643B8">
                        <w:trPr>
                          <w:trHeight w:val="20"/>
                          <w:jc w:val="center"/>
                        </w:trPr>
                        <w:tc>
                          <w:tcPr>
                            <w:tcW w:w="213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CDB00E8" w14:textId="77777777" w:rsidR="00A0212B" w:rsidRPr="00FC08EA" w:rsidRDefault="00A0212B" w:rsidP="000131EC">
                            <w:pPr>
                              <w:widowControl/>
                              <w:spacing w:line="240" w:lineRule="exact"/>
                              <w:rPr>
                                <w:rFonts w:ascii="標楷體" w:eastAsia="標楷體" w:hAnsi="標楷體" w:cs="新細明體"/>
                                <w:kern w:val="0"/>
                                <w:sz w:val="20"/>
                              </w:rPr>
                            </w:pPr>
                            <w:r w:rsidRPr="00FC08EA">
                              <w:rPr>
                                <w:rFonts w:ascii="標楷體" w:eastAsia="標楷體" w:hAnsi="標楷體" w:cs="新細明體" w:hint="eastAsia"/>
                                <w:kern w:val="0"/>
                                <w:sz w:val="20"/>
                              </w:rPr>
                              <w:t>文化部</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8BE98E1"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5,512,740</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2FBA5F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2,553,400</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B1BA1DE" w14:textId="77777777" w:rsidR="00A0212B" w:rsidRPr="00FC08EA" w:rsidRDefault="00A0212B" w:rsidP="000131EC">
                            <w:pPr>
                              <w:widowControl/>
                              <w:spacing w:line="240" w:lineRule="exact"/>
                              <w:jc w:val="right"/>
                              <w:rPr>
                                <w:rFonts w:ascii="標楷體" w:eastAsia="標楷體" w:hAnsi="標楷體" w:cs="新細明體"/>
                                <w:b/>
                                <w:bCs/>
                                <w:kern w:val="0"/>
                                <w:sz w:val="20"/>
                              </w:rPr>
                            </w:pPr>
                            <w:r w:rsidRPr="00FC08EA">
                              <w:rPr>
                                <w:rFonts w:ascii="標楷體" w:eastAsia="標楷體" w:hAnsi="標楷體" w:cs="新細明體" w:hint="eastAsia"/>
                                <w:b/>
                                <w:bCs/>
                                <w:kern w:val="0"/>
                                <w:sz w:val="20"/>
                              </w:rPr>
                              <w:t>2,056,508</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E1D9C03"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1,769,103</w:t>
                            </w:r>
                          </w:p>
                        </w:tc>
                        <w:tc>
                          <w:tcPr>
                            <w:tcW w:w="8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0F6FB2D"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69.28</w:t>
                            </w:r>
                          </w:p>
                        </w:tc>
                        <w:tc>
                          <w:tcPr>
                            <w:tcW w:w="105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E0ED040"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287,405</w:t>
                            </w:r>
                          </w:p>
                        </w:tc>
                        <w:tc>
                          <w:tcPr>
                            <w:tcW w:w="113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9581E77" w14:textId="77777777" w:rsidR="00A0212B" w:rsidRPr="00FC08EA" w:rsidRDefault="00A0212B" w:rsidP="000131EC">
                            <w:pPr>
                              <w:widowControl/>
                              <w:spacing w:line="240" w:lineRule="exact"/>
                              <w:jc w:val="right"/>
                              <w:rPr>
                                <w:rFonts w:ascii="標楷體" w:eastAsia="標楷體" w:hAnsi="標楷體" w:cs="新細明體"/>
                                <w:kern w:val="0"/>
                                <w:sz w:val="20"/>
                              </w:rPr>
                            </w:pPr>
                            <w:r w:rsidRPr="00FC08EA">
                              <w:rPr>
                                <w:rFonts w:ascii="標楷體" w:eastAsia="標楷體" w:hAnsi="標楷體" w:cs="新細明體" w:hint="eastAsia"/>
                                <w:kern w:val="0"/>
                                <w:sz w:val="20"/>
                              </w:rPr>
                              <w:t>496,891</w:t>
                            </w:r>
                          </w:p>
                        </w:tc>
                      </w:tr>
                      <w:tr w:rsidR="00A0212B" w:rsidRPr="00FE4B26" w14:paraId="12814990"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53B967F1"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數位發展部</w:t>
                            </w:r>
                          </w:p>
                        </w:tc>
                        <w:tc>
                          <w:tcPr>
                            <w:tcW w:w="1159" w:type="dxa"/>
                            <w:tcBorders>
                              <w:top w:val="nil"/>
                              <w:left w:val="nil"/>
                              <w:bottom w:val="single" w:sz="4" w:space="0" w:color="auto"/>
                              <w:right w:val="single" w:sz="4" w:space="0" w:color="auto"/>
                            </w:tcBorders>
                            <w:shd w:val="clear" w:color="000000" w:fill="FFFFFF"/>
                            <w:noWrap/>
                            <w:vAlign w:val="center"/>
                            <w:hideMark/>
                          </w:tcPr>
                          <w:p w14:paraId="0AD5726E"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15,867,464</w:t>
                            </w:r>
                          </w:p>
                        </w:tc>
                        <w:tc>
                          <w:tcPr>
                            <w:tcW w:w="1159" w:type="dxa"/>
                            <w:tcBorders>
                              <w:top w:val="nil"/>
                              <w:left w:val="nil"/>
                              <w:bottom w:val="single" w:sz="4" w:space="0" w:color="auto"/>
                              <w:right w:val="single" w:sz="4" w:space="0" w:color="auto"/>
                            </w:tcBorders>
                            <w:shd w:val="clear" w:color="000000" w:fill="FFFFFF"/>
                            <w:noWrap/>
                            <w:vAlign w:val="center"/>
                            <w:hideMark/>
                          </w:tcPr>
                          <w:p w14:paraId="39938C53"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8,062,147</w:t>
                            </w:r>
                          </w:p>
                        </w:tc>
                        <w:tc>
                          <w:tcPr>
                            <w:tcW w:w="1058" w:type="dxa"/>
                            <w:tcBorders>
                              <w:top w:val="nil"/>
                              <w:left w:val="nil"/>
                              <w:bottom w:val="single" w:sz="4" w:space="0" w:color="auto"/>
                              <w:right w:val="single" w:sz="4" w:space="0" w:color="auto"/>
                            </w:tcBorders>
                            <w:shd w:val="clear" w:color="000000" w:fill="FFFFFF"/>
                            <w:noWrap/>
                            <w:vAlign w:val="center"/>
                            <w:hideMark/>
                          </w:tcPr>
                          <w:p w14:paraId="6C7B25FD"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7,395,195</w:t>
                            </w:r>
                          </w:p>
                        </w:tc>
                        <w:tc>
                          <w:tcPr>
                            <w:tcW w:w="1058" w:type="dxa"/>
                            <w:tcBorders>
                              <w:top w:val="nil"/>
                              <w:left w:val="nil"/>
                              <w:bottom w:val="single" w:sz="4" w:space="0" w:color="auto"/>
                              <w:right w:val="single" w:sz="4" w:space="0" w:color="auto"/>
                            </w:tcBorders>
                            <w:shd w:val="clear" w:color="000000" w:fill="FFFFFF"/>
                            <w:noWrap/>
                            <w:vAlign w:val="center"/>
                            <w:hideMark/>
                          </w:tcPr>
                          <w:p w14:paraId="4B6D52F2"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6,642,750</w:t>
                            </w:r>
                          </w:p>
                        </w:tc>
                        <w:tc>
                          <w:tcPr>
                            <w:tcW w:w="896" w:type="dxa"/>
                            <w:tcBorders>
                              <w:top w:val="nil"/>
                              <w:left w:val="nil"/>
                              <w:bottom w:val="single" w:sz="4" w:space="0" w:color="auto"/>
                              <w:right w:val="single" w:sz="4" w:space="0" w:color="auto"/>
                            </w:tcBorders>
                            <w:shd w:val="clear" w:color="auto" w:fill="auto"/>
                            <w:noWrap/>
                            <w:vAlign w:val="center"/>
                            <w:hideMark/>
                          </w:tcPr>
                          <w:p w14:paraId="3C13E774"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82.39</w:t>
                            </w:r>
                          </w:p>
                        </w:tc>
                        <w:tc>
                          <w:tcPr>
                            <w:tcW w:w="1058" w:type="dxa"/>
                            <w:tcBorders>
                              <w:top w:val="nil"/>
                              <w:left w:val="nil"/>
                              <w:bottom w:val="single" w:sz="4" w:space="0" w:color="auto"/>
                              <w:right w:val="single" w:sz="4" w:space="0" w:color="auto"/>
                            </w:tcBorders>
                            <w:shd w:val="clear" w:color="000000" w:fill="FFFFFF"/>
                            <w:noWrap/>
                            <w:vAlign w:val="center"/>
                            <w:hideMark/>
                          </w:tcPr>
                          <w:p w14:paraId="62A3294D"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752,444</w:t>
                            </w:r>
                          </w:p>
                        </w:tc>
                        <w:tc>
                          <w:tcPr>
                            <w:tcW w:w="1134" w:type="dxa"/>
                            <w:tcBorders>
                              <w:top w:val="nil"/>
                              <w:left w:val="nil"/>
                              <w:bottom w:val="single" w:sz="4" w:space="0" w:color="auto"/>
                              <w:right w:val="single" w:sz="4" w:space="0" w:color="auto"/>
                            </w:tcBorders>
                            <w:shd w:val="clear" w:color="000000" w:fill="FFFFFF"/>
                            <w:noWrap/>
                            <w:vAlign w:val="center"/>
                            <w:hideMark/>
                          </w:tcPr>
                          <w:p w14:paraId="287458D9"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666,951</w:t>
                            </w:r>
                          </w:p>
                        </w:tc>
                      </w:tr>
                      <w:tr w:rsidR="00A0212B" w:rsidRPr="00FE4B26" w14:paraId="54E8F99C" w14:textId="77777777" w:rsidTr="000131EC">
                        <w:trPr>
                          <w:trHeight w:val="20"/>
                          <w:jc w:val="center"/>
                        </w:trPr>
                        <w:tc>
                          <w:tcPr>
                            <w:tcW w:w="2137" w:type="dxa"/>
                            <w:tcBorders>
                              <w:top w:val="nil"/>
                              <w:left w:val="single" w:sz="4" w:space="0" w:color="auto"/>
                              <w:bottom w:val="single" w:sz="4" w:space="0" w:color="auto"/>
                              <w:right w:val="single" w:sz="4" w:space="0" w:color="auto"/>
                            </w:tcBorders>
                            <w:shd w:val="clear" w:color="000000" w:fill="FFFFFF"/>
                            <w:vAlign w:val="center"/>
                            <w:hideMark/>
                          </w:tcPr>
                          <w:p w14:paraId="04EFCCCB" w14:textId="77777777" w:rsidR="00A0212B" w:rsidRPr="00FE4B26" w:rsidRDefault="00A0212B" w:rsidP="000131EC">
                            <w:pPr>
                              <w:widowControl/>
                              <w:spacing w:line="240" w:lineRule="exact"/>
                              <w:rPr>
                                <w:rFonts w:ascii="標楷體" w:eastAsia="標楷體" w:hAnsi="標楷體" w:cs="新細明體"/>
                                <w:kern w:val="0"/>
                                <w:sz w:val="20"/>
                              </w:rPr>
                            </w:pPr>
                            <w:r w:rsidRPr="00FE4B26">
                              <w:rPr>
                                <w:rFonts w:ascii="標楷體" w:eastAsia="標楷體" w:hAnsi="標楷體" w:cs="新細明體" w:hint="eastAsia"/>
                                <w:kern w:val="0"/>
                                <w:sz w:val="20"/>
                              </w:rPr>
                              <w:t>國家科學及技術委員會</w:t>
                            </w:r>
                          </w:p>
                        </w:tc>
                        <w:tc>
                          <w:tcPr>
                            <w:tcW w:w="1159" w:type="dxa"/>
                            <w:tcBorders>
                              <w:top w:val="nil"/>
                              <w:left w:val="nil"/>
                              <w:bottom w:val="single" w:sz="4" w:space="0" w:color="auto"/>
                              <w:right w:val="single" w:sz="4" w:space="0" w:color="auto"/>
                            </w:tcBorders>
                            <w:shd w:val="clear" w:color="000000" w:fill="FFFFFF"/>
                            <w:noWrap/>
                            <w:vAlign w:val="center"/>
                            <w:hideMark/>
                          </w:tcPr>
                          <w:p w14:paraId="7E90330D"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5,400,000</w:t>
                            </w:r>
                          </w:p>
                        </w:tc>
                        <w:tc>
                          <w:tcPr>
                            <w:tcW w:w="1159" w:type="dxa"/>
                            <w:tcBorders>
                              <w:top w:val="nil"/>
                              <w:left w:val="nil"/>
                              <w:bottom w:val="single" w:sz="4" w:space="0" w:color="auto"/>
                              <w:right w:val="single" w:sz="4" w:space="0" w:color="auto"/>
                            </w:tcBorders>
                            <w:shd w:val="clear" w:color="000000" w:fill="FFFFFF"/>
                            <w:noWrap/>
                            <w:vAlign w:val="center"/>
                            <w:hideMark/>
                          </w:tcPr>
                          <w:p w14:paraId="7D037979"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2,880,000</w:t>
                            </w:r>
                          </w:p>
                        </w:tc>
                        <w:tc>
                          <w:tcPr>
                            <w:tcW w:w="1058" w:type="dxa"/>
                            <w:tcBorders>
                              <w:top w:val="nil"/>
                              <w:left w:val="nil"/>
                              <w:bottom w:val="single" w:sz="4" w:space="0" w:color="auto"/>
                              <w:right w:val="single" w:sz="4" w:space="0" w:color="auto"/>
                            </w:tcBorders>
                            <w:shd w:val="clear" w:color="000000" w:fill="FFFFFF"/>
                            <w:noWrap/>
                            <w:vAlign w:val="center"/>
                            <w:hideMark/>
                          </w:tcPr>
                          <w:p w14:paraId="09580BA0" w14:textId="77777777" w:rsidR="00A0212B" w:rsidRPr="00FE4B26" w:rsidRDefault="00A0212B" w:rsidP="000131EC">
                            <w:pPr>
                              <w:widowControl/>
                              <w:spacing w:line="240" w:lineRule="exact"/>
                              <w:jc w:val="right"/>
                              <w:rPr>
                                <w:rFonts w:ascii="標楷體" w:eastAsia="標楷體" w:hAnsi="標楷體" w:cs="新細明體"/>
                                <w:b/>
                                <w:bCs/>
                                <w:kern w:val="0"/>
                                <w:sz w:val="20"/>
                              </w:rPr>
                            </w:pPr>
                            <w:r w:rsidRPr="00FE4B26">
                              <w:rPr>
                                <w:rFonts w:ascii="標楷體" w:eastAsia="標楷體" w:hAnsi="標楷體" w:cs="新細明體" w:hint="eastAsia"/>
                                <w:b/>
                                <w:bCs/>
                                <w:kern w:val="0"/>
                                <w:sz w:val="20"/>
                              </w:rPr>
                              <w:t>2,880,</w:t>
                            </w:r>
                            <w:r>
                              <w:rPr>
                                <w:rFonts w:ascii="標楷體" w:eastAsia="標楷體" w:hAnsi="標楷體" w:cs="新細明體"/>
                                <w:b/>
                                <w:bCs/>
                                <w:kern w:val="0"/>
                                <w:sz w:val="20"/>
                              </w:rPr>
                              <w:t>0</w:t>
                            </w:r>
                            <w:r w:rsidRPr="00FE4B26">
                              <w:rPr>
                                <w:rFonts w:ascii="標楷體" w:eastAsia="標楷體" w:hAnsi="標楷體" w:cs="新細明體" w:hint="eastAsia"/>
                                <w:b/>
                                <w:bCs/>
                                <w:kern w:val="0"/>
                                <w:sz w:val="20"/>
                              </w:rPr>
                              <w:t>00</w:t>
                            </w:r>
                          </w:p>
                        </w:tc>
                        <w:tc>
                          <w:tcPr>
                            <w:tcW w:w="1058" w:type="dxa"/>
                            <w:tcBorders>
                              <w:top w:val="nil"/>
                              <w:left w:val="nil"/>
                              <w:bottom w:val="single" w:sz="4" w:space="0" w:color="auto"/>
                              <w:right w:val="single" w:sz="4" w:space="0" w:color="auto"/>
                            </w:tcBorders>
                            <w:shd w:val="clear" w:color="000000" w:fill="FFFFFF"/>
                            <w:noWrap/>
                            <w:vAlign w:val="center"/>
                            <w:hideMark/>
                          </w:tcPr>
                          <w:p w14:paraId="11C2A59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2,644,290</w:t>
                            </w:r>
                          </w:p>
                        </w:tc>
                        <w:tc>
                          <w:tcPr>
                            <w:tcW w:w="896" w:type="dxa"/>
                            <w:tcBorders>
                              <w:top w:val="nil"/>
                              <w:left w:val="nil"/>
                              <w:bottom w:val="single" w:sz="4" w:space="0" w:color="auto"/>
                              <w:right w:val="single" w:sz="4" w:space="0" w:color="auto"/>
                            </w:tcBorders>
                            <w:shd w:val="clear" w:color="auto" w:fill="auto"/>
                            <w:noWrap/>
                            <w:vAlign w:val="center"/>
                            <w:hideMark/>
                          </w:tcPr>
                          <w:p w14:paraId="73562DC5"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91.82</w:t>
                            </w:r>
                          </w:p>
                        </w:tc>
                        <w:tc>
                          <w:tcPr>
                            <w:tcW w:w="1058" w:type="dxa"/>
                            <w:tcBorders>
                              <w:top w:val="nil"/>
                              <w:left w:val="nil"/>
                              <w:bottom w:val="single" w:sz="4" w:space="0" w:color="auto"/>
                              <w:right w:val="single" w:sz="4" w:space="0" w:color="auto"/>
                            </w:tcBorders>
                            <w:shd w:val="clear" w:color="000000" w:fill="FFFFFF"/>
                            <w:noWrap/>
                            <w:vAlign w:val="center"/>
                            <w:hideMark/>
                          </w:tcPr>
                          <w:p w14:paraId="4C26E211"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235,709</w:t>
                            </w:r>
                          </w:p>
                        </w:tc>
                        <w:tc>
                          <w:tcPr>
                            <w:tcW w:w="1134" w:type="dxa"/>
                            <w:tcBorders>
                              <w:top w:val="nil"/>
                              <w:left w:val="nil"/>
                              <w:bottom w:val="single" w:sz="4" w:space="0" w:color="auto"/>
                              <w:right w:val="single" w:sz="4" w:space="0" w:color="auto"/>
                            </w:tcBorders>
                            <w:shd w:val="clear" w:color="000000" w:fill="FFFFFF"/>
                            <w:noWrap/>
                            <w:vAlign w:val="center"/>
                            <w:hideMark/>
                          </w:tcPr>
                          <w:p w14:paraId="0ABB77A0" w14:textId="77777777" w:rsidR="00A0212B" w:rsidRPr="00FE4B26" w:rsidRDefault="00A0212B" w:rsidP="000131EC">
                            <w:pPr>
                              <w:widowControl/>
                              <w:spacing w:line="240" w:lineRule="exact"/>
                              <w:jc w:val="right"/>
                              <w:rPr>
                                <w:rFonts w:ascii="標楷體" w:eastAsia="標楷體" w:hAnsi="標楷體" w:cs="新細明體"/>
                                <w:kern w:val="0"/>
                                <w:sz w:val="20"/>
                              </w:rPr>
                            </w:pPr>
                            <w:r w:rsidRPr="00FE4B26">
                              <w:rPr>
                                <w:rFonts w:ascii="標楷體" w:eastAsia="標楷體" w:hAnsi="標楷體" w:cs="新細明體" w:hint="eastAsia"/>
                                <w:kern w:val="0"/>
                                <w:sz w:val="20"/>
                              </w:rPr>
                              <w:t>－</w:t>
                            </w:r>
                          </w:p>
                        </w:tc>
                      </w:tr>
                      <w:tr w:rsidR="00A0212B" w:rsidRPr="00FE4B26" w14:paraId="6925B756" w14:textId="77777777" w:rsidTr="000131EC">
                        <w:trPr>
                          <w:trHeight w:val="20"/>
                          <w:jc w:val="center"/>
                        </w:trPr>
                        <w:tc>
                          <w:tcPr>
                            <w:tcW w:w="9659" w:type="dxa"/>
                            <w:gridSpan w:val="8"/>
                            <w:tcBorders>
                              <w:top w:val="single" w:sz="4" w:space="0" w:color="auto"/>
                            </w:tcBorders>
                            <w:shd w:val="clear" w:color="000000" w:fill="FFFFFF"/>
                          </w:tcPr>
                          <w:p w14:paraId="08BCB044" w14:textId="77777777" w:rsidR="00A0212B" w:rsidRPr="0081537A" w:rsidRDefault="00A0212B" w:rsidP="000131EC">
                            <w:pPr>
                              <w:spacing w:line="240" w:lineRule="exact"/>
                              <w:rPr>
                                <w:rFonts w:ascii="標楷體" w:eastAsia="標楷體" w:hAnsi="標楷體" w:cs="新細明體"/>
                                <w:color w:val="000000"/>
                                <w:kern w:val="0"/>
                                <w:sz w:val="18"/>
                                <w:szCs w:val="18"/>
                              </w:rPr>
                            </w:pPr>
                            <w:r w:rsidRPr="0081537A">
                              <w:rPr>
                                <w:rFonts w:ascii="標楷體" w:eastAsia="標楷體" w:hAnsi="標楷體" w:cstheme="minorBidi" w:hint="eastAsia"/>
                                <w:sz w:val="18"/>
                                <w:szCs w:val="18"/>
                              </w:rPr>
                              <w:t>註：1</w:t>
                            </w:r>
                            <w:r w:rsidRPr="0081537A">
                              <w:rPr>
                                <w:rFonts w:ascii="標楷體" w:eastAsia="標楷體" w:hAnsi="標楷體" w:cstheme="minorBidi"/>
                                <w:sz w:val="18"/>
                                <w:szCs w:val="18"/>
                              </w:rPr>
                              <w:t>.</w:t>
                            </w:r>
                            <w:r w:rsidRPr="0081537A">
                              <w:rPr>
                                <w:rFonts w:ascii="標楷體" w:eastAsia="標楷體" w:hAnsi="標楷體" w:cstheme="minorBidi" w:hint="eastAsia"/>
                                <w:sz w:val="18"/>
                                <w:szCs w:val="18"/>
                              </w:rPr>
                              <w:t>實現率=實現數/</w:t>
                            </w:r>
                            <w:r w:rsidRPr="0081537A">
                              <w:rPr>
                                <w:rFonts w:ascii="標楷體" w:eastAsia="標楷體" w:hAnsi="標楷體" w:cs="新細明體" w:hint="eastAsia"/>
                                <w:color w:val="000000"/>
                                <w:kern w:val="0"/>
                                <w:sz w:val="18"/>
                                <w:szCs w:val="18"/>
                              </w:rPr>
                              <w:t>112年度分配預算數</w:t>
                            </w:r>
                            <w:r w:rsidRPr="0081537A">
                              <w:rPr>
                                <w:rFonts w:ascii="標楷體" w:eastAsia="標楷體" w:hAnsi="標楷體" w:cs="新細明體"/>
                                <w:color w:val="000000"/>
                                <w:kern w:val="0"/>
                                <w:sz w:val="18"/>
                                <w:szCs w:val="18"/>
                              </w:rPr>
                              <w:t>×100</w:t>
                            </w:r>
                            <w:r w:rsidRPr="0078131B">
                              <w:rPr>
                                <w:rFonts w:ascii="標楷體" w:eastAsia="標楷體" w:hAnsi="標楷體" w:cs="新細明體" w:hint="eastAsia"/>
                                <w:color w:val="000000"/>
                                <w:kern w:val="0"/>
                                <w:sz w:val="18"/>
                                <w:szCs w:val="18"/>
                              </w:rPr>
                              <w:t>％</w:t>
                            </w:r>
                            <w:r w:rsidRPr="0081537A">
                              <w:rPr>
                                <w:rFonts w:ascii="標楷體" w:eastAsia="標楷體" w:hAnsi="標楷體" w:cs="新細明體" w:hint="eastAsia"/>
                                <w:color w:val="000000"/>
                                <w:kern w:val="0"/>
                                <w:sz w:val="18"/>
                                <w:szCs w:val="18"/>
                              </w:rPr>
                              <w:t>。</w:t>
                            </w:r>
                          </w:p>
                          <w:p w14:paraId="49C2C4F8" w14:textId="77777777" w:rsidR="00A0212B" w:rsidRDefault="00A0212B" w:rsidP="000131EC">
                            <w:pPr>
                              <w:spacing w:line="240" w:lineRule="exact"/>
                              <w:ind w:firstLineChars="200" w:firstLine="360"/>
                              <w:rPr>
                                <w:rFonts w:ascii="標楷體" w:eastAsia="標楷體" w:hAnsi="標楷體" w:cstheme="minorBidi"/>
                                <w:sz w:val="18"/>
                                <w:szCs w:val="18"/>
                              </w:rPr>
                            </w:pPr>
                            <w:r w:rsidRPr="00FE4B26">
                              <w:rPr>
                                <w:rFonts w:ascii="標楷體" w:eastAsia="標楷體" w:hAnsi="標楷體" w:cstheme="minorBidi" w:hint="eastAsia"/>
                                <w:sz w:val="18"/>
                                <w:szCs w:val="18"/>
                              </w:rPr>
                              <w:t>2</w:t>
                            </w:r>
                            <w:r w:rsidRPr="00FE4B26">
                              <w:rPr>
                                <w:rFonts w:ascii="標楷體" w:eastAsia="標楷體" w:hAnsi="標楷體" w:cstheme="minorBidi"/>
                                <w:sz w:val="18"/>
                                <w:szCs w:val="18"/>
                              </w:rPr>
                              <w:t>.</w:t>
                            </w:r>
                            <w:r w:rsidRPr="00B331AB">
                              <w:rPr>
                                <w:rFonts w:ascii="標楷體" w:eastAsia="標楷體" w:hAnsi="標楷體" w:cstheme="minorBidi" w:hint="eastAsia"/>
                                <w:sz w:val="18"/>
                                <w:szCs w:val="18"/>
                              </w:rPr>
                              <w:t>底色部分為實現率未達8成</w:t>
                            </w:r>
                            <w:r>
                              <w:rPr>
                                <w:rFonts w:ascii="標楷體" w:eastAsia="標楷體" w:hAnsi="標楷體" w:cstheme="minorBidi" w:hint="eastAsia"/>
                                <w:sz w:val="18"/>
                                <w:szCs w:val="18"/>
                              </w:rPr>
                              <w:t>之中央主管機關。</w:t>
                            </w:r>
                          </w:p>
                          <w:p w14:paraId="500B34A3" w14:textId="77777777" w:rsidR="00A0212B" w:rsidRPr="00FE4B26" w:rsidRDefault="00A0212B" w:rsidP="000131EC">
                            <w:pPr>
                              <w:spacing w:line="240" w:lineRule="exact"/>
                              <w:ind w:firstLineChars="200" w:firstLine="360"/>
                              <w:rPr>
                                <w:rFonts w:ascii="標楷體" w:eastAsia="標楷體" w:hAnsi="標楷體" w:cstheme="minorBidi"/>
                                <w:kern w:val="0"/>
                                <w:sz w:val="18"/>
                                <w:szCs w:val="18"/>
                              </w:rPr>
                            </w:pPr>
                            <w:r>
                              <w:rPr>
                                <w:rFonts w:ascii="標楷體" w:eastAsia="標楷體" w:hAnsi="標楷體" w:cstheme="minorBidi"/>
                                <w:sz w:val="18"/>
                                <w:szCs w:val="18"/>
                              </w:rPr>
                              <w:t>3.</w:t>
                            </w:r>
                            <w:r w:rsidRPr="00FE4B26">
                              <w:rPr>
                                <w:rFonts w:ascii="標楷體" w:eastAsia="標楷體" w:hAnsi="標楷體" w:cstheme="minorBidi" w:hint="eastAsia"/>
                                <w:sz w:val="18"/>
                                <w:szCs w:val="18"/>
                              </w:rPr>
                              <w:t>資料來源：整理自</w:t>
                            </w:r>
                            <w:r w:rsidRPr="00FE4B26">
                              <w:rPr>
                                <w:rFonts w:ascii="標楷體" w:eastAsia="標楷體" w:hAnsi="標楷體" w:cs="新細明體" w:hint="eastAsia"/>
                                <w:kern w:val="0"/>
                                <w:sz w:val="18"/>
                                <w:szCs w:val="18"/>
                              </w:rPr>
                              <w:t>行政院</w:t>
                            </w:r>
                            <w:r w:rsidRPr="00FE4B26">
                              <w:rPr>
                                <w:rFonts w:ascii="標楷體" w:eastAsia="標楷體" w:hAnsi="標楷體" w:cstheme="minorBidi" w:hint="eastAsia"/>
                                <w:sz w:val="18"/>
                                <w:szCs w:val="18"/>
                              </w:rPr>
                              <w:t>112年度中央政府總決算總說明、主要表及相關附屬表（第1冊）。</w:t>
                            </w:r>
                          </w:p>
                          <w:p w14:paraId="58EF232F" w14:textId="77777777" w:rsidR="00A0212B" w:rsidRPr="00FE4B26" w:rsidRDefault="00A0212B" w:rsidP="000131EC">
                            <w:pPr>
                              <w:widowControl/>
                              <w:spacing w:line="240" w:lineRule="exact"/>
                              <w:rPr>
                                <w:rFonts w:ascii="標楷體" w:eastAsia="標楷體" w:hAnsi="標楷體" w:cs="新細明體"/>
                                <w:kern w:val="0"/>
                                <w:sz w:val="20"/>
                              </w:rPr>
                            </w:pPr>
                          </w:p>
                        </w:tc>
                      </w:tr>
                    </w:tbl>
                    <w:p w14:paraId="66F74258" w14:textId="77777777" w:rsidR="00A0212B" w:rsidRPr="00FE4B26" w:rsidRDefault="00A0212B" w:rsidP="008A6163">
                      <w:pPr>
                        <w:spacing w:line="220" w:lineRule="exact"/>
                        <w:ind w:leftChars="155" w:left="552" w:hangingChars="100" w:hanging="180"/>
                        <w:jc w:val="center"/>
                        <w:rPr>
                          <w:rFonts w:ascii="標楷體" w:eastAsia="標楷體" w:hAnsi="標楷體"/>
                          <w:sz w:val="18"/>
                        </w:rPr>
                      </w:pPr>
                    </w:p>
                  </w:txbxContent>
                </v:textbox>
                <w10:wrap type="tight" anchorx="page" anchory="margin"/>
              </v:shape>
            </w:pict>
          </mc:Fallback>
        </mc:AlternateContent>
      </w:r>
    </w:p>
    <w:p w14:paraId="3700EBFA" w14:textId="25F78B98" w:rsidR="00040225" w:rsidRPr="00AD6D2F" w:rsidRDefault="00040225" w:rsidP="0065325A">
      <w:pPr>
        <w:pStyle w:val="2"/>
        <w:kinsoku/>
        <w:overflowPunct w:val="0"/>
        <w:spacing w:beforeLines="20" w:before="72" w:afterLines="20" w:after="72" w:line="430" w:lineRule="exact"/>
        <w:ind w:left="0" w:firstLineChars="200" w:firstLine="561"/>
        <w:rPr>
          <w:spacing w:val="-6"/>
          <w:sz w:val="28"/>
          <w:szCs w:val="28"/>
        </w:rPr>
      </w:pPr>
      <w:r w:rsidRPr="00BC2940">
        <w:rPr>
          <w:rFonts w:hint="eastAsia"/>
          <w:b/>
          <w:sz w:val="28"/>
          <w:szCs w:val="28"/>
        </w:rPr>
        <w:lastRenderedPageBreak/>
        <w:t>（十</w:t>
      </w:r>
      <w:r w:rsidR="00781889">
        <w:rPr>
          <w:rFonts w:hint="eastAsia"/>
          <w:b/>
          <w:sz w:val="28"/>
          <w:szCs w:val="28"/>
        </w:rPr>
        <w:t>七</w:t>
      </w:r>
      <w:r w:rsidRPr="004E0E8E">
        <w:rPr>
          <w:rFonts w:hint="eastAsia"/>
          <w:b/>
          <w:sz w:val="28"/>
          <w:szCs w:val="28"/>
        </w:rPr>
        <w:t>）</w:t>
      </w:r>
      <w:bookmarkStart w:id="13" w:name="_Hlk105679518"/>
      <w:r w:rsidRPr="004E0E8E">
        <w:rPr>
          <w:rFonts w:hint="eastAsia"/>
          <w:b/>
          <w:sz w:val="28"/>
          <w:szCs w:val="28"/>
        </w:rPr>
        <w:t xml:space="preserve">　</w:t>
      </w:r>
      <w:bookmarkEnd w:id="13"/>
      <w:r w:rsidRPr="004E0E8E">
        <w:rPr>
          <w:rFonts w:hint="eastAsia"/>
          <w:b/>
          <w:sz w:val="28"/>
          <w:szCs w:val="28"/>
        </w:rPr>
        <w:t>政府推</w:t>
      </w:r>
      <w:r w:rsidRPr="00040225">
        <w:rPr>
          <w:rFonts w:hint="eastAsia"/>
          <w:b/>
          <w:sz w:val="28"/>
          <w:szCs w:val="28"/>
        </w:rPr>
        <w:t>動科技發展計畫，有效提升</w:t>
      </w:r>
      <w:r w:rsidRPr="00040225">
        <w:rPr>
          <w:b/>
          <w:color w:val="000000" w:themeColor="text1"/>
          <w:sz w:val="28"/>
          <w:szCs w:val="28"/>
        </w:rPr>
        <w:t>整體競爭力</w:t>
      </w:r>
      <w:r w:rsidRPr="00040225">
        <w:rPr>
          <w:rFonts w:hint="eastAsia"/>
          <w:b/>
          <w:color w:val="000000" w:themeColor="text1"/>
          <w:sz w:val="28"/>
          <w:szCs w:val="28"/>
        </w:rPr>
        <w:t>及數位創新能力</w:t>
      </w:r>
      <w:r w:rsidRPr="00040225">
        <w:rPr>
          <w:rFonts w:hint="eastAsia"/>
          <w:b/>
          <w:sz w:val="28"/>
          <w:szCs w:val="28"/>
        </w:rPr>
        <w:t>，惟部分計畫執行進度未如預期，或未達年度績效目標，又部分機關（單位）未確實辦理計畫評核，及落實檢討計畫退場與決算書表填報作業，且執行機關（單位）研究量能未相對應提升，</w:t>
      </w:r>
      <w:r w:rsidR="00DD5F0B">
        <w:rPr>
          <w:rFonts w:hint="eastAsia"/>
          <w:b/>
          <w:sz w:val="28"/>
          <w:szCs w:val="28"/>
        </w:rPr>
        <w:t>允宜</w:t>
      </w:r>
      <w:r w:rsidRPr="00040225">
        <w:rPr>
          <w:rFonts w:hint="eastAsia"/>
          <w:b/>
          <w:sz w:val="28"/>
          <w:szCs w:val="28"/>
        </w:rPr>
        <w:t>督促強化計畫執行及管考，俾政府科技資源</w:t>
      </w:r>
      <w:r w:rsidRPr="00040225">
        <w:rPr>
          <w:rFonts w:hint="eastAsia"/>
          <w:b/>
          <w:color w:val="000000" w:themeColor="text1"/>
          <w:sz w:val="28"/>
          <w:szCs w:val="28"/>
        </w:rPr>
        <w:t>驅動科技發展及產業動能</w:t>
      </w:r>
      <w:r w:rsidRPr="00040225">
        <w:rPr>
          <w:rFonts w:hint="eastAsia"/>
          <w:b/>
          <w:sz w:val="28"/>
          <w:szCs w:val="28"/>
        </w:rPr>
        <w:t>。</w:t>
      </w:r>
    </w:p>
    <w:p w14:paraId="39699656" w14:textId="6F912563" w:rsidR="00040225" w:rsidRPr="00AD6D2F" w:rsidRDefault="00040225" w:rsidP="00040225">
      <w:pPr>
        <w:overflowPunct w:val="0"/>
        <w:adjustRightInd w:val="0"/>
        <w:snapToGrid w:val="0"/>
        <w:spacing w:line="430" w:lineRule="exact"/>
        <w:ind w:firstLineChars="200" w:firstLine="480"/>
        <w:jc w:val="both"/>
        <w:rPr>
          <w:rFonts w:ascii="標楷體" w:eastAsia="標楷體" w:hAnsi="標楷體"/>
          <w:bCs/>
          <w:szCs w:val="32"/>
        </w:rPr>
      </w:pPr>
      <w:r w:rsidRPr="00AD6D2F">
        <w:rPr>
          <w:rFonts w:ascii="標楷體" w:eastAsia="標楷體" w:hAnsi="標楷體" w:hint="eastAsia"/>
          <w:bCs/>
          <w:szCs w:val="32"/>
        </w:rPr>
        <w:t>政府面對全球前瞻科技快速發展，及數位與綠色雙軸轉型等國際趨勢，為增進科技關鍵技術自主研發能力及競爭優勢，近年持續增加科技發展經費之投入，除推動各主管機關既有科技施政項目，並藉由前瞻基礎建設計畫、五加二產業創新計畫、六大核心戰略產業推動方案及智慧國家方案之執行，推升我國創新研發能量，另擴大布局人工智慧、第六代行動通訊系統、淨零及高齡科技等關鍵科技領域，提升我國科研實力及國際能見度。112年度中央政府總預算科技發展計畫（下稱112年度科技發展計畫）及第4期（112至113年度）科技發展類前瞻基礎建設計畫（下稱科技發展類前瞻基礎建設計畫），共編列預算1,325億餘元，執行結果，實現數1,214億餘元，已實現比率91.62％，分別由各機關（單位）辦理323項及71項科技發展計畫。經查相關科技發展計畫推動情形，核有下列事項：</w:t>
      </w:r>
    </w:p>
    <w:p w14:paraId="22B923C8" w14:textId="2499063D" w:rsidR="00040225" w:rsidRPr="00AD6D2F" w:rsidRDefault="000131EC" w:rsidP="004D7C92">
      <w:pPr>
        <w:overflowPunct w:val="0"/>
        <w:adjustRightInd w:val="0"/>
        <w:snapToGrid w:val="0"/>
        <w:spacing w:line="460" w:lineRule="exact"/>
        <w:ind w:firstLineChars="450" w:firstLine="1080"/>
        <w:jc w:val="both"/>
        <w:rPr>
          <w:rFonts w:ascii="標楷體" w:eastAsia="標楷體" w:hAnsi="標楷體"/>
          <w:kern w:val="0"/>
          <w:szCs w:val="32"/>
        </w:rPr>
      </w:pPr>
      <w:r w:rsidRPr="00AD6D2F">
        <w:rPr>
          <w:rFonts w:ascii="標楷體" w:eastAsia="標楷體" w:hAnsi="標楷體" w:hint="eastAsia"/>
          <w:noProof/>
          <w:color w:val="000000" w:themeColor="text1"/>
        </w:rPr>
        <mc:AlternateContent>
          <mc:Choice Requires="wps">
            <w:drawing>
              <wp:anchor distT="0" distB="0" distL="114300" distR="114300" simplePos="0" relativeHeight="251626496" behindDoc="0" locked="0" layoutInCell="1" allowOverlap="1" wp14:anchorId="088F3B60" wp14:editId="2628E2AD">
                <wp:simplePos x="0" y="0"/>
                <wp:positionH relativeFrom="column">
                  <wp:posOffset>2993753</wp:posOffset>
                </wp:positionH>
                <wp:positionV relativeFrom="paragraph">
                  <wp:posOffset>2790553</wp:posOffset>
                </wp:positionV>
                <wp:extent cx="3303270" cy="2218055"/>
                <wp:effectExtent l="0" t="0" r="0" b="0"/>
                <wp:wrapSquare wrapText="bothSides"/>
                <wp:docPr id="89" name="文字方塊 89"/>
                <wp:cNvGraphicFramePr/>
                <a:graphic xmlns:a="http://schemas.openxmlformats.org/drawingml/2006/main">
                  <a:graphicData uri="http://schemas.microsoft.com/office/word/2010/wordprocessingShape">
                    <wps:wsp>
                      <wps:cNvSpPr txBox="1"/>
                      <wps:spPr>
                        <a:xfrm>
                          <a:off x="0" y="0"/>
                          <a:ext cx="3303270" cy="2218055"/>
                        </a:xfrm>
                        <a:prstGeom prst="rect">
                          <a:avLst/>
                        </a:prstGeom>
                        <a:solidFill>
                          <a:schemeClr val="lt1"/>
                        </a:solidFill>
                        <a:ln w="6350">
                          <a:noFill/>
                        </a:ln>
                      </wps:spPr>
                      <wps:txbx>
                        <w:txbxContent>
                          <w:p w14:paraId="01690261" w14:textId="3B5AC8D3" w:rsidR="00A0212B" w:rsidRPr="00652443" w:rsidRDefault="00A0212B" w:rsidP="00FB4AC7">
                            <w:pPr>
                              <w:spacing w:line="300" w:lineRule="exact"/>
                              <w:ind w:leftChars="-35" w:left="709" w:rightChars="-22" w:right="-53" w:hangingChars="330" w:hanging="793"/>
                              <w:rPr>
                                <w:rFonts w:ascii="標楷體" w:eastAsia="標楷體" w:hAnsi="標楷體"/>
                                <w:b/>
                                <w:sz w:val="22"/>
                              </w:rPr>
                            </w:pPr>
                            <w:r w:rsidRPr="00652443">
                              <w:rPr>
                                <w:rFonts w:ascii="標楷體" w:eastAsia="標楷體" w:hAnsi="標楷體" w:hint="eastAsia"/>
                                <w:b/>
                              </w:rPr>
                              <w:t>表</w:t>
                            </w:r>
                            <w:r>
                              <w:rPr>
                                <w:rFonts w:ascii="標楷體" w:eastAsia="標楷體" w:hAnsi="標楷體"/>
                                <w:b/>
                              </w:rPr>
                              <w:t>26</w:t>
                            </w:r>
                            <w:r w:rsidRPr="00652443">
                              <w:rPr>
                                <w:rFonts w:ascii="標楷體" w:eastAsia="標楷體" w:hAnsi="標楷體" w:hint="eastAsia"/>
                                <w:b/>
                              </w:rPr>
                              <w:t xml:space="preserve">　部分機關（單位</w:t>
                            </w:r>
                            <w:r w:rsidRPr="00652443">
                              <w:rPr>
                                <w:rFonts w:ascii="標楷體" w:eastAsia="標楷體" w:hAnsi="標楷體"/>
                                <w:b/>
                              </w:rPr>
                              <w:t>）</w:t>
                            </w:r>
                            <w:r w:rsidRPr="00652443">
                              <w:rPr>
                                <w:rFonts w:ascii="標楷體" w:eastAsia="標楷體" w:hAnsi="標楷體" w:hint="eastAsia"/>
                                <w:b/>
                              </w:rPr>
                              <w:t>科技發展計畫</w:t>
                            </w:r>
                            <w:r>
                              <w:rPr>
                                <w:rFonts w:ascii="標楷體" w:eastAsia="標楷體" w:hAnsi="標楷體" w:hint="eastAsia"/>
                                <w:b/>
                              </w:rPr>
                              <w:t>1</w:t>
                            </w:r>
                            <w:r>
                              <w:rPr>
                                <w:rFonts w:ascii="標楷體" w:eastAsia="標楷體" w:hAnsi="標楷體"/>
                                <w:b/>
                              </w:rPr>
                              <w:t>12</w:t>
                            </w:r>
                            <w:r>
                              <w:rPr>
                                <w:rFonts w:ascii="標楷體" w:eastAsia="標楷體" w:hAnsi="標楷體" w:hint="eastAsia"/>
                                <w:b/>
                              </w:rPr>
                              <w:t>年度</w:t>
                            </w:r>
                            <w:r w:rsidRPr="00652443">
                              <w:rPr>
                                <w:rFonts w:ascii="標楷體" w:eastAsia="標楷體" w:hAnsi="標楷體" w:hint="eastAsia"/>
                                <w:b/>
                              </w:rPr>
                              <w:t>預算</w:t>
                            </w:r>
                            <w:r>
                              <w:rPr>
                                <w:rFonts w:ascii="標楷體" w:eastAsia="標楷體" w:hAnsi="標楷體" w:hint="eastAsia"/>
                                <w:b/>
                              </w:rPr>
                              <w:t>已實現比率</w:t>
                            </w:r>
                            <w:r w:rsidRPr="00652443">
                              <w:rPr>
                                <w:rFonts w:ascii="標楷體" w:eastAsia="標楷體" w:hAnsi="標楷體" w:hint="eastAsia"/>
                                <w:b/>
                              </w:rPr>
                              <w:t>未達8成情形</w:t>
                            </w:r>
                          </w:p>
                          <w:p w14:paraId="348CE5B5" w14:textId="77777777" w:rsidR="00A0212B" w:rsidRDefault="00A0212B" w:rsidP="000131EC">
                            <w:pPr>
                              <w:spacing w:line="300" w:lineRule="exact"/>
                              <w:jc w:val="right"/>
                              <w:rPr>
                                <w:rFonts w:ascii="標楷體" w:eastAsia="標楷體" w:hAnsi="標楷體"/>
                                <w:sz w:val="20"/>
                              </w:rPr>
                            </w:pPr>
                            <w:r w:rsidRPr="002255AB">
                              <w:rPr>
                                <w:rFonts w:ascii="標楷體" w:eastAsia="標楷體" w:hAnsi="標楷體" w:hint="eastAsia"/>
                                <w:sz w:val="20"/>
                              </w:rPr>
                              <w:t>新臺幣千元、％</w:t>
                            </w:r>
                          </w:p>
                          <w:tbl>
                            <w:tblPr>
                              <w:tblStyle w:val="afff"/>
                              <w:tblW w:w="5060" w:type="dxa"/>
                              <w:jc w:val="center"/>
                              <w:tblLook w:val="04A0" w:firstRow="1" w:lastRow="0" w:firstColumn="1" w:lastColumn="0" w:noHBand="0" w:noVBand="1"/>
                            </w:tblPr>
                            <w:tblGrid>
                              <w:gridCol w:w="1658"/>
                              <w:gridCol w:w="1134"/>
                              <w:gridCol w:w="1134"/>
                              <w:gridCol w:w="1134"/>
                            </w:tblGrid>
                            <w:tr w:rsidR="00A0212B" w14:paraId="380183D3" w14:textId="77777777" w:rsidTr="00583581">
                              <w:trPr>
                                <w:jc w:val="center"/>
                              </w:trPr>
                              <w:tc>
                                <w:tcPr>
                                  <w:tcW w:w="1658" w:type="dxa"/>
                                  <w:vAlign w:val="center"/>
                                </w:tcPr>
                                <w:p w14:paraId="1C551983" w14:textId="77777777" w:rsidR="00A0212B" w:rsidRPr="00652443" w:rsidRDefault="00A0212B" w:rsidP="000131EC">
                                  <w:pPr>
                                    <w:ind w:leftChars="-96" w:left="-38" w:rightChars="-130" w:right="-312" w:hangingChars="96" w:hanging="192"/>
                                    <w:jc w:val="center"/>
                                    <w:rPr>
                                      <w:rFonts w:ascii="標楷體" w:eastAsia="標楷體" w:hAnsi="標楷體"/>
                                      <w:sz w:val="20"/>
                                    </w:rPr>
                                  </w:pPr>
                                  <w:r w:rsidRPr="00652443">
                                    <w:rPr>
                                      <w:rFonts w:ascii="標楷體" w:eastAsia="標楷體" w:hAnsi="標楷體" w:hint="eastAsia"/>
                                      <w:sz w:val="20"/>
                                    </w:rPr>
                                    <w:t>主管機關（單位</w:t>
                                  </w:r>
                                  <w:r>
                                    <w:rPr>
                                      <w:rFonts w:ascii="標楷體" w:eastAsia="標楷體" w:hAnsi="標楷體"/>
                                      <w:sz w:val="20"/>
                                    </w:rPr>
                                    <w:t>）</w:t>
                                  </w:r>
                                </w:p>
                              </w:tc>
                              <w:tc>
                                <w:tcPr>
                                  <w:tcW w:w="1134" w:type="dxa"/>
                                  <w:vAlign w:val="center"/>
                                </w:tcPr>
                                <w:p w14:paraId="07C083E2" w14:textId="77777777" w:rsidR="00A0212B" w:rsidRPr="00652443" w:rsidRDefault="00A0212B" w:rsidP="000131EC">
                                  <w:pPr>
                                    <w:jc w:val="center"/>
                                    <w:rPr>
                                      <w:rFonts w:ascii="標楷體" w:eastAsia="標楷體" w:hAnsi="標楷體"/>
                                      <w:sz w:val="20"/>
                                    </w:rPr>
                                  </w:pPr>
                                  <w:r w:rsidRPr="00652443">
                                    <w:rPr>
                                      <w:rFonts w:ascii="標楷體" w:eastAsia="標楷體" w:hAnsi="標楷體" w:hint="eastAsia"/>
                                      <w:sz w:val="20"/>
                                    </w:rPr>
                                    <w:t>預算數</w:t>
                                  </w:r>
                                </w:p>
                              </w:tc>
                              <w:tc>
                                <w:tcPr>
                                  <w:tcW w:w="1134" w:type="dxa"/>
                                  <w:vAlign w:val="center"/>
                                </w:tcPr>
                                <w:p w14:paraId="7F90234B" w14:textId="77777777" w:rsidR="00A0212B" w:rsidRPr="00652443" w:rsidRDefault="00A0212B" w:rsidP="000131EC">
                                  <w:pPr>
                                    <w:jc w:val="center"/>
                                    <w:rPr>
                                      <w:rFonts w:ascii="標楷體" w:eastAsia="標楷體" w:hAnsi="標楷體"/>
                                      <w:sz w:val="20"/>
                                    </w:rPr>
                                  </w:pPr>
                                  <w:r w:rsidRPr="00652443">
                                    <w:rPr>
                                      <w:rFonts w:ascii="標楷體" w:eastAsia="標楷體" w:hAnsi="標楷體" w:hint="eastAsia"/>
                                      <w:sz w:val="20"/>
                                    </w:rPr>
                                    <w:t>實現數</w:t>
                                  </w:r>
                                </w:p>
                              </w:tc>
                              <w:tc>
                                <w:tcPr>
                                  <w:tcW w:w="1134" w:type="dxa"/>
                                  <w:vAlign w:val="center"/>
                                </w:tcPr>
                                <w:p w14:paraId="57A6E08E" w14:textId="77777777" w:rsidR="00A0212B" w:rsidRPr="00652443" w:rsidRDefault="00A0212B" w:rsidP="000131EC">
                                  <w:pPr>
                                    <w:ind w:leftChars="-62" w:left="-25" w:rightChars="-67" w:right="-161" w:hangingChars="62" w:hanging="124"/>
                                    <w:jc w:val="center"/>
                                    <w:rPr>
                                      <w:rFonts w:ascii="標楷體" w:eastAsia="標楷體" w:hAnsi="標楷體"/>
                                      <w:sz w:val="20"/>
                                    </w:rPr>
                                  </w:pPr>
                                  <w:r w:rsidRPr="00652443">
                                    <w:rPr>
                                      <w:rFonts w:ascii="標楷體" w:eastAsia="標楷體" w:hAnsi="標楷體" w:hint="eastAsia"/>
                                      <w:sz w:val="20"/>
                                    </w:rPr>
                                    <w:t>已實現比率</w:t>
                                  </w:r>
                                </w:p>
                              </w:tc>
                            </w:tr>
                            <w:tr w:rsidR="00A0212B" w14:paraId="03AB2FED" w14:textId="77777777" w:rsidTr="00583581">
                              <w:trPr>
                                <w:trHeight w:val="567"/>
                                <w:jc w:val="center"/>
                              </w:trPr>
                              <w:tc>
                                <w:tcPr>
                                  <w:tcW w:w="1658" w:type="dxa"/>
                                  <w:vAlign w:val="center"/>
                                </w:tcPr>
                                <w:p w14:paraId="2D2B0022" w14:textId="77777777" w:rsidR="00A0212B" w:rsidRPr="00652443" w:rsidRDefault="00A0212B" w:rsidP="000131EC">
                                  <w:pPr>
                                    <w:spacing w:line="240" w:lineRule="exact"/>
                                    <w:jc w:val="distribute"/>
                                    <w:rPr>
                                      <w:rFonts w:ascii="標楷體" w:eastAsia="標楷體" w:hAnsi="標楷體"/>
                                      <w:sz w:val="20"/>
                                    </w:rPr>
                                  </w:pPr>
                                  <w:r w:rsidRPr="00652443">
                                    <w:rPr>
                                      <w:rFonts w:ascii="標楷體" w:eastAsia="標楷體" w:hAnsi="標楷體" w:hint="eastAsia"/>
                                      <w:sz w:val="20"/>
                                    </w:rPr>
                                    <w:t>行政院國家科學技術發展基金</w:t>
                                  </w:r>
                                </w:p>
                              </w:tc>
                              <w:tc>
                                <w:tcPr>
                                  <w:tcW w:w="1134" w:type="dxa"/>
                                  <w:vAlign w:val="center"/>
                                </w:tcPr>
                                <w:p w14:paraId="65B0E0F5"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,313,560</w:t>
                                  </w:r>
                                </w:p>
                              </w:tc>
                              <w:tc>
                                <w:tcPr>
                                  <w:tcW w:w="1134" w:type="dxa"/>
                                  <w:vAlign w:val="center"/>
                                </w:tcPr>
                                <w:p w14:paraId="4DB2F138"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77,615</w:t>
                                  </w:r>
                                </w:p>
                              </w:tc>
                              <w:tc>
                                <w:tcPr>
                                  <w:tcW w:w="1134" w:type="dxa"/>
                                  <w:vAlign w:val="center"/>
                                </w:tcPr>
                                <w:p w14:paraId="64DCBF7E"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5</w:t>
                                  </w:r>
                                  <w:r w:rsidRPr="00652443">
                                    <w:rPr>
                                      <w:rFonts w:ascii="標楷體" w:eastAsia="標楷體" w:hAnsi="標楷體"/>
                                      <w:sz w:val="20"/>
                                    </w:rPr>
                                    <w:t>1.59</w:t>
                                  </w:r>
                                </w:p>
                              </w:tc>
                            </w:tr>
                            <w:tr w:rsidR="00A0212B" w14:paraId="6D41D79C" w14:textId="77777777" w:rsidTr="00583581">
                              <w:trPr>
                                <w:trHeight w:val="283"/>
                                <w:jc w:val="center"/>
                              </w:trPr>
                              <w:tc>
                                <w:tcPr>
                                  <w:tcW w:w="1658" w:type="dxa"/>
                                  <w:vAlign w:val="center"/>
                                </w:tcPr>
                                <w:p w14:paraId="595A40D5" w14:textId="77777777" w:rsidR="00A0212B" w:rsidRPr="00652443" w:rsidRDefault="00A0212B" w:rsidP="000131EC">
                                  <w:pPr>
                                    <w:spacing w:line="240" w:lineRule="exact"/>
                                    <w:jc w:val="center"/>
                                    <w:rPr>
                                      <w:rFonts w:ascii="標楷體" w:eastAsia="標楷體" w:hAnsi="標楷體"/>
                                      <w:sz w:val="20"/>
                                    </w:rPr>
                                  </w:pPr>
                                  <w:r w:rsidRPr="00652443">
                                    <w:rPr>
                                      <w:rFonts w:ascii="標楷體" w:eastAsia="標楷體" w:hAnsi="標楷體" w:hint="eastAsia"/>
                                      <w:sz w:val="20"/>
                                    </w:rPr>
                                    <w:t>國家發展委員會</w:t>
                                  </w:r>
                                </w:p>
                              </w:tc>
                              <w:tc>
                                <w:tcPr>
                                  <w:tcW w:w="1134" w:type="dxa"/>
                                  <w:vAlign w:val="center"/>
                                </w:tcPr>
                                <w:p w14:paraId="76760BE2"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85,942</w:t>
                                  </w:r>
                                </w:p>
                              </w:tc>
                              <w:tc>
                                <w:tcPr>
                                  <w:tcW w:w="1134" w:type="dxa"/>
                                  <w:vAlign w:val="center"/>
                                </w:tcPr>
                                <w:p w14:paraId="29B2DB82"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3</w:t>
                                  </w:r>
                                  <w:r w:rsidRPr="00652443">
                                    <w:rPr>
                                      <w:rFonts w:ascii="標楷體" w:eastAsia="標楷體" w:hAnsi="標楷體"/>
                                      <w:sz w:val="20"/>
                                    </w:rPr>
                                    <w:t>69,771</w:t>
                                  </w:r>
                                </w:p>
                              </w:tc>
                              <w:tc>
                                <w:tcPr>
                                  <w:tcW w:w="1134" w:type="dxa"/>
                                  <w:vAlign w:val="center"/>
                                </w:tcPr>
                                <w:p w14:paraId="4D9BCE30"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4</w:t>
                                  </w:r>
                                  <w:r w:rsidRPr="00652443">
                                    <w:rPr>
                                      <w:rFonts w:ascii="標楷體" w:eastAsia="標楷體" w:hAnsi="標楷體"/>
                                      <w:sz w:val="20"/>
                                    </w:rPr>
                                    <w:t>7.05</w:t>
                                  </w:r>
                                </w:p>
                              </w:tc>
                            </w:tr>
                            <w:tr w:rsidR="00A0212B" w14:paraId="11D04103" w14:textId="77777777" w:rsidTr="00583581">
                              <w:trPr>
                                <w:trHeight w:val="283"/>
                                <w:jc w:val="center"/>
                              </w:trPr>
                              <w:tc>
                                <w:tcPr>
                                  <w:tcW w:w="1658" w:type="dxa"/>
                                  <w:vAlign w:val="center"/>
                                </w:tcPr>
                                <w:p w14:paraId="11F96327" w14:textId="77777777" w:rsidR="00A0212B" w:rsidRPr="00652443" w:rsidRDefault="00A0212B" w:rsidP="000131EC">
                                  <w:pPr>
                                    <w:spacing w:line="240" w:lineRule="exact"/>
                                    <w:jc w:val="center"/>
                                    <w:rPr>
                                      <w:rFonts w:ascii="標楷體" w:eastAsia="標楷體" w:hAnsi="標楷體"/>
                                      <w:sz w:val="20"/>
                                    </w:rPr>
                                  </w:pPr>
                                  <w:r w:rsidRPr="00652443">
                                    <w:rPr>
                                      <w:rFonts w:ascii="標楷體" w:eastAsia="標楷體" w:hAnsi="標楷體" w:hint="eastAsia"/>
                                      <w:sz w:val="20"/>
                                    </w:rPr>
                                    <w:t>內政部</w:t>
                                  </w:r>
                                </w:p>
                              </w:tc>
                              <w:tc>
                                <w:tcPr>
                                  <w:tcW w:w="1134" w:type="dxa"/>
                                  <w:vAlign w:val="center"/>
                                </w:tcPr>
                                <w:p w14:paraId="275D7CCD"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,422,062</w:t>
                                  </w:r>
                                </w:p>
                              </w:tc>
                              <w:tc>
                                <w:tcPr>
                                  <w:tcW w:w="1134" w:type="dxa"/>
                                  <w:vAlign w:val="center"/>
                                </w:tcPr>
                                <w:p w14:paraId="48898FB3"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9</w:t>
                                  </w:r>
                                  <w:r w:rsidRPr="00652443">
                                    <w:rPr>
                                      <w:rFonts w:ascii="標楷體" w:eastAsia="標楷體" w:hAnsi="標楷體"/>
                                      <w:sz w:val="20"/>
                                    </w:rPr>
                                    <w:t>63,753</w:t>
                                  </w:r>
                                </w:p>
                              </w:tc>
                              <w:tc>
                                <w:tcPr>
                                  <w:tcW w:w="1134" w:type="dxa"/>
                                  <w:vAlign w:val="center"/>
                                </w:tcPr>
                                <w:p w14:paraId="605AADF4"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7.77</w:t>
                                  </w:r>
                                </w:p>
                              </w:tc>
                            </w:tr>
                            <w:tr w:rsidR="00A0212B" w14:paraId="102421F7" w14:textId="77777777" w:rsidTr="00583581">
                              <w:trPr>
                                <w:trHeight w:val="283"/>
                                <w:jc w:val="center"/>
                              </w:trPr>
                              <w:tc>
                                <w:tcPr>
                                  <w:tcW w:w="1658" w:type="dxa"/>
                                  <w:vAlign w:val="center"/>
                                </w:tcPr>
                                <w:p w14:paraId="7D5ABB9F" w14:textId="77777777" w:rsidR="00A0212B" w:rsidRPr="00652443" w:rsidRDefault="00A0212B" w:rsidP="000131EC">
                                  <w:pPr>
                                    <w:spacing w:line="240" w:lineRule="exact"/>
                                    <w:jc w:val="center"/>
                                    <w:rPr>
                                      <w:rFonts w:ascii="標楷體" w:eastAsia="標楷體" w:hAnsi="標楷體"/>
                                      <w:sz w:val="20"/>
                                    </w:rPr>
                                  </w:pPr>
                                  <w:r w:rsidRPr="00652443">
                                    <w:rPr>
                                      <w:rFonts w:ascii="標楷體" w:eastAsia="標楷體" w:hAnsi="標楷體" w:hint="eastAsia"/>
                                      <w:sz w:val="20"/>
                                    </w:rPr>
                                    <w:t>文化部</w:t>
                                  </w:r>
                                </w:p>
                              </w:tc>
                              <w:tc>
                                <w:tcPr>
                                  <w:tcW w:w="1134" w:type="dxa"/>
                                  <w:vAlign w:val="center"/>
                                </w:tcPr>
                                <w:p w14:paraId="1CDCB10F"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,470,606</w:t>
                                  </w:r>
                                </w:p>
                              </w:tc>
                              <w:tc>
                                <w:tcPr>
                                  <w:tcW w:w="1134" w:type="dxa"/>
                                  <w:vAlign w:val="center"/>
                                </w:tcPr>
                                <w:p w14:paraId="59814E4F"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68,235</w:t>
                                  </w:r>
                                </w:p>
                              </w:tc>
                              <w:tc>
                                <w:tcPr>
                                  <w:tcW w:w="1134" w:type="dxa"/>
                                  <w:vAlign w:val="center"/>
                                </w:tcPr>
                                <w:p w14:paraId="50A61FF0"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5</w:t>
                                  </w:r>
                                  <w:r w:rsidRPr="00652443">
                                    <w:rPr>
                                      <w:rFonts w:ascii="標楷體" w:eastAsia="標楷體" w:hAnsi="標楷體"/>
                                      <w:sz w:val="20"/>
                                    </w:rPr>
                                    <w:t>2.24</w:t>
                                  </w:r>
                                </w:p>
                              </w:tc>
                            </w:tr>
                            <w:tr w:rsidR="00A0212B" w14:paraId="4B864015" w14:textId="77777777" w:rsidTr="00583581">
                              <w:trPr>
                                <w:trHeight w:val="283"/>
                                <w:jc w:val="center"/>
                              </w:trPr>
                              <w:tc>
                                <w:tcPr>
                                  <w:tcW w:w="1658" w:type="dxa"/>
                                  <w:vAlign w:val="center"/>
                                </w:tcPr>
                                <w:p w14:paraId="5537CA29" w14:textId="77777777" w:rsidR="00A0212B" w:rsidRPr="00652443" w:rsidRDefault="00A0212B" w:rsidP="000131EC">
                                  <w:pPr>
                                    <w:spacing w:line="240" w:lineRule="exact"/>
                                    <w:jc w:val="center"/>
                                    <w:rPr>
                                      <w:rFonts w:ascii="標楷體" w:eastAsia="標楷體" w:hAnsi="標楷體"/>
                                      <w:sz w:val="20"/>
                                    </w:rPr>
                                  </w:pPr>
                                  <w:r w:rsidRPr="00652443">
                                    <w:rPr>
                                      <w:rFonts w:ascii="標楷體" w:eastAsia="標楷體" w:hAnsi="標楷體" w:hint="eastAsia"/>
                                      <w:sz w:val="20"/>
                                    </w:rPr>
                                    <w:t>海洋委員會</w:t>
                                  </w:r>
                                </w:p>
                              </w:tc>
                              <w:tc>
                                <w:tcPr>
                                  <w:tcW w:w="1134" w:type="dxa"/>
                                  <w:vAlign w:val="center"/>
                                </w:tcPr>
                                <w:p w14:paraId="58536108"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80,637</w:t>
                                  </w:r>
                                </w:p>
                              </w:tc>
                              <w:tc>
                                <w:tcPr>
                                  <w:tcW w:w="1134" w:type="dxa"/>
                                  <w:vAlign w:val="center"/>
                                </w:tcPr>
                                <w:p w14:paraId="11BE5D74"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15,818</w:t>
                                  </w:r>
                                </w:p>
                              </w:tc>
                              <w:tc>
                                <w:tcPr>
                                  <w:tcW w:w="1134" w:type="dxa"/>
                                  <w:vAlign w:val="center"/>
                                </w:tcPr>
                                <w:p w14:paraId="4F13F40C"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4.12</w:t>
                                  </w:r>
                                </w:p>
                              </w:tc>
                            </w:tr>
                          </w:tbl>
                          <w:p w14:paraId="785549A8" w14:textId="77777777" w:rsidR="00A0212B" w:rsidRPr="00652443" w:rsidRDefault="00A0212B" w:rsidP="000131EC">
                            <w:pPr>
                              <w:spacing w:line="240" w:lineRule="exact"/>
                              <w:ind w:leftChars="-40" w:left="-96"/>
                              <w:rPr>
                                <w:rFonts w:ascii="標楷體" w:eastAsia="標楷體" w:hAnsi="標楷體"/>
                                <w:sz w:val="18"/>
                              </w:rPr>
                            </w:pPr>
                            <w:r w:rsidRPr="00652443">
                              <w:rPr>
                                <w:rFonts w:ascii="標楷體" w:eastAsia="標楷體" w:hAnsi="標楷體" w:hint="eastAsia"/>
                                <w:sz w:val="18"/>
                              </w:rPr>
                              <w:t>資料來源：整理自各機關（單位</w:t>
                            </w:r>
                            <w:r>
                              <w:rPr>
                                <w:rFonts w:ascii="標楷體" w:eastAsia="標楷體" w:hAnsi="標楷體" w:hint="eastAsia"/>
                                <w:sz w:val="18"/>
                              </w:rPr>
                              <w:t>）</w:t>
                            </w:r>
                            <w:r w:rsidRPr="00652443">
                              <w:rPr>
                                <w:rFonts w:ascii="標楷體" w:eastAsia="標楷體" w:hAnsi="標楷體" w:hint="eastAsia"/>
                                <w:sz w:val="18"/>
                              </w:rPr>
                              <w:t>查填資料。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F3B60" id="文字方塊 89" o:spid="_x0000_s1090" type="#_x0000_t202" style="position:absolute;left:0;text-align:left;margin-left:235.75pt;margin-top:219.75pt;width:260.1pt;height:174.6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" fillcolor="white [3201]" stroked="f" strokeweight=".5pt">
                <v:textbox>
                  <w:txbxContent>
                    <w:p w14:paraId="01690261" w14:textId="3B5AC8D3" w:rsidR="00A0212B" w:rsidRPr="00652443" w:rsidRDefault="00A0212B" w:rsidP="00FB4AC7">
                      <w:pPr>
                        <w:spacing w:line="300" w:lineRule="exact"/>
                        <w:ind w:leftChars="-35" w:left="709" w:rightChars="-22" w:right="-53" w:hangingChars="330" w:hanging="793"/>
                        <w:rPr>
                          <w:rFonts w:ascii="標楷體" w:eastAsia="標楷體" w:hAnsi="標楷體"/>
                          <w:b/>
                          <w:sz w:val="22"/>
                        </w:rPr>
                      </w:pPr>
                      <w:r w:rsidRPr="00652443">
                        <w:rPr>
                          <w:rFonts w:ascii="標楷體" w:eastAsia="標楷體" w:hAnsi="標楷體" w:hint="eastAsia"/>
                          <w:b/>
                        </w:rPr>
                        <w:t>表</w:t>
                      </w:r>
                      <w:r>
                        <w:rPr>
                          <w:rFonts w:ascii="標楷體" w:eastAsia="標楷體" w:hAnsi="標楷體"/>
                          <w:b/>
                        </w:rPr>
                        <w:t>26</w:t>
                      </w:r>
                      <w:r w:rsidRPr="00652443">
                        <w:rPr>
                          <w:rFonts w:ascii="標楷體" w:eastAsia="標楷體" w:hAnsi="標楷體" w:hint="eastAsia"/>
                          <w:b/>
                        </w:rPr>
                        <w:t xml:space="preserve">　部分機關（單位</w:t>
                      </w:r>
                      <w:r w:rsidRPr="00652443">
                        <w:rPr>
                          <w:rFonts w:ascii="標楷體" w:eastAsia="標楷體" w:hAnsi="標楷體"/>
                          <w:b/>
                        </w:rPr>
                        <w:t>）</w:t>
                      </w:r>
                      <w:r w:rsidRPr="00652443">
                        <w:rPr>
                          <w:rFonts w:ascii="標楷體" w:eastAsia="標楷體" w:hAnsi="標楷體" w:hint="eastAsia"/>
                          <w:b/>
                        </w:rPr>
                        <w:t>科技發展計畫</w:t>
                      </w:r>
                      <w:r>
                        <w:rPr>
                          <w:rFonts w:ascii="標楷體" w:eastAsia="標楷體" w:hAnsi="標楷體" w:hint="eastAsia"/>
                          <w:b/>
                        </w:rPr>
                        <w:t>1</w:t>
                      </w:r>
                      <w:r>
                        <w:rPr>
                          <w:rFonts w:ascii="標楷體" w:eastAsia="標楷體" w:hAnsi="標楷體"/>
                          <w:b/>
                        </w:rPr>
                        <w:t>12</w:t>
                      </w:r>
                      <w:r>
                        <w:rPr>
                          <w:rFonts w:ascii="標楷體" w:eastAsia="標楷體" w:hAnsi="標楷體" w:hint="eastAsia"/>
                          <w:b/>
                        </w:rPr>
                        <w:t>年度</w:t>
                      </w:r>
                      <w:r w:rsidRPr="00652443">
                        <w:rPr>
                          <w:rFonts w:ascii="標楷體" w:eastAsia="標楷體" w:hAnsi="標楷體" w:hint="eastAsia"/>
                          <w:b/>
                        </w:rPr>
                        <w:t>預算</w:t>
                      </w:r>
                      <w:r>
                        <w:rPr>
                          <w:rFonts w:ascii="標楷體" w:eastAsia="標楷體" w:hAnsi="標楷體" w:hint="eastAsia"/>
                          <w:b/>
                        </w:rPr>
                        <w:t>已實現比率</w:t>
                      </w:r>
                      <w:r w:rsidRPr="00652443">
                        <w:rPr>
                          <w:rFonts w:ascii="標楷體" w:eastAsia="標楷體" w:hAnsi="標楷體" w:hint="eastAsia"/>
                          <w:b/>
                        </w:rPr>
                        <w:t>未達8成情形</w:t>
                      </w:r>
                    </w:p>
                    <w:p w14:paraId="348CE5B5" w14:textId="77777777" w:rsidR="00A0212B" w:rsidRDefault="00A0212B" w:rsidP="000131EC">
                      <w:pPr>
                        <w:spacing w:line="300" w:lineRule="exact"/>
                        <w:jc w:val="right"/>
                        <w:rPr>
                          <w:rFonts w:ascii="標楷體" w:eastAsia="標楷體" w:hAnsi="標楷體"/>
                          <w:sz w:val="20"/>
                        </w:rPr>
                      </w:pPr>
                      <w:r w:rsidRPr="002255AB">
                        <w:rPr>
                          <w:rFonts w:ascii="標楷體" w:eastAsia="標楷體" w:hAnsi="標楷體" w:hint="eastAsia"/>
                          <w:sz w:val="20"/>
                        </w:rPr>
                        <w:t>新臺幣千元、％</w:t>
                      </w:r>
                    </w:p>
                    <w:tbl>
                      <w:tblPr>
                        <w:tblStyle w:val="afff"/>
                        <w:tblW w:w="5060" w:type="dxa"/>
                        <w:jc w:val="center"/>
                        <w:tblLook w:val="04A0" w:firstRow="1" w:lastRow="0" w:firstColumn="1" w:lastColumn="0" w:noHBand="0" w:noVBand="1"/>
                      </w:tblPr>
                      <w:tblGrid>
                        <w:gridCol w:w="1658"/>
                        <w:gridCol w:w="1134"/>
                        <w:gridCol w:w="1134"/>
                        <w:gridCol w:w="1134"/>
                      </w:tblGrid>
                      <w:tr w:rsidR="00A0212B" w14:paraId="380183D3" w14:textId="77777777" w:rsidTr="00583581">
                        <w:trPr>
                          <w:jc w:val="center"/>
                        </w:trPr>
                        <w:tc>
                          <w:tcPr>
                            <w:tcW w:w="1658" w:type="dxa"/>
                            <w:vAlign w:val="center"/>
                          </w:tcPr>
                          <w:p w14:paraId="1C551983" w14:textId="77777777" w:rsidR="00A0212B" w:rsidRPr="00652443" w:rsidRDefault="00A0212B" w:rsidP="000131EC">
                            <w:pPr>
                              <w:ind w:leftChars="-96" w:left="-38" w:rightChars="-130" w:right="-312" w:hangingChars="96" w:hanging="192"/>
                              <w:jc w:val="center"/>
                              <w:rPr>
                                <w:rFonts w:ascii="標楷體" w:eastAsia="標楷體" w:hAnsi="標楷體"/>
                                <w:sz w:val="20"/>
                              </w:rPr>
                            </w:pPr>
                            <w:r w:rsidRPr="00652443">
                              <w:rPr>
                                <w:rFonts w:ascii="標楷體" w:eastAsia="標楷體" w:hAnsi="標楷體" w:hint="eastAsia"/>
                                <w:sz w:val="20"/>
                              </w:rPr>
                              <w:t>主管機關（單位</w:t>
                            </w:r>
                            <w:r>
                              <w:rPr>
                                <w:rFonts w:ascii="標楷體" w:eastAsia="標楷體" w:hAnsi="標楷體"/>
                                <w:sz w:val="20"/>
                              </w:rPr>
                              <w:t>）</w:t>
                            </w:r>
                          </w:p>
                        </w:tc>
                        <w:tc>
                          <w:tcPr>
                            <w:tcW w:w="1134" w:type="dxa"/>
                            <w:vAlign w:val="center"/>
                          </w:tcPr>
                          <w:p w14:paraId="07C083E2" w14:textId="77777777" w:rsidR="00A0212B" w:rsidRPr="00652443" w:rsidRDefault="00A0212B" w:rsidP="000131EC">
                            <w:pPr>
                              <w:jc w:val="center"/>
                              <w:rPr>
                                <w:rFonts w:ascii="標楷體" w:eastAsia="標楷體" w:hAnsi="標楷體"/>
                                <w:sz w:val="20"/>
                              </w:rPr>
                            </w:pPr>
                            <w:r w:rsidRPr="00652443">
                              <w:rPr>
                                <w:rFonts w:ascii="標楷體" w:eastAsia="標楷體" w:hAnsi="標楷體" w:hint="eastAsia"/>
                                <w:sz w:val="20"/>
                              </w:rPr>
                              <w:t>預算數</w:t>
                            </w:r>
                          </w:p>
                        </w:tc>
                        <w:tc>
                          <w:tcPr>
                            <w:tcW w:w="1134" w:type="dxa"/>
                            <w:vAlign w:val="center"/>
                          </w:tcPr>
                          <w:p w14:paraId="7F90234B" w14:textId="77777777" w:rsidR="00A0212B" w:rsidRPr="00652443" w:rsidRDefault="00A0212B" w:rsidP="000131EC">
                            <w:pPr>
                              <w:jc w:val="center"/>
                              <w:rPr>
                                <w:rFonts w:ascii="標楷體" w:eastAsia="標楷體" w:hAnsi="標楷體"/>
                                <w:sz w:val="20"/>
                              </w:rPr>
                            </w:pPr>
                            <w:r w:rsidRPr="00652443">
                              <w:rPr>
                                <w:rFonts w:ascii="標楷體" w:eastAsia="標楷體" w:hAnsi="標楷體" w:hint="eastAsia"/>
                                <w:sz w:val="20"/>
                              </w:rPr>
                              <w:t>實現數</w:t>
                            </w:r>
                          </w:p>
                        </w:tc>
                        <w:tc>
                          <w:tcPr>
                            <w:tcW w:w="1134" w:type="dxa"/>
                            <w:vAlign w:val="center"/>
                          </w:tcPr>
                          <w:p w14:paraId="57A6E08E" w14:textId="77777777" w:rsidR="00A0212B" w:rsidRPr="00652443" w:rsidRDefault="00A0212B" w:rsidP="000131EC">
                            <w:pPr>
                              <w:ind w:leftChars="-62" w:left="-25" w:rightChars="-67" w:right="-161" w:hangingChars="62" w:hanging="124"/>
                              <w:jc w:val="center"/>
                              <w:rPr>
                                <w:rFonts w:ascii="標楷體" w:eastAsia="標楷體" w:hAnsi="標楷體"/>
                                <w:sz w:val="20"/>
                              </w:rPr>
                            </w:pPr>
                            <w:r w:rsidRPr="00652443">
                              <w:rPr>
                                <w:rFonts w:ascii="標楷體" w:eastAsia="標楷體" w:hAnsi="標楷體" w:hint="eastAsia"/>
                                <w:sz w:val="20"/>
                              </w:rPr>
                              <w:t>已實現比率</w:t>
                            </w:r>
                          </w:p>
                        </w:tc>
                      </w:tr>
                      <w:tr w:rsidR="00A0212B" w14:paraId="03AB2FED" w14:textId="77777777" w:rsidTr="00583581">
                        <w:trPr>
                          <w:trHeight w:val="567"/>
                          <w:jc w:val="center"/>
                        </w:trPr>
                        <w:tc>
                          <w:tcPr>
                            <w:tcW w:w="1658" w:type="dxa"/>
                            <w:vAlign w:val="center"/>
                          </w:tcPr>
                          <w:p w14:paraId="2D2B0022" w14:textId="77777777" w:rsidR="00A0212B" w:rsidRPr="00652443" w:rsidRDefault="00A0212B" w:rsidP="000131EC">
                            <w:pPr>
                              <w:spacing w:line="240" w:lineRule="exact"/>
                              <w:jc w:val="distribute"/>
                              <w:rPr>
                                <w:rFonts w:ascii="標楷體" w:eastAsia="標楷體" w:hAnsi="標楷體"/>
                                <w:sz w:val="20"/>
                              </w:rPr>
                            </w:pPr>
                            <w:r w:rsidRPr="00652443">
                              <w:rPr>
                                <w:rFonts w:ascii="標楷體" w:eastAsia="標楷體" w:hAnsi="標楷體" w:hint="eastAsia"/>
                                <w:sz w:val="20"/>
                              </w:rPr>
                              <w:t>行政院國家科學技術發展基金</w:t>
                            </w:r>
                          </w:p>
                        </w:tc>
                        <w:tc>
                          <w:tcPr>
                            <w:tcW w:w="1134" w:type="dxa"/>
                            <w:vAlign w:val="center"/>
                          </w:tcPr>
                          <w:p w14:paraId="65B0E0F5"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,313,560</w:t>
                            </w:r>
                          </w:p>
                        </w:tc>
                        <w:tc>
                          <w:tcPr>
                            <w:tcW w:w="1134" w:type="dxa"/>
                            <w:vAlign w:val="center"/>
                          </w:tcPr>
                          <w:p w14:paraId="4DB2F138"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77,615</w:t>
                            </w:r>
                          </w:p>
                        </w:tc>
                        <w:tc>
                          <w:tcPr>
                            <w:tcW w:w="1134" w:type="dxa"/>
                            <w:vAlign w:val="center"/>
                          </w:tcPr>
                          <w:p w14:paraId="64DCBF7E"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5</w:t>
                            </w:r>
                            <w:r w:rsidRPr="00652443">
                              <w:rPr>
                                <w:rFonts w:ascii="標楷體" w:eastAsia="標楷體" w:hAnsi="標楷體"/>
                                <w:sz w:val="20"/>
                              </w:rPr>
                              <w:t>1.59</w:t>
                            </w:r>
                          </w:p>
                        </w:tc>
                      </w:tr>
                      <w:tr w:rsidR="00A0212B" w14:paraId="6D41D79C" w14:textId="77777777" w:rsidTr="00583581">
                        <w:trPr>
                          <w:trHeight w:val="283"/>
                          <w:jc w:val="center"/>
                        </w:trPr>
                        <w:tc>
                          <w:tcPr>
                            <w:tcW w:w="1658" w:type="dxa"/>
                            <w:vAlign w:val="center"/>
                          </w:tcPr>
                          <w:p w14:paraId="595A40D5" w14:textId="77777777" w:rsidR="00A0212B" w:rsidRPr="00652443" w:rsidRDefault="00A0212B" w:rsidP="000131EC">
                            <w:pPr>
                              <w:spacing w:line="240" w:lineRule="exact"/>
                              <w:jc w:val="center"/>
                              <w:rPr>
                                <w:rFonts w:ascii="標楷體" w:eastAsia="標楷體" w:hAnsi="標楷體"/>
                                <w:sz w:val="20"/>
                              </w:rPr>
                            </w:pPr>
                            <w:r w:rsidRPr="00652443">
                              <w:rPr>
                                <w:rFonts w:ascii="標楷體" w:eastAsia="標楷體" w:hAnsi="標楷體" w:hint="eastAsia"/>
                                <w:sz w:val="20"/>
                              </w:rPr>
                              <w:t>國家發展委員會</w:t>
                            </w:r>
                          </w:p>
                        </w:tc>
                        <w:tc>
                          <w:tcPr>
                            <w:tcW w:w="1134" w:type="dxa"/>
                            <w:vAlign w:val="center"/>
                          </w:tcPr>
                          <w:p w14:paraId="76760BE2"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85,942</w:t>
                            </w:r>
                          </w:p>
                        </w:tc>
                        <w:tc>
                          <w:tcPr>
                            <w:tcW w:w="1134" w:type="dxa"/>
                            <w:vAlign w:val="center"/>
                          </w:tcPr>
                          <w:p w14:paraId="29B2DB82"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3</w:t>
                            </w:r>
                            <w:r w:rsidRPr="00652443">
                              <w:rPr>
                                <w:rFonts w:ascii="標楷體" w:eastAsia="標楷體" w:hAnsi="標楷體"/>
                                <w:sz w:val="20"/>
                              </w:rPr>
                              <w:t>69,771</w:t>
                            </w:r>
                          </w:p>
                        </w:tc>
                        <w:tc>
                          <w:tcPr>
                            <w:tcW w:w="1134" w:type="dxa"/>
                            <w:vAlign w:val="center"/>
                          </w:tcPr>
                          <w:p w14:paraId="4D9BCE30"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4</w:t>
                            </w:r>
                            <w:r w:rsidRPr="00652443">
                              <w:rPr>
                                <w:rFonts w:ascii="標楷體" w:eastAsia="標楷體" w:hAnsi="標楷體"/>
                                <w:sz w:val="20"/>
                              </w:rPr>
                              <w:t>7.05</w:t>
                            </w:r>
                          </w:p>
                        </w:tc>
                      </w:tr>
                      <w:tr w:rsidR="00A0212B" w14:paraId="11D04103" w14:textId="77777777" w:rsidTr="00583581">
                        <w:trPr>
                          <w:trHeight w:val="283"/>
                          <w:jc w:val="center"/>
                        </w:trPr>
                        <w:tc>
                          <w:tcPr>
                            <w:tcW w:w="1658" w:type="dxa"/>
                            <w:vAlign w:val="center"/>
                          </w:tcPr>
                          <w:p w14:paraId="11F96327" w14:textId="77777777" w:rsidR="00A0212B" w:rsidRPr="00652443" w:rsidRDefault="00A0212B" w:rsidP="000131EC">
                            <w:pPr>
                              <w:spacing w:line="240" w:lineRule="exact"/>
                              <w:jc w:val="center"/>
                              <w:rPr>
                                <w:rFonts w:ascii="標楷體" w:eastAsia="標楷體" w:hAnsi="標楷體"/>
                                <w:sz w:val="20"/>
                              </w:rPr>
                            </w:pPr>
                            <w:r w:rsidRPr="00652443">
                              <w:rPr>
                                <w:rFonts w:ascii="標楷體" w:eastAsia="標楷體" w:hAnsi="標楷體" w:hint="eastAsia"/>
                                <w:sz w:val="20"/>
                              </w:rPr>
                              <w:t>內政部</w:t>
                            </w:r>
                          </w:p>
                        </w:tc>
                        <w:tc>
                          <w:tcPr>
                            <w:tcW w:w="1134" w:type="dxa"/>
                            <w:vAlign w:val="center"/>
                          </w:tcPr>
                          <w:p w14:paraId="275D7CCD"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,422,062</w:t>
                            </w:r>
                          </w:p>
                        </w:tc>
                        <w:tc>
                          <w:tcPr>
                            <w:tcW w:w="1134" w:type="dxa"/>
                            <w:vAlign w:val="center"/>
                          </w:tcPr>
                          <w:p w14:paraId="48898FB3"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9</w:t>
                            </w:r>
                            <w:r w:rsidRPr="00652443">
                              <w:rPr>
                                <w:rFonts w:ascii="標楷體" w:eastAsia="標楷體" w:hAnsi="標楷體"/>
                                <w:sz w:val="20"/>
                              </w:rPr>
                              <w:t>63,753</w:t>
                            </w:r>
                          </w:p>
                        </w:tc>
                        <w:tc>
                          <w:tcPr>
                            <w:tcW w:w="1134" w:type="dxa"/>
                            <w:vAlign w:val="center"/>
                          </w:tcPr>
                          <w:p w14:paraId="605AADF4"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7.77</w:t>
                            </w:r>
                          </w:p>
                        </w:tc>
                      </w:tr>
                      <w:tr w:rsidR="00A0212B" w14:paraId="102421F7" w14:textId="77777777" w:rsidTr="00583581">
                        <w:trPr>
                          <w:trHeight w:val="283"/>
                          <w:jc w:val="center"/>
                        </w:trPr>
                        <w:tc>
                          <w:tcPr>
                            <w:tcW w:w="1658" w:type="dxa"/>
                            <w:vAlign w:val="center"/>
                          </w:tcPr>
                          <w:p w14:paraId="7D5ABB9F" w14:textId="77777777" w:rsidR="00A0212B" w:rsidRPr="00652443" w:rsidRDefault="00A0212B" w:rsidP="000131EC">
                            <w:pPr>
                              <w:spacing w:line="240" w:lineRule="exact"/>
                              <w:jc w:val="center"/>
                              <w:rPr>
                                <w:rFonts w:ascii="標楷體" w:eastAsia="標楷體" w:hAnsi="標楷體"/>
                                <w:sz w:val="20"/>
                              </w:rPr>
                            </w:pPr>
                            <w:r w:rsidRPr="00652443">
                              <w:rPr>
                                <w:rFonts w:ascii="標楷體" w:eastAsia="標楷體" w:hAnsi="標楷體" w:hint="eastAsia"/>
                                <w:sz w:val="20"/>
                              </w:rPr>
                              <w:t>文化部</w:t>
                            </w:r>
                          </w:p>
                        </w:tc>
                        <w:tc>
                          <w:tcPr>
                            <w:tcW w:w="1134" w:type="dxa"/>
                            <w:vAlign w:val="center"/>
                          </w:tcPr>
                          <w:p w14:paraId="1CDCB10F"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,470,606</w:t>
                            </w:r>
                          </w:p>
                        </w:tc>
                        <w:tc>
                          <w:tcPr>
                            <w:tcW w:w="1134" w:type="dxa"/>
                            <w:vAlign w:val="center"/>
                          </w:tcPr>
                          <w:p w14:paraId="59814E4F"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68,235</w:t>
                            </w:r>
                          </w:p>
                        </w:tc>
                        <w:tc>
                          <w:tcPr>
                            <w:tcW w:w="1134" w:type="dxa"/>
                            <w:vAlign w:val="center"/>
                          </w:tcPr>
                          <w:p w14:paraId="50A61FF0"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5</w:t>
                            </w:r>
                            <w:r w:rsidRPr="00652443">
                              <w:rPr>
                                <w:rFonts w:ascii="標楷體" w:eastAsia="標楷體" w:hAnsi="標楷體"/>
                                <w:sz w:val="20"/>
                              </w:rPr>
                              <w:t>2.24</w:t>
                            </w:r>
                          </w:p>
                        </w:tc>
                      </w:tr>
                      <w:tr w:rsidR="00A0212B" w14:paraId="4B864015" w14:textId="77777777" w:rsidTr="00583581">
                        <w:trPr>
                          <w:trHeight w:val="283"/>
                          <w:jc w:val="center"/>
                        </w:trPr>
                        <w:tc>
                          <w:tcPr>
                            <w:tcW w:w="1658" w:type="dxa"/>
                            <w:vAlign w:val="center"/>
                          </w:tcPr>
                          <w:p w14:paraId="5537CA29" w14:textId="77777777" w:rsidR="00A0212B" w:rsidRPr="00652443" w:rsidRDefault="00A0212B" w:rsidP="000131EC">
                            <w:pPr>
                              <w:spacing w:line="240" w:lineRule="exact"/>
                              <w:jc w:val="center"/>
                              <w:rPr>
                                <w:rFonts w:ascii="標楷體" w:eastAsia="標楷體" w:hAnsi="標楷體"/>
                                <w:sz w:val="20"/>
                              </w:rPr>
                            </w:pPr>
                            <w:r w:rsidRPr="00652443">
                              <w:rPr>
                                <w:rFonts w:ascii="標楷體" w:eastAsia="標楷體" w:hAnsi="標楷體" w:hint="eastAsia"/>
                                <w:sz w:val="20"/>
                              </w:rPr>
                              <w:t>海洋委員會</w:t>
                            </w:r>
                          </w:p>
                        </w:tc>
                        <w:tc>
                          <w:tcPr>
                            <w:tcW w:w="1134" w:type="dxa"/>
                            <w:vAlign w:val="center"/>
                          </w:tcPr>
                          <w:p w14:paraId="58536108"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80,637</w:t>
                            </w:r>
                          </w:p>
                        </w:tc>
                        <w:tc>
                          <w:tcPr>
                            <w:tcW w:w="1134" w:type="dxa"/>
                            <w:vAlign w:val="center"/>
                          </w:tcPr>
                          <w:p w14:paraId="11BE5D74"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15,818</w:t>
                            </w:r>
                          </w:p>
                        </w:tc>
                        <w:tc>
                          <w:tcPr>
                            <w:tcW w:w="1134" w:type="dxa"/>
                            <w:vAlign w:val="center"/>
                          </w:tcPr>
                          <w:p w14:paraId="4F13F40C" w14:textId="77777777" w:rsidR="00A0212B" w:rsidRPr="00652443" w:rsidRDefault="00A0212B" w:rsidP="000131EC">
                            <w:pPr>
                              <w:spacing w:line="24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4.12</w:t>
                            </w:r>
                          </w:p>
                        </w:tc>
                      </w:tr>
                    </w:tbl>
                    <w:p w14:paraId="785549A8" w14:textId="77777777" w:rsidR="00A0212B" w:rsidRPr="00652443" w:rsidRDefault="00A0212B" w:rsidP="000131EC">
                      <w:pPr>
                        <w:spacing w:line="240" w:lineRule="exact"/>
                        <w:ind w:leftChars="-40" w:left="-96"/>
                        <w:rPr>
                          <w:rFonts w:ascii="標楷體" w:eastAsia="標楷體" w:hAnsi="標楷體"/>
                          <w:sz w:val="18"/>
                        </w:rPr>
                      </w:pPr>
                      <w:r w:rsidRPr="00652443">
                        <w:rPr>
                          <w:rFonts w:ascii="標楷體" w:eastAsia="標楷體" w:hAnsi="標楷體" w:hint="eastAsia"/>
                          <w:sz w:val="18"/>
                        </w:rPr>
                        <w:t>資料來源：整理自各機關（單位</w:t>
                      </w:r>
                      <w:r>
                        <w:rPr>
                          <w:rFonts w:ascii="標楷體" w:eastAsia="標楷體" w:hAnsi="標楷體" w:hint="eastAsia"/>
                          <w:sz w:val="18"/>
                        </w:rPr>
                        <w:t>）</w:t>
                      </w:r>
                      <w:r w:rsidRPr="00652443">
                        <w:rPr>
                          <w:rFonts w:ascii="標楷體" w:eastAsia="標楷體" w:hAnsi="標楷體" w:hint="eastAsia"/>
                          <w:sz w:val="18"/>
                        </w:rPr>
                        <w:t>查填資料。</w:t>
                      </w:r>
                    </w:p>
                  </w:txbxContent>
                </v:textbox>
                <w10:wrap type="square"/>
              </v:shape>
            </w:pict>
          </mc:Fallback>
        </mc:AlternateContent>
      </w:r>
      <w:r w:rsidR="00040225" w:rsidRPr="00AD6D2F">
        <w:rPr>
          <w:rFonts w:ascii="標楷體" w:eastAsia="標楷體" w:hAnsi="標楷體"/>
          <w:b/>
          <w:kern w:val="0"/>
          <w:szCs w:val="32"/>
        </w:rPr>
        <w:t>1</w:t>
      </w:r>
      <w:r w:rsidR="00040225" w:rsidRPr="00AD6D2F">
        <w:rPr>
          <w:rFonts w:ascii="標楷體" w:eastAsia="標楷體" w:hAnsi="標楷體" w:hint="eastAsia"/>
          <w:b/>
          <w:kern w:val="0"/>
          <w:szCs w:val="32"/>
        </w:rPr>
        <w:t>.</w:t>
      </w:r>
      <w:r w:rsidR="00040225" w:rsidRPr="00040225">
        <w:rPr>
          <w:rFonts w:ascii="標楷體" w:eastAsia="標楷體" w:hAnsi="標楷體" w:hint="eastAsia"/>
          <w:b/>
          <w:color w:val="000000"/>
        </w:rPr>
        <w:t xml:space="preserve">　</w:t>
      </w:r>
      <w:r w:rsidR="00040225" w:rsidRPr="00AD6D2F">
        <w:rPr>
          <w:rFonts w:ascii="標楷體" w:eastAsia="標楷體" w:hAnsi="標楷體"/>
          <w:b/>
          <w:color w:val="000000" w:themeColor="text1"/>
        </w:rPr>
        <w:t>部分計畫執行進度</w:t>
      </w:r>
      <w:r w:rsidR="00040225" w:rsidRPr="009A6079">
        <w:rPr>
          <w:rFonts w:ascii="標楷體" w:eastAsia="標楷體" w:hAnsi="標楷體" w:hint="eastAsia"/>
          <w:b/>
          <w:color w:val="000000" w:themeColor="text1"/>
        </w:rPr>
        <w:t>未如預期</w:t>
      </w:r>
      <w:r w:rsidR="00040225" w:rsidRPr="00AD6D2F">
        <w:rPr>
          <w:rFonts w:ascii="標楷體" w:eastAsia="標楷體" w:hAnsi="標楷體"/>
          <w:b/>
          <w:color w:val="000000" w:themeColor="text1"/>
        </w:rPr>
        <w:t>，或未達年度績效</w:t>
      </w:r>
      <w:r w:rsidR="00040225" w:rsidRPr="00AD6D2F">
        <w:rPr>
          <w:rFonts w:ascii="標楷體" w:eastAsia="標楷體" w:hAnsi="標楷體" w:hint="eastAsia"/>
          <w:b/>
          <w:color w:val="000000" w:themeColor="text1"/>
        </w:rPr>
        <w:t>目</w:t>
      </w:r>
      <w:r w:rsidR="00040225" w:rsidRPr="00AD6D2F">
        <w:rPr>
          <w:rFonts w:ascii="標楷體" w:eastAsia="標楷體" w:hAnsi="標楷體"/>
          <w:b/>
          <w:color w:val="000000" w:themeColor="text1"/>
        </w:rPr>
        <w:t>標，又</w:t>
      </w:r>
      <w:r w:rsidR="00040225" w:rsidRPr="00AD6D2F">
        <w:rPr>
          <w:rFonts w:ascii="標楷體" w:eastAsia="標楷體" w:hAnsi="標楷體" w:hint="eastAsia"/>
          <w:b/>
          <w:color w:val="000000" w:themeColor="text1"/>
        </w:rPr>
        <w:t>部分</w:t>
      </w:r>
      <w:r w:rsidR="00040225" w:rsidRPr="00AD6D2F">
        <w:rPr>
          <w:rFonts w:ascii="標楷體" w:eastAsia="標楷體" w:hAnsi="標楷體"/>
          <w:b/>
          <w:color w:val="000000" w:themeColor="text1"/>
        </w:rPr>
        <w:t>機關</w:t>
      </w:r>
      <w:r w:rsidR="00040225" w:rsidRPr="00AD6D2F">
        <w:rPr>
          <w:rFonts w:ascii="標楷體" w:eastAsia="標楷體" w:hAnsi="標楷體" w:hint="eastAsia"/>
          <w:b/>
          <w:color w:val="000000" w:themeColor="text1"/>
        </w:rPr>
        <w:t>（單位）計畫評核未盡確實</w:t>
      </w:r>
      <w:r w:rsidR="00040225" w:rsidRPr="00AD6D2F">
        <w:rPr>
          <w:rFonts w:ascii="標楷體" w:eastAsia="標楷體" w:hAnsi="標楷體" w:hint="eastAsia"/>
          <w:b/>
          <w:kern w:val="0"/>
          <w:szCs w:val="32"/>
        </w:rPr>
        <w:t>：</w:t>
      </w:r>
      <w:r w:rsidR="00040225" w:rsidRPr="00B41D95">
        <w:rPr>
          <w:rFonts w:ascii="標楷體" w:eastAsia="標楷體" w:hAnsi="標楷體" w:hint="eastAsia"/>
          <w:kern w:val="0"/>
          <w:szCs w:val="32"/>
        </w:rPr>
        <w:t>依據瑞士洛桑管理學院（International Institute for Management Development, IMD）2024年6月公布之「2024年IMD世界競爭力年報」（IMD World Competitiveness Yearbook），</w:t>
      </w:r>
      <w:r w:rsidR="00037584">
        <w:rPr>
          <w:rFonts w:ascii="標楷體" w:eastAsia="標楷體" w:hAnsi="標楷體" w:hint="eastAsia"/>
          <w:kern w:val="0"/>
          <w:szCs w:val="32"/>
        </w:rPr>
        <w:t>我國</w:t>
      </w:r>
      <w:r w:rsidR="00040225" w:rsidRPr="00B41D95">
        <w:rPr>
          <w:rFonts w:ascii="標楷體" w:eastAsia="標楷體" w:hAnsi="標楷體" w:hint="eastAsia"/>
          <w:kern w:val="0"/>
          <w:szCs w:val="32"/>
        </w:rPr>
        <w:t>在64個受評比國家中排名第8名，其中與科技發展相關之「每千人研發人力」、「研發總支出占GDP比率」及「企業研發支出占GDP比率」等細項指標均高居全球前3名；復據IMD 2023年11月公布之「世界數位競爭力調查評比」（World Digital Competitiveness Ranking, DCR）</w:t>
      </w:r>
      <w:r w:rsidR="00040225" w:rsidRPr="00AD6D2F">
        <w:rPr>
          <w:rFonts w:ascii="標楷體" w:eastAsia="標楷體" w:hAnsi="標楷體" w:hint="eastAsia"/>
          <w:kern w:val="0"/>
          <w:szCs w:val="32"/>
        </w:rPr>
        <w:t>，</w:t>
      </w:r>
      <w:r w:rsidR="00037584">
        <w:rPr>
          <w:rFonts w:ascii="標楷體" w:eastAsia="標楷體" w:hAnsi="標楷體" w:hint="eastAsia"/>
          <w:kern w:val="0"/>
          <w:szCs w:val="32"/>
        </w:rPr>
        <w:t>我國</w:t>
      </w:r>
      <w:r w:rsidR="00040225" w:rsidRPr="00AD6D2F">
        <w:rPr>
          <w:rFonts w:ascii="標楷體" w:eastAsia="標楷體" w:hAnsi="標楷體" w:hint="eastAsia"/>
          <w:kern w:val="0"/>
          <w:szCs w:val="32"/>
        </w:rPr>
        <w:t>數位競爭力排名由第11名上升至第9名，且於評估國家開發數位技術能力之「科技」排名第3名，顯示</w:t>
      </w:r>
      <w:r w:rsidR="00037584">
        <w:rPr>
          <w:rFonts w:ascii="標楷體" w:eastAsia="標楷體" w:hAnsi="標楷體" w:hint="eastAsia"/>
          <w:kern w:val="0"/>
          <w:szCs w:val="32"/>
        </w:rPr>
        <w:t>我國</w:t>
      </w:r>
      <w:r w:rsidR="00040225" w:rsidRPr="00AD6D2F">
        <w:rPr>
          <w:rFonts w:ascii="標楷體" w:eastAsia="標楷體" w:hAnsi="標楷體" w:hint="eastAsia"/>
          <w:kern w:val="0"/>
          <w:szCs w:val="32"/>
        </w:rPr>
        <w:t>具有充沛之研究能量及數位技術能力。經查112年度科技發展計畫及科技發展類前瞻基礎建設計畫，各編列預算1,114億餘元及211億餘元，執行結果，實現數分別為1,038億餘元及175億餘元，已實現比率各93.21％及83.23％，經以執行機關（單位）分析，已實現比率未達8成者，計有行政院國家科學技術發展基金（下稱科發基金）、國家發展委員會、內政部、文化部及海洋委員會等5個機關（單位）（</w:t>
      </w:r>
      <w:r w:rsidR="00040225" w:rsidRPr="006678C5">
        <w:rPr>
          <w:rFonts w:ascii="標楷體" w:eastAsia="標楷體" w:hAnsi="標楷體" w:hint="eastAsia"/>
          <w:kern w:val="0"/>
          <w:szCs w:val="32"/>
        </w:rPr>
        <w:t>表</w:t>
      </w:r>
      <w:r w:rsidR="00046925" w:rsidRPr="006678C5">
        <w:rPr>
          <w:rFonts w:ascii="標楷體" w:eastAsia="標楷體" w:hAnsi="標楷體" w:hint="eastAsia"/>
          <w:kern w:val="0"/>
          <w:szCs w:val="32"/>
        </w:rPr>
        <w:t>2</w:t>
      </w:r>
      <w:r w:rsidR="00C6766F" w:rsidRPr="006678C5">
        <w:rPr>
          <w:rFonts w:ascii="標楷體" w:eastAsia="標楷體" w:hAnsi="標楷體" w:hint="eastAsia"/>
          <w:kern w:val="0"/>
          <w:szCs w:val="32"/>
        </w:rPr>
        <w:t>6</w:t>
      </w:r>
      <w:r w:rsidR="00040225" w:rsidRPr="00AD6D2F">
        <w:rPr>
          <w:rFonts w:ascii="標楷體" w:eastAsia="標楷體" w:hAnsi="標楷體" w:hint="eastAsia"/>
          <w:kern w:val="0"/>
          <w:szCs w:val="32"/>
        </w:rPr>
        <w:t>）；以計畫別分析，則分別有31項及22項計畫，因部分採購案招標作業多次流標，或補助（委託）案件期</w:t>
      </w:r>
      <w:r w:rsidR="00040225" w:rsidRPr="00AD6D2F">
        <w:rPr>
          <w:rFonts w:ascii="標楷體" w:eastAsia="標楷體" w:hAnsi="標楷體" w:hint="eastAsia"/>
          <w:kern w:val="0"/>
          <w:szCs w:val="32"/>
        </w:rPr>
        <w:lastRenderedPageBreak/>
        <w:t>程跨年度，或尚在辦理期末審查作業，未完成驗收，或相關法規配套措施尚未完備、計畫方向尚待取得共識，及部分計畫項目經檢討未執行等，已實現比率未達8成，且其中「應變或戰時應用新興科技強化通訊網路數位韌性計畫」等15項計畫，已實現比率僅介於0.00％至29.97％，甚</w:t>
      </w:r>
      <w:r w:rsidR="00037584">
        <w:rPr>
          <w:rFonts w:ascii="標楷體" w:eastAsia="標楷體" w:hAnsi="標楷體" w:hint="eastAsia"/>
          <w:kern w:val="0"/>
          <w:szCs w:val="32"/>
        </w:rPr>
        <w:t>至</w:t>
      </w:r>
      <w:r w:rsidR="00040225" w:rsidRPr="00AD6D2F">
        <w:rPr>
          <w:rFonts w:ascii="標楷體" w:eastAsia="標楷體" w:hAnsi="標楷體" w:hint="eastAsia"/>
          <w:kern w:val="0"/>
          <w:szCs w:val="32"/>
        </w:rPr>
        <w:t>有「科技會報跨部會署科發基金計畫」等5項計畫，已連續3年已實現比率未達8成（</w:t>
      </w:r>
      <w:r w:rsidR="00040225" w:rsidRPr="006678C5">
        <w:rPr>
          <w:rFonts w:ascii="標楷體" w:eastAsia="標楷體" w:hAnsi="標楷體" w:hint="eastAsia"/>
          <w:kern w:val="0"/>
          <w:szCs w:val="32"/>
        </w:rPr>
        <w:t>表</w:t>
      </w:r>
      <w:r w:rsidR="00FA1B91" w:rsidRPr="006678C5">
        <w:rPr>
          <w:rFonts w:ascii="標楷體" w:eastAsia="標楷體" w:hAnsi="標楷體" w:hint="eastAsia"/>
          <w:kern w:val="0"/>
          <w:szCs w:val="32"/>
        </w:rPr>
        <w:t>2</w:t>
      </w:r>
      <w:r w:rsidR="00C6766F" w:rsidRPr="006678C5">
        <w:rPr>
          <w:rFonts w:ascii="標楷體" w:eastAsia="標楷體" w:hAnsi="標楷體" w:hint="eastAsia"/>
          <w:kern w:val="0"/>
          <w:szCs w:val="32"/>
        </w:rPr>
        <w:t>7</w:t>
      </w:r>
      <w:r w:rsidR="00040225" w:rsidRPr="00AD6D2F">
        <w:rPr>
          <w:rFonts w:ascii="標楷體" w:eastAsia="標楷體" w:hAnsi="標楷體" w:hint="eastAsia"/>
          <w:kern w:val="0"/>
          <w:szCs w:val="32"/>
        </w:rPr>
        <w:t>）。又依據各機關（單位）提供資料，前揭112年度科技發展計畫已實現比率未達8成之31項計畫中，計有國家科學及技術委員會（下稱國科會）、科發基金、經濟部、衛生福利部、文化部及海洋委員會辦理之「遙測衛星星系計畫」等12項計畫未達成年度績效目標，</w:t>
      </w:r>
      <w:r w:rsidR="00040225">
        <w:rPr>
          <w:rFonts w:ascii="標楷體" w:eastAsia="標楷體" w:hAnsi="標楷體" w:hint="eastAsia"/>
          <w:kern w:val="0"/>
          <w:szCs w:val="32"/>
        </w:rPr>
        <w:t>主要係</w:t>
      </w:r>
      <w:r w:rsidR="00040225" w:rsidRPr="00AD6D2F">
        <w:rPr>
          <w:rFonts w:ascii="標楷體" w:eastAsia="標楷體" w:hAnsi="標楷體" w:hint="eastAsia"/>
          <w:kern w:val="0"/>
          <w:szCs w:val="32"/>
        </w:rPr>
        <w:t>部分太空衛星關鍵元件尚待重新設計、分析及製造，部分工程建照核定期程較預計落後</w:t>
      </w:r>
      <w:r w:rsidR="00040225">
        <w:rPr>
          <w:rFonts w:ascii="標楷體" w:eastAsia="標楷體" w:hAnsi="標楷體" w:hint="eastAsia"/>
          <w:kern w:val="0"/>
          <w:szCs w:val="32"/>
        </w:rPr>
        <w:t>，暨</w:t>
      </w:r>
      <w:r w:rsidR="00040225" w:rsidRPr="00AD6D2F">
        <w:rPr>
          <w:rFonts w:ascii="標楷體" w:eastAsia="標楷體" w:hAnsi="標楷體" w:hint="eastAsia"/>
          <w:kern w:val="0"/>
          <w:szCs w:val="32"/>
        </w:rPr>
        <w:t>因應再利用計畫未獲審查通過等</w:t>
      </w:r>
      <w:r w:rsidR="00040225">
        <w:rPr>
          <w:rFonts w:ascii="標楷體" w:eastAsia="標楷體" w:hAnsi="標楷體" w:hint="eastAsia"/>
          <w:kern w:val="0"/>
          <w:szCs w:val="32"/>
        </w:rPr>
        <w:t>所致</w:t>
      </w:r>
      <w:r w:rsidR="00040225" w:rsidRPr="00AD6D2F">
        <w:rPr>
          <w:rFonts w:ascii="標楷體" w:eastAsia="標楷體" w:hAnsi="標楷體" w:hint="eastAsia"/>
          <w:kern w:val="0"/>
          <w:szCs w:val="32"/>
        </w:rPr>
        <w:t>；</w:t>
      </w:r>
      <w:r w:rsidR="00040225">
        <w:rPr>
          <w:rFonts w:ascii="標楷體" w:eastAsia="標楷體" w:hAnsi="標楷體" w:hint="eastAsia"/>
          <w:kern w:val="0"/>
          <w:szCs w:val="32"/>
        </w:rPr>
        <w:t>另</w:t>
      </w:r>
      <w:r w:rsidR="00040225" w:rsidRPr="00AD6D2F">
        <w:rPr>
          <w:rFonts w:ascii="標楷體" w:eastAsia="標楷體" w:hAnsi="標楷體" w:hint="eastAsia"/>
          <w:kern w:val="0"/>
          <w:szCs w:val="32"/>
        </w:rPr>
        <w:t>科技發展類前瞻基礎建設計畫計有「淨零排放－液流電池儲能系統技術驗證計畫」等10項計畫，原預計完成大型液流電池技術驗證場域建置與實場效能驗證評估、參與投資累積至少達30億元，尚在辦理遠端通訊監控介面規劃、土建基礎設置，或將執行重點調整為受補助計畫執行實施場域現況分析及需求討論</w:t>
      </w:r>
      <w:r w:rsidR="00040225">
        <w:rPr>
          <w:rFonts w:ascii="標楷體" w:eastAsia="標楷體" w:hAnsi="標楷體" w:hint="eastAsia"/>
          <w:kern w:val="0"/>
          <w:szCs w:val="32"/>
        </w:rPr>
        <w:t>等</w:t>
      </w:r>
      <w:r w:rsidR="00040225" w:rsidRPr="00AD6D2F">
        <w:rPr>
          <w:rFonts w:ascii="標楷體" w:eastAsia="標楷體" w:hAnsi="標楷體" w:hint="eastAsia"/>
          <w:kern w:val="0"/>
          <w:szCs w:val="32"/>
        </w:rPr>
        <w:t>，共14項工作指標及效益指標未達成。</w:t>
      </w:r>
      <w:r w:rsidR="00040225">
        <w:rPr>
          <w:rFonts w:ascii="標楷體" w:eastAsia="標楷體" w:hAnsi="標楷體" w:hint="eastAsia"/>
          <w:kern w:val="0"/>
          <w:szCs w:val="32"/>
        </w:rPr>
        <w:t>又</w:t>
      </w:r>
      <w:r w:rsidR="00040225" w:rsidRPr="00AD6D2F">
        <w:rPr>
          <w:rFonts w:ascii="標楷體" w:eastAsia="標楷體" w:hAnsi="標楷體" w:hint="eastAsia"/>
          <w:kern w:val="0"/>
          <w:szCs w:val="32"/>
        </w:rPr>
        <w:t>政府為提升個案計畫全生命週期績效管理效能，於行政院所屬各機關個案計畫管制評核作業要點規定，各機關於年度終了時，應就列管之個案計畫辦理評核，評核結果納為施政</w:t>
      </w:r>
      <w:r w:rsidR="00BB2C36" w:rsidRPr="00AD6D2F">
        <w:rPr>
          <w:rFonts w:ascii="標楷體" w:eastAsia="標楷體" w:hAnsi="標楷體" w:hint="eastAsia"/>
          <w:noProof/>
          <w:color w:val="000000" w:themeColor="text1"/>
        </w:rPr>
        <mc:AlternateContent>
          <mc:Choice Requires="wps">
            <w:drawing>
              <wp:anchor distT="0" distB="0" distL="114300" distR="114300" simplePos="0" relativeHeight="251668480" behindDoc="0" locked="0" layoutInCell="1" allowOverlap="1" wp14:anchorId="0181282A" wp14:editId="098CD4C7">
                <wp:simplePos x="0" y="0"/>
                <wp:positionH relativeFrom="margin">
                  <wp:posOffset>1812290</wp:posOffset>
                </wp:positionH>
                <wp:positionV relativeFrom="page">
                  <wp:posOffset>1800225</wp:posOffset>
                </wp:positionV>
                <wp:extent cx="4485600" cy="2264400"/>
                <wp:effectExtent l="0" t="0" r="0" b="3175"/>
                <wp:wrapSquare wrapText="bothSides"/>
                <wp:docPr id="91" name="文字方塊 91"/>
                <wp:cNvGraphicFramePr/>
                <a:graphic xmlns:a="http://schemas.openxmlformats.org/drawingml/2006/main">
                  <a:graphicData uri="http://schemas.microsoft.com/office/word/2010/wordprocessingShape">
                    <wps:wsp>
                      <wps:cNvSpPr txBox="1"/>
                      <wps:spPr>
                        <a:xfrm>
                          <a:off x="0" y="0"/>
                          <a:ext cx="4485600" cy="2264400"/>
                        </a:xfrm>
                        <a:prstGeom prst="rect">
                          <a:avLst/>
                        </a:prstGeom>
                        <a:solidFill>
                          <a:sysClr val="window" lastClr="FFFFFF"/>
                        </a:solidFill>
                        <a:ln w="6350">
                          <a:noFill/>
                        </a:ln>
                      </wps:spPr>
                      <wps:txbx>
                        <w:txbxContent>
                          <w:p w14:paraId="3BB41005" w14:textId="6C87ADA0" w:rsidR="00A0212B" w:rsidRPr="00652443" w:rsidRDefault="00A0212B" w:rsidP="000131EC">
                            <w:pPr>
                              <w:spacing w:line="300" w:lineRule="exact"/>
                              <w:jc w:val="center"/>
                              <w:rPr>
                                <w:rFonts w:ascii="標楷體" w:eastAsia="標楷體" w:hAnsi="標楷體"/>
                                <w:b/>
                              </w:rPr>
                            </w:pPr>
                            <w:r w:rsidRPr="00652443">
                              <w:rPr>
                                <w:rFonts w:ascii="標楷體" w:eastAsia="標楷體" w:hAnsi="標楷體" w:hint="eastAsia"/>
                                <w:b/>
                              </w:rPr>
                              <w:t>表</w:t>
                            </w:r>
                            <w:r>
                              <w:rPr>
                                <w:rFonts w:ascii="標楷體" w:eastAsia="標楷體" w:hAnsi="標楷體"/>
                                <w:b/>
                              </w:rPr>
                              <w:t>27</w:t>
                            </w:r>
                            <w:r w:rsidRPr="00652443">
                              <w:rPr>
                                <w:rFonts w:ascii="標楷體" w:eastAsia="標楷體" w:hAnsi="標楷體" w:hint="eastAsia"/>
                                <w:b/>
                              </w:rPr>
                              <w:t xml:space="preserve">　</w:t>
                            </w:r>
                            <w:r w:rsidRPr="008E6277">
                              <w:rPr>
                                <w:rFonts w:ascii="標楷體" w:eastAsia="標楷體" w:hAnsi="標楷體" w:hint="eastAsia"/>
                                <w:b/>
                              </w:rPr>
                              <w:t>科技發展計畫預算已實現比率連續3年未達8成之計畫</w:t>
                            </w:r>
                          </w:p>
                          <w:p w14:paraId="05D75833" w14:textId="77777777" w:rsidR="00A0212B" w:rsidRPr="00633AD4" w:rsidRDefault="00A0212B" w:rsidP="000131EC">
                            <w:pPr>
                              <w:spacing w:line="300" w:lineRule="exact"/>
                              <w:jc w:val="right"/>
                              <w:rPr>
                                <w:rFonts w:ascii="標楷體" w:eastAsia="標楷體" w:hAnsi="標楷體"/>
                                <w:sz w:val="20"/>
                              </w:rPr>
                            </w:pPr>
                            <w:r w:rsidRPr="00633AD4">
                              <w:rPr>
                                <w:rFonts w:ascii="標楷體" w:eastAsia="標楷體" w:hAnsi="標楷體" w:hint="eastAsia"/>
                                <w:sz w:val="20"/>
                              </w:rPr>
                              <w:t>單位：％</w:t>
                            </w:r>
                          </w:p>
                          <w:tbl>
                            <w:tblPr>
                              <w:tblStyle w:val="afff"/>
                              <w:tblW w:w="0" w:type="auto"/>
                              <w:jc w:val="center"/>
                              <w:tblLook w:val="04A0" w:firstRow="1" w:lastRow="0" w:firstColumn="1" w:lastColumn="0" w:noHBand="0" w:noVBand="1"/>
                            </w:tblPr>
                            <w:tblGrid>
                              <w:gridCol w:w="1696"/>
                              <w:gridCol w:w="2127"/>
                              <w:gridCol w:w="991"/>
                              <w:gridCol w:w="992"/>
                              <w:gridCol w:w="992"/>
                            </w:tblGrid>
                            <w:tr w:rsidR="00A0212B" w:rsidRPr="0031155B" w14:paraId="0219F5AB" w14:textId="77777777" w:rsidTr="0082388E">
                              <w:trPr>
                                <w:jc w:val="center"/>
                              </w:trPr>
                              <w:tc>
                                <w:tcPr>
                                  <w:tcW w:w="1696" w:type="dxa"/>
                                </w:tcPr>
                                <w:p w14:paraId="315F61D6" w14:textId="77777777" w:rsidR="00A0212B" w:rsidRPr="00652443" w:rsidRDefault="00A0212B" w:rsidP="000131EC">
                                  <w:pPr>
                                    <w:spacing w:line="266" w:lineRule="exact"/>
                                    <w:ind w:leftChars="-84" w:left="22" w:rightChars="-92" w:right="-221" w:hangingChars="112" w:hanging="224"/>
                                    <w:jc w:val="center"/>
                                    <w:rPr>
                                      <w:rFonts w:ascii="標楷體" w:eastAsia="標楷體" w:hAnsi="標楷體"/>
                                      <w:sz w:val="20"/>
                                    </w:rPr>
                                  </w:pPr>
                                  <w:r w:rsidRPr="00652443">
                                    <w:rPr>
                                      <w:rFonts w:ascii="標楷體" w:eastAsia="標楷體" w:hAnsi="標楷體" w:hint="eastAsia"/>
                                      <w:sz w:val="20"/>
                                    </w:rPr>
                                    <w:t>主管機關（單位</w:t>
                                  </w:r>
                                  <w:r>
                                    <w:rPr>
                                      <w:rFonts w:ascii="標楷體" w:eastAsia="標楷體" w:hAnsi="標楷體"/>
                                      <w:sz w:val="20"/>
                                    </w:rPr>
                                    <w:t>）</w:t>
                                  </w:r>
                                </w:p>
                              </w:tc>
                              <w:tc>
                                <w:tcPr>
                                  <w:tcW w:w="2127" w:type="dxa"/>
                                </w:tcPr>
                                <w:p w14:paraId="33392942" w14:textId="77777777" w:rsidR="00A0212B" w:rsidRPr="00652443" w:rsidRDefault="00A0212B" w:rsidP="000131EC">
                                  <w:pPr>
                                    <w:spacing w:line="266" w:lineRule="exact"/>
                                    <w:jc w:val="center"/>
                                    <w:rPr>
                                      <w:rFonts w:ascii="標楷體" w:eastAsia="標楷體" w:hAnsi="標楷體"/>
                                      <w:sz w:val="20"/>
                                    </w:rPr>
                                  </w:pPr>
                                  <w:r w:rsidRPr="00652443">
                                    <w:rPr>
                                      <w:rFonts w:ascii="標楷體" w:eastAsia="標楷體" w:hAnsi="標楷體" w:hint="eastAsia"/>
                                      <w:sz w:val="20"/>
                                    </w:rPr>
                                    <w:t>計畫名稱</w:t>
                                  </w:r>
                                </w:p>
                              </w:tc>
                              <w:tc>
                                <w:tcPr>
                                  <w:tcW w:w="991" w:type="dxa"/>
                                </w:tcPr>
                                <w:p w14:paraId="32F08CA3" w14:textId="77777777" w:rsidR="00A0212B" w:rsidRPr="00652443" w:rsidRDefault="00A0212B" w:rsidP="000131EC">
                                  <w:pPr>
                                    <w:spacing w:line="266" w:lineRule="exact"/>
                                    <w:jc w:val="center"/>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10</w:t>
                                  </w:r>
                                  <w:r w:rsidRPr="00652443">
                                    <w:rPr>
                                      <w:rFonts w:ascii="標楷體" w:eastAsia="標楷體" w:hAnsi="標楷體" w:hint="eastAsia"/>
                                      <w:sz w:val="20"/>
                                    </w:rPr>
                                    <w:t>年度</w:t>
                                  </w:r>
                                </w:p>
                              </w:tc>
                              <w:tc>
                                <w:tcPr>
                                  <w:tcW w:w="992" w:type="dxa"/>
                                </w:tcPr>
                                <w:p w14:paraId="515023E1" w14:textId="77777777" w:rsidR="00A0212B" w:rsidRPr="00652443" w:rsidRDefault="00A0212B" w:rsidP="000131EC">
                                  <w:pPr>
                                    <w:spacing w:line="266" w:lineRule="exact"/>
                                    <w:jc w:val="center"/>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11</w:t>
                                  </w:r>
                                  <w:r w:rsidRPr="00652443">
                                    <w:rPr>
                                      <w:rFonts w:ascii="標楷體" w:eastAsia="標楷體" w:hAnsi="標楷體" w:hint="eastAsia"/>
                                      <w:sz w:val="20"/>
                                    </w:rPr>
                                    <w:t>年度</w:t>
                                  </w:r>
                                </w:p>
                              </w:tc>
                              <w:tc>
                                <w:tcPr>
                                  <w:tcW w:w="992" w:type="dxa"/>
                                </w:tcPr>
                                <w:p w14:paraId="0A7D4057" w14:textId="77777777" w:rsidR="00A0212B" w:rsidRPr="00652443" w:rsidRDefault="00A0212B" w:rsidP="000131EC">
                                  <w:pPr>
                                    <w:spacing w:line="266" w:lineRule="exact"/>
                                    <w:jc w:val="center"/>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12</w:t>
                                  </w:r>
                                  <w:r w:rsidRPr="00652443">
                                    <w:rPr>
                                      <w:rFonts w:ascii="標楷體" w:eastAsia="標楷體" w:hAnsi="標楷體" w:hint="eastAsia"/>
                                      <w:sz w:val="20"/>
                                    </w:rPr>
                                    <w:t>年度</w:t>
                                  </w:r>
                                </w:p>
                              </w:tc>
                            </w:tr>
                            <w:tr w:rsidR="00A0212B" w:rsidRPr="0031155B" w14:paraId="11678E21" w14:textId="77777777" w:rsidTr="0082388E">
                              <w:trPr>
                                <w:jc w:val="center"/>
                              </w:trPr>
                              <w:tc>
                                <w:tcPr>
                                  <w:tcW w:w="1696" w:type="dxa"/>
                                  <w:vAlign w:val="center"/>
                                </w:tcPr>
                                <w:p w14:paraId="38F24D1B" w14:textId="77777777" w:rsidR="00A0212B" w:rsidRPr="00652443" w:rsidRDefault="00A0212B" w:rsidP="000131EC">
                                  <w:pPr>
                                    <w:spacing w:line="240" w:lineRule="exact"/>
                                    <w:jc w:val="distribute"/>
                                    <w:rPr>
                                      <w:rFonts w:ascii="標楷體" w:eastAsia="標楷體" w:hAnsi="標楷體"/>
                                      <w:sz w:val="20"/>
                                    </w:rPr>
                                  </w:pPr>
                                  <w:r w:rsidRPr="00652443">
                                    <w:rPr>
                                      <w:rFonts w:ascii="標楷體" w:eastAsia="標楷體" w:hAnsi="標楷體" w:hint="eastAsia"/>
                                      <w:sz w:val="20"/>
                                    </w:rPr>
                                    <w:t>行政院國家科學技術發展基金</w:t>
                                  </w:r>
                                </w:p>
                              </w:tc>
                              <w:tc>
                                <w:tcPr>
                                  <w:tcW w:w="2127" w:type="dxa"/>
                                  <w:vAlign w:val="center"/>
                                </w:tcPr>
                                <w:p w14:paraId="4284D030" w14:textId="77777777" w:rsidR="00A0212B" w:rsidRPr="00652443" w:rsidRDefault="00A0212B" w:rsidP="000131EC">
                                  <w:pPr>
                                    <w:spacing w:line="240" w:lineRule="exact"/>
                                    <w:jc w:val="both"/>
                                    <w:rPr>
                                      <w:rFonts w:ascii="標楷體" w:eastAsia="標楷體" w:hAnsi="標楷體"/>
                                      <w:sz w:val="20"/>
                                    </w:rPr>
                                  </w:pPr>
                                  <w:r w:rsidRPr="00652443">
                                    <w:rPr>
                                      <w:rFonts w:ascii="標楷體" w:eastAsia="標楷體" w:hAnsi="標楷體" w:hint="eastAsia"/>
                                      <w:sz w:val="20"/>
                                    </w:rPr>
                                    <w:t>科技會報跨部會署科發基金計畫</w:t>
                                  </w:r>
                                </w:p>
                              </w:tc>
                              <w:tc>
                                <w:tcPr>
                                  <w:tcW w:w="991" w:type="dxa"/>
                                  <w:vAlign w:val="center"/>
                                </w:tcPr>
                                <w:p w14:paraId="7C33A7F0"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9.92</w:t>
                                  </w:r>
                                </w:p>
                              </w:tc>
                              <w:tc>
                                <w:tcPr>
                                  <w:tcW w:w="992" w:type="dxa"/>
                                  <w:vAlign w:val="center"/>
                                </w:tcPr>
                                <w:p w14:paraId="64BE8E9B" w14:textId="77777777" w:rsidR="00A0212B" w:rsidRPr="00652443" w:rsidRDefault="00A0212B" w:rsidP="000131EC">
                                  <w:pPr>
                                    <w:spacing w:line="280" w:lineRule="exact"/>
                                    <w:jc w:val="right"/>
                                    <w:rPr>
                                      <w:rFonts w:ascii="標楷體" w:eastAsia="標楷體" w:hAnsi="標楷體"/>
                                      <w:color w:val="000000" w:themeColor="text1"/>
                                      <w:sz w:val="20"/>
                                    </w:rPr>
                                  </w:pPr>
                                  <w:r w:rsidRPr="00652443">
                                    <w:rPr>
                                      <w:rFonts w:ascii="標楷體" w:eastAsia="標楷體" w:hAnsi="標楷體" w:hint="eastAsia"/>
                                      <w:color w:val="000000" w:themeColor="text1"/>
                                      <w:sz w:val="20"/>
                                    </w:rPr>
                                    <w:t>6</w:t>
                                  </w:r>
                                  <w:r w:rsidRPr="00652443">
                                    <w:rPr>
                                      <w:rFonts w:ascii="標楷體" w:eastAsia="標楷體" w:hAnsi="標楷體"/>
                                      <w:color w:val="000000" w:themeColor="text1"/>
                                      <w:sz w:val="20"/>
                                    </w:rPr>
                                    <w:t>8.22</w:t>
                                  </w:r>
                                </w:p>
                              </w:tc>
                              <w:tc>
                                <w:tcPr>
                                  <w:tcW w:w="992" w:type="dxa"/>
                                  <w:vAlign w:val="center"/>
                                </w:tcPr>
                                <w:p w14:paraId="7D71CA37" w14:textId="77777777" w:rsidR="00A0212B" w:rsidRPr="00652443" w:rsidRDefault="00A0212B" w:rsidP="000131EC">
                                  <w:pPr>
                                    <w:spacing w:line="280" w:lineRule="exact"/>
                                    <w:jc w:val="right"/>
                                    <w:rPr>
                                      <w:rFonts w:ascii="標楷體" w:eastAsia="標楷體" w:hAnsi="標楷體"/>
                                      <w:color w:val="000000" w:themeColor="text1"/>
                                      <w:sz w:val="20"/>
                                    </w:rPr>
                                  </w:pPr>
                                  <w:r w:rsidRPr="00652443">
                                    <w:rPr>
                                      <w:rFonts w:ascii="標楷體" w:eastAsia="標楷體" w:hAnsi="標楷體" w:hint="eastAsia"/>
                                      <w:color w:val="000000" w:themeColor="text1"/>
                                      <w:sz w:val="20"/>
                                    </w:rPr>
                                    <w:t>5</w:t>
                                  </w:r>
                                  <w:r w:rsidRPr="00652443">
                                    <w:rPr>
                                      <w:rFonts w:ascii="標楷體" w:eastAsia="標楷體" w:hAnsi="標楷體"/>
                                      <w:color w:val="000000" w:themeColor="text1"/>
                                      <w:sz w:val="20"/>
                                    </w:rPr>
                                    <w:t>1.59</w:t>
                                  </w:r>
                                </w:p>
                              </w:tc>
                            </w:tr>
                            <w:tr w:rsidR="00A0212B" w:rsidRPr="0031155B" w14:paraId="6FC67D6C" w14:textId="77777777" w:rsidTr="0082388E">
                              <w:trPr>
                                <w:jc w:val="center"/>
                              </w:trPr>
                              <w:tc>
                                <w:tcPr>
                                  <w:tcW w:w="1696" w:type="dxa"/>
                                  <w:vMerge w:val="restart"/>
                                  <w:vAlign w:val="center"/>
                                </w:tcPr>
                                <w:p w14:paraId="4CC43C10" w14:textId="77777777" w:rsidR="00A0212B" w:rsidRPr="00652443" w:rsidRDefault="00A0212B" w:rsidP="000131EC">
                                  <w:pPr>
                                    <w:spacing w:line="266" w:lineRule="exact"/>
                                    <w:jc w:val="distribute"/>
                                    <w:rPr>
                                      <w:rFonts w:ascii="標楷體" w:eastAsia="標楷體" w:hAnsi="標楷體"/>
                                      <w:sz w:val="20"/>
                                    </w:rPr>
                                  </w:pPr>
                                  <w:r w:rsidRPr="00652443">
                                    <w:rPr>
                                      <w:rFonts w:ascii="標楷體" w:eastAsia="標楷體" w:hAnsi="標楷體" w:hint="eastAsia"/>
                                      <w:sz w:val="20"/>
                                    </w:rPr>
                                    <w:t>衛生福利部</w:t>
                                  </w:r>
                                </w:p>
                              </w:tc>
                              <w:tc>
                                <w:tcPr>
                                  <w:tcW w:w="2127" w:type="dxa"/>
                                </w:tcPr>
                                <w:p w14:paraId="1F4114DF" w14:textId="77777777" w:rsidR="00A0212B" w:rsidRPr="00652443" w:rsidRDefault="00A0212B" w:rsidP="000131EC">
                                  <w:pPr>
                                    <w:spacing w:line="240" w:lineRule="exact"/>
                                    <w:jc w:val="both"/>
                                    <w:rPr>
                                      <w:rFonts w:ascii="標楷體" w:eastAsia="標楷體" w:hAnsi="標楷體"/>
                                      <w:sz w:val="20"/>
                                    </w:rPr>
                                  </w:pPr>
                                  <w:r w:rsidRPr="00652443">
                                    <w:rPr>
                                      <w:rFonts w:ascii="標楷體" w:eastAsia="標楷體" w:hAnsi="標楷體" w:hint="eastAsia"/>
                                      <w:sz w:val="20"/>
                                    </w:rPr>
                                    <w:t>社會福利多元服務與實證決策模式計畫</w:t>
                                  </w:r>
                                </w:p>
                              </w:tc>
                              <w:tc>
                                <w:tcPr>
                                  <w:tcW w:w="991" w:type="dxa"/>
                                  <w:vAlign w:val="center"/>
                                </w:tcPr>
                                <w:p w14:paraId="1ECA676F"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5</w:t>
                                  </w:r>
                                  <w:r w:rsidRPr="00652443">
                                    <w:rPr>
                                      <w:rFonts w:ascii="標楷體" w:eastAsia="標楷體" w:hAnsi="標楷體"/>
                                      <w:sz w:val="20"/>
                                    </w:rPr>
                                    <w:t>7.13</w:t>
                                  </w:r>
                                </w:p>
                              </w:tc>
                              <w:tc>
                                <w:tcPr>
                                  <w:tcW w:w="992" w:type="dxa"/>
                                  <w:vAlign w:val="center"/>
                                </w:tcPr>
                                <w:p w14:paraId="55EEDE8C"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2</w:t>
                                  </w:r>
                                  <w:r w:rsidRPr="00652443">
                                    <w:rPr>
                                      <w:rFonts w:ascii="標楷體" w:eastAsia="標楷體" w:hAnsi="標楷體"/>
                                      <w:sz w:val="20"/>
                                    </w:rPr>
                                    <w:t>5.48</w:t>
                                  </w:r>
                                </w:p>
                              </w:tc>
                              <w:tc>
                                <w:tcPr>
                                  <w:tcW w:w="992" w:type="dxa"/>
                                  <w:vAlign w:val="center"/>
                                </w:tcPr>
                                <w:p w14:paraId="47DC76CD"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3.08</w:t>
                                  </w:r>
                                </w:p>
                              </w:tc>
                            </w:tr>
                            <w:tr w:rsidR="00A0212B" w:rsidRPr="0031155B" w14:paraId="14D53276" w14:textId="77777777" w:rsidTr="0082388E">
                              <w:trPr>
                                <w:jc w:val="center"/>
                              </w:trPr>
                              <w:tc>
                                <w:tcPr>
                                  <w:tcW w:w="1696" w:type="dxa"/>
                                  <w:vMerge/>
                                  <w:vAlign w:val="center"/>
                                </w:tcPr>
                                <w:p w14:paraId="2CC6881B" w14:textId="77777777" w:rsidR="00A0212B" w:rsidRPr="00652443" w:rsidRDefault="00A0212B" w:rsidP="000131EC">
                                  <w:pPr>
                                    <w:spacing w:line="266" w:lineRule="exact"/>
                                    <w:jc w:val="distribute"/>
                                    <w:rPr>
                                      <w:rFonts w:ascii="標楷體" w:eastAsia="標楷體" w:hAnsi="標楷體"/>
                                      <w:sz w:val="20"/>
                                    </w:rPr>
                                  </w:pPr>
                                </w:p>
                              </w:tc>
                              <w:tc>
                                <w:tcPr>
                                  <w:tcW w:w="2127" w:type="dxa"/>
                                </w:tcPr>
                                <w:p w14:paraId="57602EA0" w14:textId="77777777" w:rsidR="00A0212B" w:rsidRPr="00652443" w:rsidRDefault="00A0212B" w:rsidP="000131EC">
                                  <w:pPr>
                                    <w:spacing w:line="240" w:lineRule="exact"/>
                                    <w:jc w:val="both"/>
                                    <w:rPr>
                                      <w:rFonts w:ascii="標楷體" w:eastAsia="標楷體" w:hAnsi="標楷體"/>
                                      <w:spacing w:val="-6"/>
                                      <w:sz w:val="20"/>
                                    </w:rPr>
                                  </w:pPr>
                                  <w:r w:rsidRPr="00652443">
                                    <w:rPr>
                                      <w:rFonts w:ascii="標楷體" w:eastAsia="標楷體" w:hAnsi="標楷體" w:hint="eastAsia"/>
                                      <w:spacing w:val="-6"/>
                                      <w:sz w:val="20"/>
                                    </w:rPr>
                                    <w:t>資安跨域整合聯防計畫</w:t>
                                  </w:r>
                                </w:p>
                              </w:tc>
                              <w:tc>
                                <w:tcPr>
                                  <w:tcW w:w="991" w:type="dxa"/>
                                  <w:vAlign w:val="center"/>
                                </w:tcPr>
                                <w:p w14:paraId="1FE9A085"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5.73</w:t>
                                  </w:r>
                                </w:p>
                              </w:tc>
                              <w:tc>
                                <w:tcPr>
                                  <w:tcW w:w="992" w:type="dxa"/>
                                  <w:vAlign w:val="center"/>
                                </w:tcPr>
                                <w:p w14:paraId="60BFD379"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3</w:t>
                                  </w:r>
                                  <w:r w:rsidRPr="00652443">
                                    <w:rPr>
                                      <w:rFonts w:ascii="標楷體" w:eastAsia="標楷體" w:hAnsi="標楷體"/>
                                      <w:sz w:val="20"/>
                                    </w:rPr>
                                    <w:t>3.32</w:t>
                                  </w:r>
                                </w:p>
                              </w:tc>
                              <w:tc>
                                <w:tcPr>
                                  <w:tcW w:w="992" w:type="dxa"/>
                                  <w:vAlign w:val="center"/>
                                </w:tcPr>
                                <w:p w14:paraId="3A20BBE6"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2</w:t>
                                  </w:r>
                                  <w:r w:rsidRPr="00652443">
                                    <w:rPr>
                                      <w:rFonts w:ascii="標楷體" w:eastAsia="標楷體" w:hAnsi="標楷體"/>
                                      <w:sz w:val="20"/>
                                    </w:rPr>
                                    <w:t>0.68</w:t>
                                  </w:r>
                                </w:p>
                              </w:tc>
                            </w:tr>
                            <w:tr w:rsidR="00A0212B" w:rsidRPr="0031155B" w14:paraId="7C5DC560" w14:textId="77777777" w:rsidTr="0082388E">
                              <w:trPr>
                                <w:jc w:val="center"/>
                              </w:trPr>
                              <w:tc>
                                <w:tcPr>
                                  <w:tcW w:w="1696" w:type="dxa"/>
                                  <w:vAlign w:val="center"/>
                                </w:tcPr>
                                <w:p w14:paraId="51FD8C6B" w14:textId="77777777" w:rsidR="00A0212B" w:rsidRPr="00652443" w:rsidRDefault="00A0212B" w:rsidP="000131EC">
                                  <w:pPr>
                                    <w:spacing w:line="266" w:lineRule="exact"/>
                                    <w:jc w:val="distribute"/>
                                    <w:rPr>
                                      <w:rFonts w:ascii="標楷體" w:eastAsia="標楷體" w:hAnsi="標楷體"/>
                                      <w:sz w:val="20"/>
                                    </w:rPr>
                                  </w:pPr>
                                  <w:r w:rsidRPr="00652443">
                                    <w:rPr>
                                      <w:rFonts w:ascii="標楷體" w:eastAsia="標楷體" w:hAnsi="標楷體" w:hint="eastAsia"/>
                                      <w:sz w:val="20"/>
                                    </w:rPr>
                                    <w:t>教育部</w:t>
                                  </w:r>
                                </w:p>
                              </w:tc>
                              <w:tc>
                                <w:tcPr>
                                  <w:tcW w:w="2127" w:type="dxa"/>
                                </w:tcPr>
                                <w:p w14:paraId="0700BD84" w14:textId="77777777" w:rsidR="00A0212B" w:rsidRPr="00652443" w:rsidRDefault="00A0212B" w:rsidP="000131EC">
                                  <w:pPr>
                                    <w:spacing w:line="240" w:lineRule="exact"/>
                                    <w:jc w:val="both"/>
                                    <w:rPr>
                                      <w:rFonts w:ascii="標楷體" w:eastAsia="標楷體" w:hAnsi="標楷體"/>
                                      <w:sz w:val="20"/>
                                    </w:rPr>
                                  </w:pPr>
                                  <w:r w:rsidRPr="00652443">
                                    <w:rPr>
                                      <w:rFonts w:ascii="標楷體" w:eastAsia="標楷體" w:hAnsi="標楷體" w:hint="eastAsia"/>
                                      <w:sz w:val="20"/>
                                    </w:rPr>
                                    <w:t>臺灣資安卓越深耕</w:t>
                                  </w:r>
                                  <w:r>
                                    <w:rPr>
                                      <w:rFonts w:ascii="標楷體" w:eastAsia="標楷體" w:hAnsi="標楷體" w:hint="eastAsia"/>
                                      <w:sz w:val="20"/>
                                    </w:rPr>
                                    <w:t>－</w:t>
                                  </w:r>
                                  <w:r w:rsidRPr="00652443">
                                    <w:rPr>
                                      <w:rFonts w:ascii="標楷體" w:eastAsia="標楷體" w:hAnsi="標楷體" w:hint="eastAsia"/>
                                      <w:sz w:val="20"/>
                                    </w:rPr>
                                    <w:t>擴增資安師資計畫</w:t>
                                  </w:r>
                                </w:p>
                              </w:tc>
                              <w:tc>
                                <w:tcPr>
                                  <w:tcW w:w="991" w:type="dxa"/>
                                  <w:vAlign w:val="center"/>
                                </w:tcPr>
                                <w:p w14:paraId="42731FDC"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0.56</w:t>
                                  </w:r>
                                </w:p>
                              </w:tc>
                              <w:tc>
                                <w:tcPr>
                                  <w:tcW w:w="992" w:type="dxa"/>
                                  <w:vAlign w:val="center"/>
                                </w:tcPr>
                                <w:p w14:paraId="559A0985"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2</w:t>
                                  </w:r>
                                  <w:r w:rsidRPr="00652443">
                                    <w:rPr>
                                      <w:rFonts w:ascii="標楷體" w:eastAsia="標楷體" w:hAnsi="標楷體"/>
                                      <w:sz w:val="20"/>
                                    </w:rPr>
                                    <w:t>9.07</w:t>
                                  </w:r>
                                </w:p>
                              </w:tc>
                              <w:tc>
                                <w:tcPr>
                                  <w:tcW w:w="992" w:type="dxa"/>
                                  <w:vAlign w:val="center"/>
                                </w:tcPr>
                                <w:p w14:paraId="116C21EA"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3</w:t>
                                  </w:r>
                                  <w:r w:rsidRPr="00652443">
                                    <w:rPr>
                                      <w:rFonts w:ascii="標楷體" w:eastAsia="標楷體" w:hAnsi="標楷體"/>
                                      <w:sz w:val="20"/>
                                    </w:rPr>
                                    <w:t>7.03</w:t>
                                  </w:r>
                                </w:p>
                              </w:tc>
                            </w:tr>
                            <w:tr w:rsidR="00A0212B" w:rsidRPr="0031155B" w14:paraId="611743FE" w14:textId="77777777" w:rsidTr="0082388E">
                              <w:trPr>
                                <w:jc w:val="center"/>
                              </w:trPr>
                              <w:tc>
                                <w:tcPr>
                                  <w:tcW w:w="1696" w:type="dxa"/>
                                  <w:vAlign w:val="center"/>
                                </w:tcPr>
                                <w:p w14:paraId="3469FCFF" w14:textId="77777777" w:rsidR="00A0212B" w:rsidRPr="00652443" w:rsidRDefault="00A0212B" w:rsidP="000131EC">
                                  <w:pPr>
                                    <w:spacing w:line="266" w:lineRule="exact"/>
                                    <w:jc w:val="distribute"/>
                                    <w:rPr>
                                      <w:rFonts w:ascii="標楷體" w:eastAsia="標楷體" w:hAnsi="標楷體"/>
                                      <w:sz w:val="20"/>
                                    </w:rPr>
                                  </w:pPr>
                                  <w:r w:rsidRPr="00652443">
                                    <w:rPr>
                                      <w:rFonts w:ascii="標楷體" w:eastAsia="標楷體" w:hAnsi="標楷體" w:hint="eastAsia"/>
                                      <w:sz w:val="20"/>
                                    </w:rPr>
                                    <w:t>交通部</w:t>
                                  </w:r>
                                </w:p>
                              </w:tc>
                              <w:tc>
                                <w:tcPr>
                                  <w:tcW w:w="2127" w:type="dxa"/>
                                </w:tcPr>
                                <w:p w14:paraId="611B85B2" w14:textId="77777777" w:rsidR="00A0212B" w:rsidRPr="00652443" w:rsidRDefault="00A0212B" w:rsidP="000131EC">
                                  <w:pPr>
                                    <w:spacing w:line="240" w:lineRule="exact"/>
                                    <w:jc w:val="both"/>
                                    <w:rPr>
                                      <w:rFonts w:ascii="標楷體" w:eastAsia="標楷體" w:hAnsi="標楷體"/>
                                      <w:sz w:val="20"/>
                                    </w:rPr>
                                  </w:pPr>
                                  <w:r w:rsidRPr="00652443">
                                    <w:rPr>
                                      <w:rFonts w:ascii="標楷體" w:eastAsia="標楷體" w:hAnsi="標楷體" w:hint="eastAsia"/>
                                      <w:sz w:val="20"/>
                                    </w:rPr>
                                    <w:t>氣象雷達災防預警技術提升計畫</w:t>
                                  </w:r>
                                </w:p>
                              </w:tc>
                              <w:tc>
                                <w:tcPr>
                                  <w:tcW w:w="991" w:type="dxa"/>
                                  <w:vAlign w:val="center"/>
                                </w:tcPr>
                                <w:p w14:paraId="77E4ED4E"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6.06</w:t>
                                  </w:r>
                                </w:p>
                              </w:tc>
                              <w:tc>
                                <w:tcPr>
                                  <w:tcW w:w="992" w:type="dxa"/>
                                  <w:vAlign w:val="center"/>
                                </w:tcPr>
                                <w:p w14:paraId="2470BBE7"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0.25</w:t>
                                  </w:r>
                                </w:p>
                              </w:tc>
                              <w:tc>
                                <w:tcPr>
                                  <w:tcW w:w="992" w:type="dxa"/>
                                  <w:vAlign w:val="center"/>
                                </w:tcPr>
                                <w:p w14:paraId="13E55C6B"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3.88</w:t>
                                  </w:r>
                                </w:p>
                              </w:tc>
                            </w:tr>
                          </w:tbl>
                          <w:p w14:paraId="54986048" w14:textId="77777777" w:rsidR="00A0212B" w:rsidRPr="0031155B" w:rsidRDefault="00A0212B" w:rsidP="000131EC">
                            <w:pPr>
                              <w:spacing w:line="260" w:lineRule="exact"/>
                              <w:rPr>
                                <w:rFonts w:ascii="標楷體" w:eastAsia="標楷體" w:hAnsi="標楷體"/>
                                <w:sz w:val="18"/>
                              </w:rPr>
                            </w:pPr>
                            <w:r w:rsidRPr="0031155B">
                              <w:rPr>
                                <w:rFonts w:ascii="標楷體" w:eastAsia="標楷體" w:hAnsi="標楷體" w:hint="eastAsia"/>
                                <w:sz w:val="18"/>
                              </w:rPr>
                              <w:t>資料來源：整理自各機關（單位</w:t>
                            </w:r>
                            <w:r>
                              <w:rPr>
                                <w:rFonts w:ascii="標楷體" w:eastAsia="標楷體" w:hAnsi="標楷體" w:hint="eastAsia"/>
                                <w:sz w:val="18"/>
                              </w:rPr>
                              <w:t>）</w:t>
                            </w:r>
                            <w:r w:rsidRPr="0031155B">
                              <w:rPr>
                                <w:rFonts w:ascii="標楷體" w:eastAsia="標楷體" w:hAnsi="標楷體" w:hint="eastAsia"/>
                                <w:sz w:val="18"/>
                              </w:rPr>
                              <w:t>查填資料。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1282A" id="文字方塊 91" o:spid="_x0000_s1091" type="#_x0000_t202" style="position:absolute;left:0;text-align:left;margin-left:142.7pt;margin-top:141.75pt;width:353.2pt;height:178.3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" fillcolor="window" stroked="f" strokeweight=".5pt">
                <v:textbox>
                  <w:txbxContent>
                    <w:p w14:paraId="3BB41005" w14:textId="6C87ADA0" w:rsidR="00A0212B" w:rsidRPr="00652443" w:rsidRDefault="00A0212B" w:rsidP="000131EC">
                      <w:pPr>
                        <w:spacing w:line="300" w:lineRule="exact"/>
                        <w:jc w:val="center"/>
                        <w:rPr>
                          <w:rFonts w:ascii="標楷體" w:eastAsia="標楷體" w:hAnsi="標楷體"/>
                          <w:b/>
                        </w:rPr>
                      </w:pPr>
                      <w:r w:rsidRPr="00652443">
                        <w:rPr>
                          <w:rFonts w:ascii="標楷體" w:eastAsia="標楷體" w:hAnsi="標楷體" w:hint="eastAsia"/>
                          <w:b/>
                        </w:rPr>
                        <w:t>表</w:t>
                      </w:r>
                      <w:r>
                        <w:rPr>
                          <w:rFonts w:ascii="標楷體" w:eastAsia="標楷體" w:hAnsi="標楷體"/>
                          <w:b/>
                        </w:rPr>
                        <w:t>27</w:t>
                      </w:r>
                      <w:r w:rsidRPr="00652443">
                        <w:rPr>
                          <w:rFonts w:ascii="標楷體" w:eastAsia="標楷體" w:hAnsi="標楷體" w:hint="eastAsia"/>
                          <w:b/>
                        </w:rPr>
                        <w:t xml:space="preserve">　</w:t>
                      </w:r>
                      <w:r w:rsidRPr="008E6277">
                        <w:rPr>
                          <w:rFonts w:ascii="標楷體" w:eastAsia="標楷體" w:hAnsi="標楷體" w:hint="eastAsia"/>
                          <w:b/>
                        </w:rPr>
                        <w:t>科技發展計畫預算已實現比率連續3年未達8成之計畫</w:t>
                      </w:r>
                    </w:p>
                    <w:p w14:paraId="05D75833" w14:textId="77777777" w:rsidR="00A0212B" w:rsidRPr="00633AD4" w:rsidRDefault="00A0212B" w:rsidP="000131EC">
                      <w:pPr>
                        <w:spacing w:line="300" w:lineRule="exact"/>
                        <w:jc w:val="right"/>
                        <w:rPr>
                          <w:rFonts w:ascii="標楷體" w:eastAsia="標楷體" w:hAnsi="標楷體"/>
                          <w:sz w:val="20"/>
                        </w:rPr>
                      </w:pPr>
                      <w:r w:rsidRPr="00633AD4">
                        <w:rPr>
                          <w:rFonts w:ascii="標楷體" w:eastAsia="標楷體" w:hAnsi="標楷體" w:hint="eastAsia"/>
                          <w:sz w:val="20"/>
                        </w:rPr>
                        <w:t>單位：％</w:t>
                      </w:r>
                    </w:p>
                    <w:tbl>
                      <w:tblPr>
                        <w:tblStyle w:val="afff"/>
                        <w:tblW w:w="0" w:type="auto"/>
                        <w:jc w:val="center"/>
                        <w:tblLook w:val="04A0" w:firstRow="1" w:lastRow="0" w:firstColumn="1" w:lastColumn="0" w:noHBand="0" w:noVBand="1"/>
                      </w:tblPr>
                      <w:tblGrid>
                        <w:gridCol w:w="1696"/>
                        <w:gridCol w:w="2127"/>
                        <w:gridCol w:w="991"/>
                        <w:gridCol w:w="992"/>
                        <w:gridCol w:w="992"/>
                      </w:tblGrid>
                      <w:tr w:rsidR="00A0212B" w:rsidRPr="0031155B" w14:paraId="0219F5AB" w14:textId="77777777" w:rsidTr="0082388E">
                        <w:trPr>
                          <w:jc w:val="center"/>
                        </w:trPr>
                        <w:tc>
                          <w:tcPr>
                            <w:tcW w:w="1696" w:type="dxa"/>
                          </w:tcPr>
                          <w:p w14:paraId="315F61D6" w14:textId="77777777" w:rsidR="00A0212B" w:rsidRPr="00652443" w:rsidRDefault="00A0212B" w:rsidP="000131EC">
                            <w:pPr>
                              <w:spacing w:line="266" w:lineRule="exact"/>
                              <w:ind w:leftChars="-84" w:left="22" w:rightChars="-92" w:right="-221" w:hangingChars="112" w:hanging="224"/>
                              <w:jc w:val="center"/>
                              <w:rPr>
                                <w:rFonts w:ascii="標楷體" w:eastAsia="標楷體" w:hAnsi="標楷體"/>
                                <w:sz w:val="20"/>
                              </w:rPr>
                            </w:pPr>
                            <w:r w:rsidRPr="00652443">
                              <w:rPr>
                                <w:rFonts w:ascii="標楷體" w:eastAsia="標楷體" w:hAnsi="標楷體" w:hint="eastAsia"/>
                                <w:sz w:val="20"/>
                              </w:rPr>
                              <w:t>主管機關（單位</w:t>
                            </w:r>
                            <w:r>
                              <w:rPr>
                                <w:rFonts w:ascii="標楷體" w:eastAsia="標楷體" w:hAnsi="標楷體"/>
                                <w:sz w:val="20"/>
                              </w:rPr>
                              <w:t>）</w:t>
                            </w:r>
                          </w:p>
                        </w:tc>
                        <w:tc>
                          <w:tcPr>
                            <w:tcW w:w="2127" w:type="dxa"/>
                          </w:tcPr>
                          <w:p w14:paraId="33392942" w14:textId="77777777" w:rsidR="00A0212B" w:rsidRPr="00652443" w:rsidRDefault="00A0212B" w:rsidP="000131EC">
                            <w:pPr>
                              <w:spacing w:line="266" w:lineRule="exact"/>
                              <w:jc w:val="center"/>
                              <w:rPr>
                                <w:rFonts w:ascii="標楷體" w:eastAsia="標楷體" w:hAnsi="標楷體"/>
                                <w:sz w:val="20"/>
                              </w:rPr>
                            </w:pPr>
                            <w:r w:rsidRPr="00652443">
                              <w:rPr>
                                <w:rFonts w:ascii="標楷體" w:eastAsia="標楷體" w:hAnsi="標楷體" w:hint="eastAsia"/>
                                <w:sz w:val="20"/>
                              </w:rPr>
                              <w:t>計畫名稱</w:t>
                            </w:r>
                          </w:p>
                        </w:tc>
                        <w:tc>
                          <w:tcPr>
                            <w:tcW w:w="991" w:type="dxa"/>
                          </w:tcPr>
                          <w:p w14:paraId="32F08CA3" w14:textId="77777777" w:rsidR="00A0212B" w:rsidRPr="00652443" w:rsidRDefault="00A0212B" w:rsidP="000131EC">
                            <w:pPr>
                              <w:spacing w:line="266" w:lineRule="exact"/>
                              <w:jc w:val="center"/>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10</w:t>
                            </w:r>
                            <w:r w:rsidRPr="00652443">
                              <w:rPr>
                                <w:rFonts w:ascii="標楷體" w:eastAsia="標楷體" w:hAnsi="標楷體" w:hint="eastAsia"/>
                                <w:sz w:val="20"/>
                              </w:rPr>
                              <w:t>年度</w:t>
                            </w:r>
                          </w:p>
                        </w:tc>
                        <w:tc>
                          <w:tcPr>
                            <w:tcW w:w="992" w:type="dxa"/>
                          </w:tcPr>
                          <w:p w14:paraId="515023E1" w14:textId="77777777" w:rsidR="00A0212B" w:rsidRPr="00652443" w:rsidRDefault="00A0212B" w:rsidP="000131EC">
                            <w:pPr>
                              <w:spacing w:line="266" w:lineRule="exact"/>
                              <w:jc w:val="center"/>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11</w:t>
                            </w:r>
                            <w:r w:rsidRPr="00652443">
                              <w:rPr>
                                <w:rFonts w:ascii="標楷體" w:eastAsia="標楷體" w:hAnsi="標楷體" w:hint="eastAsia"/>
                                <w:sz w:val="20"/>
                              </w:rPr>
                              <w:t>年度</w:t>
                            </w:r>
                          </w:p>
                        </w:tc>
                        <w:tc>
                          <w:tcPr>
                            <w:tcW w:w="992" w:type="dxa"/>
                          </w:tcPr>
                          <w:p w14:paraId="0A7D4057" w14:textId="77777777" w:rsidR="00A0212B" w:rsidRPr="00652443" w:rsidRDefault="00A0212B" w:rsidP="000131EC">
                            <w:pPr>
                              <w:spacing w:line="266" w:lineRule="exact"/>
                              <w:jc w:val="center"/>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12</w:t>
                            </w:r>
                            <w:r w:rsidRPr="00652443">
                              <w:rPr>
                                <w:rFonts w:ascii="標楷體" w:eastAsia="標楷體" w:hAnsi="標楷體" w:hint="eastAsia"/>
                                <w:sz w:val="20"/>
                              </w:rPr>
                              <w:t>年度</w:t>
                            </w:r>
                          </w:p>
                        </w:tc>
                      </w:tr>
                      <w:tr w:rsidR="00A0212B" w:rsidRPr="0031155B" w14:paraId="11678E21" w14:textId="77777777" w:rsidTr="0082388E">
                        <w:trPr>
                          <w:jc w:val="center"/>
                        </w:trPr>
                        <w:tc>
                          <w:tcPr>
                            <w:tcW w:w="1696" w:type="dxa"/>
                            <w:vAlign w:val="center"/>
                          </w:tcPr>
                          <w:p w14:paraId="38F24D1B" w14:textId="77777777" w:rsidR="00A0212B" w:rsidRPr="00652443" w:rsidRDefault="00A0212B" w:rsidP="000131EC">
                            <w:pPr>
                              <w:spacing w:line="240" w:lineRule="exact"/>
                              <w:jc w:val="distribute"/>
                              <w:rPr>
                                <w:rFonts w:ascii="標楷體" w:eastAsia="標楷體" w:hAnsi="標楷體"/>
                                <w:sz w:val="20"/>
                              </w:rPr>
                            </w:pPr>
                            <w:r w:rsidRPr="00652443">
                              <w:rPr>
                                <w:rFonts w:ascii="標楷體" w:eastAsia="標楷體" w:hAnsi="標楷體" w:hint="eastAsia"/>
                                <w:sz w:val="20"/>
                              </w:rPr>
                              <w:t>行政院國家科學技術發展基金</w:t>
                            </w:r>
                          </w:p>
                        </w:tc>
                        <w:tc>
                          <w:tcPr>
                            <w:tcW w:w="2127" w:type="dxa"/>
                            <w:vAlign w:val="center"/>
                          </w:tcPr>
                          <w:p w14:paraId="4284D030" w14:textId="77777777" w:rsidR="00A0212B" w:rsidRPr="00652443" w:rsidRDefault="00A0212B" w:rsidP="000131EC">
                            <w:pPr>
                              <w:spacing w:line="240" w:lineRule="exact"/>
                              <w:jc w:val="both"/>
                              <w:rPr>
                                <w:rFonts w:ascii="標楷體" w:eastAsia="標楷體" w:hAnsi="標楷體"/>
                                <w:sz w:val="20"/>
                              </w:rPr>
                            </w:pPr>
                            <w:r w:rsidRPr="00652443">
                              <w:rPr>
                                <w:rFonts w:ascii="標楷體" w:eastAsia="標楷體" w:hAnsi="標楷體" w:hint="eastAsia"/>
                                <w:sz w:val="20"/>
                              </w:rPr>
                              <w:t>科技會報跨部會署科發基金計畫</w:t>
                            </w:r>
                          </w:p>
                        </w:tc>
                        <w:tc>
                          <w:tcPr>
                            <w:tcW w:w="991" w:type="dxa"/>
                            <w:vAlign w:val="center"/>
                          </w:tcPr>
                          <w:p w14:paraId="7C33A7F0"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9.92</w:t>
                            </w:r>
                          </w:p>
                        </w:tc>
                        <w:tc>
                          <w:tcPr>
                            <w:tcW w:w="992" w:type="dxa"/>
                            <w:vAlign w:val="center"/>
                          </w:tcPr>
                          <w:p w14:paraId="64BE8E9B" w14:textId="77777777" w:rsidR="00A0212B" w:rsidRPr="00652443" w:rsidRDefault="00A0212B" w:rsidP="000131EC">
                            <w:pPr>
                              <w:spacing w:line="280" w:lineRule="exact"/>
                              <w:jc w:val="right"/>
                              <w:rPr>
                                <w:rFonts w:ascii="標楷體" w:eastAsia="標楷體" w:hAnsi="標楷體"/>
                                <w:color w:val="000000" w:themeColor="text1"/>
                                <w:sz w:val="20"/>
                              </w:rPr>
                            </w:pPr>
                            <w:r w:rsidRPr="00652443">
                              <w:rPr>
                                <w:rFonts w:ascii="標楷體" w:eastAsia="標楷體" w:hAnsi="標楷體" w:hint="eastAsia"/>
                                <w:color w:val="000000" w:themeColor="text1"/>
                                <w:sz w:val="20"/>
                              </w:rPr>
                              <w:t>6</w:t>
                            </w:r>
                            <w:r w:rsidRPr="00652443">
                              <w:rPr>
                                <w:rFonts w:ascii="標楷體" w:eastAsia="標楷體" w:hAnsi="標楷體"/>
                                <w:color w:val="000000" w:themeColor="text1"/>
                                <w:sz w:val="20"/>
                              </w:rPr>
                              <w:t>8.22</w:t>
                            </w:r>
                          </w:p>
                        </w:tc>
                        <w:tc>
                          <w:tcPr>
                            <w:tcW w:w="992" w:type="dxa"/>
                            <w:vAlign w:val="center"/>
                          </w:tcPr>
                          <w:p w14:paraId="7D71CA37" w14:textId="77777777" w:rsidR="00A0212B" w:rsidRPr="00652443" w:rsidRDefault="00A0212B" w:rsidP="000131EC">
                            <w:pPr>
                              <w:spacing w:line="280" w:lineRule="exact"/>
                              <w:jc w:val="right"/>
                              <w:rPr>
                                <w:rFonts w:ascii="標楷體" w:eastAsia="標楷體" w:hAnsi="標楷體"/>
                                <w:color w:val="000000" w:themeColor="text1"/>
                                <w:sz w:val="20"/>
                              </w:rPr>
                            </w:pPr>
                            <w:r w:rsidRPr="00652443">
                              <w:rPr>
                                <w:rFonts w:ascii="標楷體" w:eastAsia="標楷體" w:hAnsi="標楷體" w:hint="eastAsia"/>
                                <w:color w:val="000000" w:themeColor="text1"/>
                                <w:sz w:val="20"/>
                              </w:rPr>
                              <w:t>5</w:t>
                            </w:r>
                            <w:r w:rsidRPr="00652443">
                              <w:rPr>
                                <w:rFonts w:ascii="標楷體" w:eastAsia="標楷體" w:hAnsi="標楷體"/>
                                <w:color w:val="000000" w:themeColor="text1"/>
                                <w:sz w:val="20"/>
                              </w:rPr>
                              <w:t>1.59</w:t>
                            </w:r>
                          </w:p>
                        </w:tc>
                      </w:tr>
                      <w:tr w:rsidR="00A0212B" w:rsidRPr="0031155B" w14:paraId="6FC67D6C" w14:textId="77777777" w:rsidTr="0082388E">
                        <w:trPr>
                          <w:jc w:val="center"/>
                        </w:trPr>
                        <w:tc>
                          <w:tcPr>
                            <w:tcW w:w="1696" w:type="dxa"/>
                            <w:vMerge w:val="restart"/>
                            <w:vAlign w:val="center"/>
                          </w:tcPr>
                          <w:p w14:paraId="4CC43C10" w14:textId="77777777" w:rsidR="00A0212B" w:rsidRPr="00652443" w:rsidRDefault="00A0212B" w:rsidP="000131EC">
                            <w:pPr>
                              <w:spacing w:line="266" w:lineRule="exact"/>
                              <w:jc w:val="distribute"/>
                              <w:rPr>
                                <w:rFonts w:ascii="標楷體" w:eastAsia="標楷體" w:hAnsi="標楷體"/>
                                <w:sz w:val="20"/>
                              </w:rPr>
                            </w:pPr>
                            <w:r w:rsidRPr="00652443">
                              <w:rPr>
                                <w:rFonts w:ascii="標楷體" w:eastAsia="標楷體" w:hAnsi="標楷體" w:hint="eastAsia"/>
                                <w:sz w:val="20"/>
                              </w:rPr>
                              <w:t>衛生福利部</w:t>
                            </w:r>
                          </w:p>
                        </w:tc>
                        <w:tc>
                          <w:tcPr>
                            <w:tcW w:w="2127" w:type="dxa"/>
                          </w:tcPr>
                          <w:p w14:paraId="1F4114DF" w14:textId="77777777" w:rsidR="00A0212B" w:rsidRPr="00652443" w:rsidRDefault="00A0212B" w:rsidP="000131EC">
                            <w:pPr>
                              <w:spacing w:line="240" w:lineRule="exact"/>
                              <w:jc w:val="both"/>
                              <w:rPr>
                                <w:rFonts w:ascii="標楷體" w:eastAsia="標楷體" w:hAnsi="標楷體"/>
                                <w:sz w:val="20"/>
                              </w:rPr>
                            </w:pPr>
                            <w:r w:rsidRPr="00652443">
                              <w:rPr>
                                <w:rFonts w:ascii="標楷體" w:eastAsia="標楷體" w:hAnsi="標楷體" w:hint="eastAsia"/>
                                <w:sz w:val="20"/>
                              </w:rPr>
                              <w:t>社會福利多元服務與實證決策模式計畫</w:t>
                            </w:r>
                          </w:p>
                        </w:tc>
                        <w:tc>
                          <w:tcPr>
                            <w:tcW w:w="991" w:type="dxa"/>
                            <w:vAlign w:val="center"/>
                          </w:tcPr>
                          <w:p w14:paraId="1ECA676F"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5</w:t>
                            </w:r>
                            <w:r w:rsidRPr="00652443">
                              <w:rPr>
                                <w:rFonts w:ascii="標楷體" w:eastAsia="標楷體" w:hAnsi="標楷體"/>
                                <w:sz w:val="20"/>
                              </w:rPr>
                              <w:t>7.13</w:t>
                            </w:r>
                          </w:p>
                        </w:tc>
                        <w:tc>
                          <w:tcPr>
                            <w:tcW w:w="992" w:type="dxa"/>
                            <w:vAlign w:val="center"/>
                          </w:tcPr>
                          <w:p w14:paraId="55EEDE8C"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2</w:t>
                            </w:r>
                            <w:r w:rsidRPr="00652443">
                              <w:rPr>
                                <w:rFonts w:ascii="標楷體" w:eastAsia="標楷體" w:hAnsi="標楷體"/>
                                <w:sz w:val="20"/>
                              </w:rPr>
                              <w:t>5.48</w:t>
                            </w:r>
                          </w:p>
                        </w:tc>
                        <w:tc>
                          <w:tcPr>
                            <w:tcW w:w="992" w:type="dxa"/>
                            <w:vAlign w:val="center"/>
                          </w:tcPr>
                          <w:p w14:paraId="47DC76CD"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3.08</w:t>
                            </w:r>
                          </w:p>
                        </w:tc>
                      </w:tr>
                      <w:tr w:rsidR="00A0212B" w:rsidRPr="0031155B" w14:paraId="14D53276" w14:textId="77777777" w:rsidTr="0082388E">
                        <w:trPr>
                          <w:jc w:val="center"/>
                        </w:trPr>
                        <w:tc>
                          <w:tcPr>
                            <w:tcW w:w="1696" w:type="dxa"/>
                            <w:vMerge/>
                            <w:vAlign w:val="center"/>
                          </w:tcPr>
                          <w:p w14:paraId="2CC6881B" w14:textId="77777777" w:rsidR="00A0212B" w:rsidRPr="00652443" w:rsidRDefault="00A0212B" w:rsidP="000131EC">
                            <w:pPr>
                              <w:spacing w:line="266" w:lineRule="exact"/>
                              <w:jc w:val="distribute"/>
                              <w:rPr>
                                <w:rFonts w:ascii="標楷體" w:eastAsia="標楷體" w:hAnsi="標楷體"/>
                                <w:sz w:val="20"/>
                              </w:rPr>
                            </w:pPr>
                          </w:p>
                        </w:tc>
                        <w:tc>
                          <w:tcPr>
                            <w:tcW w:w="2127" w:type="dxa"/>
                          </w:tcPr>
                          <w:p w14:paraId="57602EA0" w14:textId="77777777" w:rsidR="00A0212B" w:rsidRPr="00652443" w:rsidRDefault="00A0212B" w:rsidP="000131EC">
                            <w:pPr>
                              <w:spacing w:line="240" w:lineRule="exact"/>
                              <w:jc w:val="both"/>
                              <w:rPr>
                                <w:rFonts w:ascii="標楷體" w:eastAsia="標楷體" w:hAnsi="標楷體"/>
                                <w:spacing w:val="-6"/>
                                <w:sz w:val="20"/>
                              </w:rPr>
                            </w:pPr>
                            <w:r w:rsidRPr="00652443">
                              <w:rPr>
                                <w:rFonts w:ascii="標楷體" w:eastAsia="標楷體" w:hAnsi="標楷體" w:hint="eastAsia"/>
                                <w:spacing w:val="-6"/>
                                <w:sz w:val="20"/>
                              </w:rPr>
                              <w:t>資安跨域整合聯防計畫</w:t>
                            </w:r>
                          </w:p>
                        </w:tc>
                        <w:tc>
                          <w:tcPr>
                            <w:tcW w:w="991" w:type="dxa"/>
                            <w:vAlign w:val="center"/>
                          </w:tcPr>
                          <w:p w14:paraId="1FE9A085"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5.73</w:t>
                            </w:r>
                          </w:p>
                        </w:tc>
                        <w:tc>
                          <w:tcPr>
                            <w:tcW w:w="992" w:type="dxa"/>
                            <w:vAlign w:val="center"/>
                          </w:tcPr>
                          <w:p w14:paraId="60BFD379"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3</w:t>
                            </w:r>
                            <w:r w:rsidRPr="00652443">
                              <w:rPr>
                                <w:rFonts w:ascii="標楷體" w:eastAsia="標楷體" w:hAnsi="標楷體"/>
                                <w:sz w:val="20"/>
                              </w:rPr>
                              <w:t>3.32</w:t>
                            </w:r>
                          </w:p>
                        </w:tc>
                        <w:tc>
                          <w:tcPr>
                            <w:tcW w:w="992" w:type="dxa"/>
                            <w:vAlign w:val="center"/>
                          </w:tcPr>
                          <w:p w14:paraId="3A20BBE6"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2</w:t>
                            </w:r>
                            <w:r w:rsidRPr="00652443">
                              <w:rPr>
                                <w:rFonts w:ascii="標楷體" w:eastAsia="標楷體" w:hAnsi="標楷體"/>
                                <w:sz w:val="20"/>
                              </w:rPr>
                              <w:t>0.68</w:t>
                            </w:r>
                          </w:p>
                        </w:tc>
                      </w:tr>
                      <w:tr w:rsidR="00A0212B" w:rsidRPr="0031155B" w14:paraId="7C5DC560" w14:textId="77777777" w:rsidTr="0082388E">
                        <w:trPr>
                          <w:jc w:val="center"/>
                        </w:trPr>
                        <w:tc>
                          <w:tcPr>
                            <w:tcW w:w="1696" w:type="dxa"/>
                            <w:vAlign w:val="center"/>
                          </w:tcPr>
                          <w:p w14:paraId="51FD8C6B" w14:textId="77777777" w:rsidR="00A0212B" w:rsidRPr="00652443" w:rsidRDefault="00A0212B" w:rsidP="000131EC">
                            <w:pPr>
                              <w:spacing w:line="266" w:lineRule="exact"/>
                              <w:jc w:val="distribute"/>
                              <w:rPr>
                                <w:rFonts w:ascii="標楷體" w:eastAsia="標楷體" w:hAnsi="標楷體"/>
                                <w:sz w:val="20"/>
                              </w:rPr>
                            </w:pPr>
                            <w:r w:rsidRPr="00652443">
                              <w:rPr>
                                <w:rFonts w:ascii="標楷體" w:eastAsia="標楷體" w:hAnsi="標楷體" w:hint="eastAsia"/>
                                <w:sz w:val="20"/>
                              </w:rPr>
                              <w:t>教育部</w:t>
                            </w:r>
                          </w:p>
                        </w:tc>
                        <w:tc>
                          <w:tcPr>
                            <w:tcW w:w="2127" w:type="dxa"/>
                          </w:tcPr>
                          <w:p w14:paraId="0700BD84" w14:textId="77777777" w:rsidR="00A0212B" w:rsidRPr="00652443" w:rsidRDefault="00A0212B" w:rsidP="000131EC">
                            <w:pPr>
                              <w:spacing w:line="240" w:lineRule="exact"/>
                              <w:jc w:val="both"/>
                              <w:rPr>
                                <w:rFonts w:ascii="標楷體" w:eastAsia="標楷體" w:hAnsi="標楷體"/>
                                <w:sz w:val="20"/>
                              </w:rPr>
                            </w:pPr>
                            <w:r w:rsidRPr="00652443">
                              <w:rPr>
                                <w:rFonts w:ascii="標楷體" w:eastAsia="標楷體" w:hAnsi="標楷體" w:hint="eastAsia"/>
                                <w:sz w:val="20"/>
                              </w:rPr>
                              <w:t>臺灣資安卓越深耕</w:t>
                            </w:r>
                            <w:r>
                              <w:rPr>
                                <w:rFonts w:ascii="標楷體" w:eastAsia="標楷體" w:hAnsi="標楷體" w:hint="eastAsia"/>
                                <w:sz w:val="20"/>
                              </w:rPr>
                              <w:t>－</w:t>
                            </w:r>
                            <w:r w:rsidRPr="00652443">
                              <w:rPr>
                                <w:rFonts w:ascii="標楷體" w:eastAsia="標楷體" w:hAnsi="標楷體" w:hint="eastAsia"/>
                                <w:sz w:val="20"/>
                              </w:rPr>
                              <w:t>擴增資安師資計畫</w:t>
                            </w:r>
                          </w:p>
                        </w:tc>
                        <w:tc>
                          <w:tcPr>
                            <w:tcW w:w="991" w:type="dxa"/>
                            <w:vAlign w:val="center"/>
                          </w:tcPr>
                          <w:p w14:paraId="42731FDC"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1</w:t>
                            </w:r>
                            <w:r w:rsidRPr="00652443">
                              <w:rPr>
                                <w:rFonts w:ascii="標楷體" w:eastAsia="標楷體" w:hAnsi="標楷體"/>
                                <w:sz w:val="20"/>
                              </w:rPr>
                              <w:t>0.56</w:t>
                            </w:r>
                          </w:p>
                        </w:tc>
                        <w:tc>
                          <w:tcPr>
                            <w:tcW w:w="992" w:type="dxa"/>
                            <w:vAlign w:val="center"/>
                          </w:tcPr>
                          <w:p w14:paraId="559A0985"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2</w:t>
                            </w:r>
                            <w:r w:rsidRPr="00652443">
                              <w:rPr>
                                <w:rFonts w:ascii="標楷體" w:eastAsia="標楷體" w:hAnsi="標楷體"/>
                                <w:sz w:val="20"/>
                              </w:rPr>
                              <w:t>9.07</w:t>
                            </w:r>
                          </w:p>
                        </w:tc>
                        <w:tc>
                          <w:tcPr>
                            <w:tcW w:w="992" w:type="dxa"/>
                            <w:vAlign w:val="center"/>
                          </w:tcPr>
                          <w:p w14:paraId="116C21EA"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3</w:t>
                            </w:r>
                            <w:r w:rsidRPr="00652443">
                              <w:rPr>
                                <w:rFonts w:ascii="標楷體" w:eastAsia="標楷體" w:hAnsi="標楷體"/>
                                <w:sz w:val="20"/>
                              </w:rPr>
                              <w:t>7.03</w:t>
                            </w:r>
                          </w:p>
                        </w:tc>
                      </w:tr>
                      <w:tr w:rsidR="00A0212B" w:rsidRPr="0031155B" w14:paraId="611743FE" w14:textId="77777777" w:rsidTr="0082388E">
                        <w:trPr>
                          <w:jc w:val="center"/>
                        </w:trPr>
                        <w:tc>
                          <w:tcPr>
                            <w:tcW w:w="1696" w:type="dxa"/>
                            <w:vAlign w:val="center"/>
                          </w:tcPr>
                          <w:p w14:paraId="3469FCFF" w14:textId="77777777" w:rsidR="00A0212B" w:rsidRPr="00652443" w:rsidRDefault="00A0212B" w:rsidP="000131EC">
                            <w:pPr>
                              <w:spacing w:line="266" w:lineRule="exact"/>
                              <w:jc w:val="distribute"/>
                              <w:rPr>
                                <w:rFonts w:ascii="標楷體" w:eastAsia="標楷體" w:hAnsi="標楷體"/>
                                <w:sz w:val="20"/>
                              </w:rPr>
                            </w:pPr>
                            <w:r w:rsidRPr="00652443">
                              <w:rPr>
                                <w:rFonts w:ascii="標楷體" w:eastAsia="標楷體" w:hAnsi="標楷體" w:hint="eastAsia"/>
                                <w:sz w:val="20"/>
                              </w:rPr>
                              <w:t>交通部</w:t>
                            </w:r>
                          </w:p>
                        </w:tc>
                        <w:tc>
                          <w:tcPr>
                            <w:tcW w:w="2127" w:type="dxa"/>
                          </w:tcPr>
                          <w:p w14:paraId="611B85B2" w14:textId="77777777" w:rsidR="00A0212B" w:rsidRPr="00652443" w:rsidRDefault="00A0212B" w:rsidP="000131EC">
                            <w:pPr>
                              <w:spacing w:line="240" w:lineRule="exact"/>
                              <w:jc w:val="both"/>
                              <w:rPr>
                                <w:rFonts w:ascii="標楷體" w:eastAsia="標楷體" w:hAnsi="標楷體"/>
                                <w:sz w:val="20"/>
                              </w:rPr>
                            </w:pPr>
                            <w:r w:rsidRPr="00652443">
                              <w:rPr>
                                <w:rFonts w:ascii="標楷體" w:eastAsia="標楷體" w:hAnsi="標楷體" w:hint="eastAsia"/>
                                <w:sz w:val="20"/>
                              </w:rPr>
                              <w:t>氣象雷達災防預警技術提升計畫</w:t>
                            </w:r>
                          </w:p>
                        </w:tc>
                        <w:tc>
                          <w:tcPr>
                            <w:tcW w:w="991" w:type="dxa"/>
                            <w:vAlign w:val="center"/>
                          </w:tcPr>
                          <w:p w14:paraId="77E4ED4E"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6.06</w:t>
                            </w:r>
                          </w:p>
                        </w:tc>
                        <w:tc>
                          <w:tcPr>
                            <w:tcW w:w="992" w:type="dxa"/>
                            <w:vAlign w:val="center"/>
                          </w:tcPr>
                          <w:p w14:paraId="2470BBE7"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6</w:t>
                            </w:r>
                            <w:r w:rsidRPr="00652443">
                              <w:rPr>
                                <w:rFonts w:ascii="標楷體" w:eastAsia="標楷體" w:hAnsi="標楷體"/>
                                <w:sz w:val="20"/>
                              </w:rPr>
                              <w:t>0.25</w:t>
                            </w:r>
                          </w:p>
                        </w:tc>
                        <w:tc>
                          <w:tcPr>
                            <w:tcW w:w="992" w:type="dxa"/>
                            <w:vAlign w:val="center"/>
                          </w:tcPr>
                          <w:p w14:paraId="13E55C6B" w14:textId="77777777" w:rsidR="00A0212B" w:rsidRPr="00652443" w:rsidRDefault="00A0212B" w:rsidP="000131EC">
                            <w:pPr>
                              <w:spacing w:line="280" w:lineRule="exact"/>
                              <w:jc w:val="right"/>
                              <w:rPr>
                                <w:rFonts w:ascii="標楷體" w:eastAsia="標楷體" w:hAnsi="標楷體"/>
                                <w:sz w:val="20"/>
                              </w:rPr>
                            </w:pPr>
                            <w:r w:rsidRPr="00652443">
                              <w:rPr>
                                <w:rFonts w:ascii="標楷體" w:eastAsia="標楷體" w:hAnsi="標楷體" w:hint="eastAsia"/>
                                <w:sz w:val="20"/>
                              </w:rPr>
                              <w:t>7</w:t>
                            </w:r>
                            <w:r w:rsidRPr="00652443">
                              <w:rPr>
                                <w:rFonts w:ascii="標楷體" w:eastAsia="標楷體" w:hAnsi="標楷體"/>
                                <w:sz w:val="20"/>
                              </w:rPr>
                              <w:t>3.88</w:t>
                            </w:r>
                          </w:p>
                        </w:tc>
                      </w:tr>
                    </w:tbl>
                    <w:p w14:paraId="54986048" w14:textId="77777777" w:rsidR="00A0212B" w:rsidRPr="0031155B" w:rsidRDefault="00A0212B" w:rsidP="000131EC">
                      <w:pPr>
                        <w:spacing w:line="260" w:lineRule="exact"/>
                        <w:rPr>
                          <w:rFonts w:ascii="標楷體" w:eastAsia="標楷體" w:hAnsi="標楷體"/>
                          <w:sz w:val="18"/>
                        </w:rPr>
                      </w:pPr>
                      <w:r w:rsidRPr="0031155B">
                        <w:rPr>
                          <w:rFonts w:ascii="標楷體" w:eastAsia="標楷體" w:hAnsi="標楷體" w:hint="eastAsia"/>
                          <w:sz w:val="18"/>
                        </w:rPr>
                        <w:t>資料來源：整理自各機關（單位</w:t>
                      </w:r>
                      <w:r>
                        <w:rPr>
                          <w:rFonts w:ascii="標楷體" w:eastAsia="標楷體" w:hAnsi="標楷體" w:hint="eastAsia"/>
                          <w:sz w:val="18"/>
                        </w:rPr>
                        <w:t>）</w:t>
                      </w:r>
                      <w:r w:rsidRPr="0031155B">
                        <w:rPr>
                          <w:rFonts w:ascii="標楷體" w:eastAsia="標楷體" w:hAnsi="標楷體" w:hint="eastAsia"/>
                          <w:sz w:val="18"/>
                        </w:rPr>
                        <w:t>查填資料。</w:t>
                      </w:r>
                    </w:p>
                  </w:txbxContent>
                </v:textbox>
                <w10:wrap type="square" anchorx="margin" anchory="page"/>
              </v:shape>
            </w:pict>
          </mc:Fallback>
        </mc:AlternateContent>
      </w:r>
      <w:r w:rsidR="00040225" w:rsidRPr="00AD6D2F">
        <w:rPr>
          <w:rFonts w:ascii="標楷體" w:eastAsia="標楷體" w:hAnsi="標楷體" w:hint="eastAsia"/>
          <w:kern w:val="0"/>
          <w:szCs w:val="32"/>
        </w:rPr>
        <w:t>及預算編審之參考。</w:t>
      </w:r>
      <w:r w:rsidR="00040225">
        <w:rPr>
          <w:rFonts w:ascii="標楷體" w:eastAsia="標楷體" w:hAnsi="標楷體" w:hint="eastAsia"/>
          <w:kern w:val="0"/>
          <w:szCs w:val="32"/>
        </w:rPr>
        <w:t>另查，</w:t>
      </w:r>
      <w:r w:rsidR="00040225" w:rsidRPr="00AD6D2F">
        <w:rPr>
          <w:rFonts w:ascii="標楷體" w:eastAsia="標楷體" w:hAnsi="標楷體" w:hint="eastAsia"/>
          <w:kern w:val="0"/>
          <w:szCs w:val="32"/>
        </w:rPr>
        <w:t>部分機關（單位）辦理科技計畫管制評核作業，核有未依規定公開計畫評核結果，或評核內容未有具體評核意見，或與實際執行情形存有落差等情事，前經本部函請行政院督促檢討改善，據復已要求各主管機關確依規定落實辦理管制評核作業，並於辦理教育訓練時，提醒各主管機關評核結果揭露之重要性，提升各機關作業知能。</w:t>
      </w:r>
      <w:r w:rsidR="00040225">
        <w:rPr>
          <w:rFonts w:ascii="標楷體" w:eastAsia="標楷體" w:hAnsi="標楷體" w:hint="eastAsia"/>
          <w:kern w:val="0"/>
          <w:szCs w:val="32"/>
        </w:rPr>
        <w:t>經</w:t>
      </w:r>
      <w:r w:rsidR="00040225" w:rsidRPr="00AD6D2F">
        <w:rPr>
          <w:rFonts w:ascii="標楷體" w:eastAsia="標楷體" w:hAnsi="標楷體" w:hint="eastAsia"/>
          <w:kern w:val="0"/>
          <w:szCs w:val="32"/>
        </w:rPr>
        <w:t>追蹤查核結果，112年度公告評核情形</w:t>
      </w:r>
      <w:r w:rsidR="00040225">
        <w:rPr>
          <w:rFonts w:ascii="標楷體" w:eastAsia="標楷體" w:hAnsi="標楷體" w:hint="eastAsia"/>
          <w:kern w:val="0"/>
          <w:szCs w:val="32"/>
        </w:rPr>
        <w:t>，</w:t>
      </w:r>
      <w:r w:rsidR="00040225" w:rsidRPr="00AD6D2F">
        <w:rPr>
          <w:rFonts w:ascii="標楷體" w:eastAsia="標楷體" w:hAnsi="標楷體" w:hint="eastAsia"/>
          <w:kern w:val="0"/>
          <w:szCs w:val="32"/>
        </w:rPr>
        <w:t>仍有：（1）科發基金、交通部及行政院國土安全辦公室辦理之部會管制與自行管制計畫，未依行政院所屬各機關個案計畫管制評核作業要點規定，於113年4月30日前公告評核結果；（2）國科會、經濟部、</w:t>
      </w:r>
      <w:r w:rsidR="00A51CA6">
        <w:rPr>
          <w:rFonts w:ascii="標楷體" w:eastAsia="標楷體" w:hAnsi="標楷體" w:hint="eastAsia"/>
          <w:kern w:val="0"/>
          <w:szCs w:val="32"/>
        </w:rPr>
        <w:t>經濟部能源署</w:t>
      </w:r>
      <w:r w:rsidR="00040225" w:rsidRPr="00AD6D2F">
        <w:rPr>
          <w:rFonts w:ascii="標楷體" w:eastAsia="標楷體" w:hAnsi="標楷體" w:hint="eastAsia"/>
          <w:kern w:val="0"/>
          <w:szCs w:val="32"/>
        </w:rPr>
        <w:t>、內政部及國史館部分計畫之評核意見與111年度大致相同；（3）經濟部、經濟部標準檢驗局、經濟部中小企業處（112年9月26日改制為經濟部中小及新創企業署）與法務部等評核意見簡要，未有具體評核意見，尚難作為以後年度精進及滾動調整計畫執行之參據等情事。經函請行政院督促有關機關加強計畫執行，並落實管制評核</w:t>
      </w:r>
      <w:r w:rsidR="00040225" w:rsidRPr="00AD6D2F">
        <w:rPr>
          <w:rFonts w:ascii="標楷體" w:eastAsia="標楷體" w:hAnsi="標楷體" w:hint="eastAsia"/>
          <w:kern w:val="0"/>
          <w:szCs w:val="32"/>
        </w:rPr>
        <w:lastRenderedPageBreak/>
        <w:t>作業，俾提升計畫執行績效，驅動科技發展及產業動能。</w:t>
      </w:r>
      <w:r w:rsidR="00BB2C36" w:rsidRPr="00BB2C36">
        <w:rPr>
          <w:rFonts w:ascii="標楷體" w:eastAsia="標楷體" w:hAnsi="標楷體" w:hint="eastAsia"/>
          <w:kern w:val="0"/>
          <w:szCs w:val="32"/>
        </w:rPr>
        <w:t>據復：各主管機關將督促依期程加速辦理，提早規劃委辦或補助計畫及相關採購作業，並強化評核意見之陳述，落實管制評核作業，以作為以後年度精進之參考。</w:t>
      </w:r>
    </w:p>
    <w:p w14:paraId="339E6E86" w14:textId="1D91240F" w:rsidR="00040225" w:rsidRPr="00AD6D2F" w:rsidRDefault="00040225" w:rsidP="004D7C92">
      <w:pPr>
        <w:overflowPunct w:val="0"/>
        <w:adjustRightInd w:val="0"/>
        <w:snapToGrid w:val="0"/>
        <w:spacing w:line="460" w:lineRule="exact"/>
        <w:ind w:firstLineChars="385" w:firstLine="925"/>
        <w:jc w:val="both"/>
        <w:rPr>
          <w:rFonts w:ascii="標楷體" w:eastAsia="標楷體" w:hAnsi="標楷體"/>
          <w:spacing w:val="-4"/>
          <w:kern w:val="0"/>
          <w:szCs w:val="24"/>
        </w:rPr>
      </w:pPr>
      <w:r w:rsidRPr="00AD6D2F">
        <w:rPr>
          <w:rFonts w:ascii="標楷體" w:eastAsia="標楷體" w:hAnsi="標楷體" w:hint="eastAsia"/>
          <w:b/>
          <w:kern w:val="0"/>
          <w:szCs w:val="24"/>
        </w:rPr>
        <w:t>2.　部分機關未落實檢討計畫退場，將政府有限資源投入重要之科技研發課題，</w:t>
      </w:r>
      <w:r>
        <w:rPr>
          <w:rFonts w:ascii="標楷體" w:eastAsia="標楷體" w:hAnsi="標楷體" w:hint="eastAsia"/>
          <w:b/>
          <w:kern w:val="0"/>
          <w:szCs w:val="24"/>
        </w:rPr>
        <w:t>或</w:t>
      </w:r>
      <w:r w:rsidRPr="00AD6D2F">
        <w:rPr>
          <w:rFonts w:ascii="標楷體" w:eastAsia="標楷體" w:hAnsi="標楷體" w:hint="eastAsia"/>
          <w:b/>
          <w:kern w:val="0"/>
          <w:szCs w:val="24"/>
        </w:rPr>
        <w:t>研究量能未相對應提升：</w:t>
      </w:r>
      <w:r w:rsidRPr="00AD6D2F">
        <w:rPr>
          <w:rFonts w:ascii="標楷體" w:eastAsia="標楷體" w:hAnsi="標楷體" w:hint="eastAsia"/>
          <w:kern w:val="0"/>
          <w:szCs w:val="24"/>
        </w:rPr>
        <w:t>近年中央政府總預算科技發展計畫經費由110年度之941億餘元，增加至113年度之1,306億餘元，成長38.74％，主要係政府為厚實基礎研究，及因應新興科技與產業發展需求，112及113年度新增推動淨零科技方案、高齡科技產業行動計畫及晶片驅動臺灣產業創新方案（下稱晶創方案），並擴增基礎科學研究、太空及量子科技相關計畫經費所致。依據政府科技發展計畫概算編製暨審議作業手冊列載，各機關應確實檢討不合時宜、績效不彰之工作項目，將經費優先支應配合國家推動之智慧國家、五加二產業創新政策、六大核心戰略產</w:t>
      </w:r>
      <w:r w:rsidR="000131EC" w:rsidRPr="00AD6D2F">
        <w:rPr>
          <w:rFonts w:ascii="標楷體" w:eastAsia="標楷體" w:hAnsi="標楷體" w:hint="eastAsia"/>
          <w:noProof/>
          <w:kern w:val="0"/>
          <w:szCs w:val="24"/>
        </w:rPr>
        <mc:AlternateContent>
          <mc:Choice Requires="wps">
            <w:drawing>
              <wp:anchor distT="0" distB="0" distL="114300" distR="114300" simplePos="0" relativeHeight="251673600" behindDoc="0" locked="0" layoutInCell="1" allowOverlap="1" wp14:anchorId="05232759" wp14:editId="7ACB862B">
                <wp:simplePos x="0" y="0"/>
                <wp:positionH relativeFrom="column">
                  <wp:posOffset>2525607</wp:posOffset>
                </wp:positionH>
                <wp:positionV relativeFrom="paragraph">
                  <wp:posOffset>1845098</wp:posOffset>
                </wp:positionV>
                <wp:extent cx="3776980" cy="4444365"/>
                <wp:effectExtent l="0" t="0" r="0" b="0"/>
                <wp:wrapSquare wrapText="bothSides"/>
                <wp:docPr id="92" name="文字方塊 92"/>
                <wp:cNvGraphicFramePr/>
                <a:graphic xmlns:a="http://schemas.openxmlformats.org/drawingml/2006/main">
                  <a:graphicData uri="http://schemas.microsoft.com/office/word/2010/wordprocessingShape">
                    <wps:wsp>
                      <wps:cNvSpPr txBox="1"/>
                      <wps:spPr>
                        <a:xfrm>
                          <a:off x="0" y="0"/>
                          <a:ext cx="3776980" cy="4444365"/>
                        </a:xfrm>
                        <a:prstGeom prst="rect">
                          <a:avLst/>
                        </a:prstGeom>
                        <a:solidFill>
                          <a:schemeClr val="lt1"/>
                        </a:solidFill>
                        <a:ln w="6350">
                          <a:noFill/>
                        </a:ln>
                      </wps:spPr>
                      <wps:txbx>
                        <w:txbxContent>
                          <w:p w14:paraId="1678759E" w14:textId="64076755" w:rsidR="00A0212B" w:rsidRDefault="00A0212B" w:rsidP="00E31547">
                            <w:pPr>
                              <w:spacing w:line="320" w:lineRule="exact"/>
                              <w:ind w:left="841" w:rightChars="-5" w:right="-12" w:hangingChars="350" w:hanging="841"/>
                              <w:jc w:val="center"/>
                              <w:rPr>
                                <w:rFonts w:ascii="標楷體" w:eastAsia="標楷體" w:hAnsi="標楷體"/>
                                <w:b/>
                              </w:rPr>
                            </w:pPr>
                            <w:r>
                              <w:rPr>
                                <w:rFonts w:ascii="標楷體" w:eastAsia="標楷體" w:hAnsi="標楷體" w:hint="eastAsia"/>
                                <w:b/>
                              </w:rPr>
                              <w:t>表</w:t>
                            </w:r>
                            <w:r>
                              <w:rPr>
                                <w:rFonts w:ascii="標楷體" w:eastAsia="標楷體" w:hAnsi="標楷體"/>
                                <w:b/>
                              </w:rPr>
                              <w:t>28</w:t>
                            </w:r>
                            <w:r>
                              <w:rPr>
                                <w:rFonts w:ascii="標楷體" w:eastAsia="標楷體" w:hAnsi="標楷體" w:hint="eastAsia"/>
                                <w:b/>
                              </w:rPr>
                              <w:t xml:space="preserve">　</w:t>
                            </w:r>
                            <w:r w:rsidRPr="008E6277">
                              <w:rPr>
                                <w:rFonts w:ascii="標楷體" w:eastAsia="標楷體" w:hAnsi="標楷體" w:hint="eastAsia"/>
                                <w:b/>
                              </w:rPr>
                              <w:t>檢討科技經費退場金額占整體科技經費比率</w:t>
                            </w:r>
                          </w:p>
                          <w:p w14:paraId="2644DAAF" w14:textId="77777777" w:rsidR="00A0212B" w:rsidRPr="00BA7F2A" w:rsidRDefault="00A0212B" w:rsidP="000131EC">
                            <w:pPr>
                              <w:adjustRightInd w:val="0"/>
                              <w:snapToGrid w:val="0"/>
                              <w:spacing w:line="260" w:lineRule="exact"/>
                              <w:ind w:left="410" w:rightChars="-5" w:right="-12" w:hangingChars="205" w:hanging="410"/>
                              <w:jc w:val="right"/>
                              <w:rPr>
                                <w:rFonts w:ascii="標楷體" w:eastAsia="標楷體" w:hAnsi="標楷體"/>
                                <w:sz w:val="20"/>
                                <w:szCs w:val="28"/>
                              </w:rPr>
                            </w:pPr>
                            <w:r w:rsidRPr="00BA7F2A">
                              <w:rPr>
                                <w:rFonts w:ascii="標楷體" w:eastAsia="標楷體" w:hAnsi="標楷體" w:hint="eastAsia"/>
                                <w:sz w:val="20"/>
                                <w:szCs w:val="28"/>
                              </w:rPr>
                              <w:t>單位：新臺幣億元、％</w:t>
                            </w:r>
                          </w:p>
                          <w:tbl>
                            <w:tblPr>
                              <w:tblW w:w="5632"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96"/>
                              <w:gridCol w:w="993"/>
                              <w:gridCol w:w="1275"/>
                              <w:gridCol w:w="993"/>
                              <w:gridCol w:w="1275"/>
                            </w:tblGrid>
                            <w:tr w:rsidR="00A0212B" w:rsidRPr="00BA7F2A" w14:paraId="45211326" w14:textId="77777777" w:rsidTr="000131EC">
                              <w:trPr>
                                <w:trHeight w:val="324"/>
                                <w:tblHeader/>
                              </w:trPr>
                              <w:tc>
                                <w:tcPr>
                                  <w:tcW w:w="1096" w:type="dxa"/>
                                  <w:vMerge w:val="restart"/>
                                  <w:shd w:val="clear" w:color="auto" w:fill="auto"/>
                                  <w:noWrap/>
                                  <w:vAlign w:val="center"/>
                                  <w:hideMark/>
                                </w:tcPr>
                                <w:p w14:paraId="3A862C76"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主管機關</w:t>
                                  </w:r>
                                </w:p>
                              </w:tc>
                              <w:tc>
                                <w:tcPr>
                                  <w:tcW w:w="2268" w:type="dxa"/>
                                  <w:gridSpan w:val="2"/>
                                  <w:vAlign w:val="center"/>
                                </w:tcPr>
                                <w:p w14:paraId="4864903F" w14:textId="77777777" w:rsidR="00A0212B" w:rsidRPr="009768E7"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1</w:t>
                                  </w:r>
                                  <w:r w:rsidRPr="009768E7">
                                    <w:rPr>
                                      <w:rFonts w:ascii="標楷體" w:eastAsia="標楷體" w:hAnsi="標楷體"/>
                                      <w:sz w:val="20"/>
                                    </w:rPr>
                                    <w:t>1</w:t>
                                  </w:r>
                                  <w:r w:rsidRPr="00BA7F2A">
                                    <w:rPr>
                                      <w:rFonts w:ascii="標楷體" w:eastAsia="標楷體" w:hAnsi="標楷體" w:hint="eastAsia"/>
                                      <w:sz w:val="20"/>
                                    </w:rPr>
                                    <w:t>1</w:t>
                                  </w:r>
                                  <w:r w:rsidRPr="009768E7">
                                    <w:rPr>
                                      <w:rFonts w:ascii="標楷體" w:eastAsia="標楷體" w:hAnsi="標楷體" w:hint="eastAsia"/>
                                      <w:sz w:val="20"/>
                                    </w:rPr>
                                    <w:t>年度</w:t>
                                  </w:r>
                                </w:p>
                              </w:tc>
                              <w:tc>
                                <w:tcPr>
                                  <w:tcW w:w="2268" w:type="dxa"/>
                                  <w:gridSpan w:val="2"/>
                                  <w:shd w:val="clear" w:color="auto" w:fill="auto"/>
                                  <w:noWrap/>
                                  <w:vAlign w:val="center"/>
                                </w:tcPr>
                                <w:p w14:paraId="54FE9182" w14:textId="77777777" w:rsidR="00A0212B" w:rsidRPr="009768E7"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1</w:t>
                                  </w:r>
                                  <w:r w:rsidRPr="009768E7">
                                    <w:rPr>
                                      <w:rFonts w:ascii="標楷體" w:eastAsia="標楷體" w:hAnsi="標楷體"/>
                                      <w:sz w:val="20"/>
                                    </w:rPr>
                                    <w:t>1</w:t>
                                  </w:r>
                                  <w:r w:rsidRPr="00BA7F2A">
                                    <w:rPr>
                                      <w:rFonts w:ascii="標楷體" w:eastAsia="標楷體" w:hAnsi="標楷體"/>
                                      <w:sz w:val="20"/>
                                    </w:rPr>
                                    <w:t>2</w:t>
                                  </w:r>
                                  <w:r w:rsidRPr="009768E7">
                                    <w:rPr>
                                      <w:rFonts w:ascii="標楷體" w:eastAsia="標楷體" w:hAnsi="標楷體" w:hint="eastAsia"/>
                                      <w:sz w:val="20"/>
                                    </w:rPr>
                                    <w:t>年度</w:t>
                                  </w:r>
                                </w:p>
                              </w:tc>
                            </w:tr>
                            <w:tr w:rsidR="00A0212B" w:rsidRPr="00BA7F2A" w14:paraId="3B311305" w14:textId="77777777" w:rsidTr="000131EC">
                              <w:trPr>
                                <w:trHeight w:val="324"/>
                                <w:tblHeader/>
                              </w:trPr>
                              <w:tc>
                                <w:tcPr>
                                  <w:tcW w:w="1096" w:type="dxa"/>
                                  <w:vMerge/>
                                  <w:shd w:val="clear" w:color="auto" w:fill="auto"/>
                                  <w:noWrap/>
                                  <w:vAlign w:val="center"/>
                                </w:tcPr>
                                <w:p w14:paraId="20E87A5D" w14:textId="77777777" w:rsidR="00A0212B" w:rsidRPr="00BA7F2A"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p>
                              </w:tc>
                              <w:tc>
                                <w:tcPr>
                                  <w:tcW w:w="993" w:type="dxa"/>
                                  <w:vAlign w:val="center"/>
                                </w:tcPr>
                                <w:p w14:paraId="11AB084C" w14:textId="77777777" w:rsidR="00A0212B" w:rsidRPr="00BA7F2A"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退場金額</w:t>
                                  </w:r>
                                </w:p>
                              </w:tc>
                              <w:tc>
                                <w:tcPr>
                                  <w:tcW w:w="1275" w:type="dxa"/>
                                  <w:noWrap/>
                                  <w:vAlign w:val="center"/>
                                </w:tcPr>
                                <w:p w14:paraId="6969FC29" w14:textId="77777777" w:rsidR="00A0212B"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占機關整體</w:t>
                                  </w:r>
                                </w:p>
                                <w:p w14:paraId="21FBA5B6" w14:textId="77777777" w:rsidR="00A0212B" w:rsidRPr="00BA7F2A"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科技經費比率</w:t>
                                  </w:r>
                                </w:p>
                              </w:tc>
                              <w:tc>
                                <w:tcPr>
                                  <w:tcW w:w="993" w:type="dxa"/>
                                  <w:shd w:val="clear" w:color="auto" w:fill="auto"/>
                                  <w:noWrap/>
                                  <w:vAlign w:val="center"/>
                                </w:tcPr>
                                <w:p w14:paraId="4E10F169" w14:textId="77777777" w:rsidR="00A0212B" w:rsidRPr="00BA7F2A"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退場金額</w:t>
                                  </w:r>
                                </w:p>
                              </w:tc>
                              <w:tc>
                                <w:tcPr>
                                  <w:tcW w:w="1275" w:type="dxa"/>
                                  <w:shd w:val="clear" w:color="auto" w:fill="auto"/>
                                  <w:noWrap/>
                                  <w:vAlign w:val="center"/>
                                </w:tcPr>
                                <w:p w14:paraId="7B0A2F1E" w14:textId="77777777" w:rsidR="00A0212B" w:rsidRPr="009768E7"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占機關整體</w:t>
                                  </w:r>
                                </w:p>
                                <w:p w14:paraId="50BE9A44" w14:textId="77777777" w:rsidR="00A0212B" w:rsidRPr="00BA7F2A"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科技經費比率</w:t>
                                  </w:r>
                                </w:p>
                              </w:tc>
                            </w:tr>
                            <w:tr w:rsidR="00A0212B" w:rsidRPr="00BA7F2A" w14:paraId="7554D027" w14:textId="77777777" w:rsidTr="000131EC">
                              <w:trPr>
                                <w:trHeight w:val="283"/>
                              </w:trPr>
                              <w:tc>
                                <w:tcPr>
                                  <w:tcW w:w="1096" w:type="dxa"/>
                                  <w:shd w:val="clear" w:color="auto" w:fill="auto"/>
                                  <w:noWrap/>
                                  <w:vAlign w:val="center"/>
                                  <w:hideMark/>
                                </w:tcPr>
                                <w:p w14:paraId="64B38B5E"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國家科學及技術委員會</w:t>
                                  </w:r>
                                </w:p>
                              </w:tc>
                              <w:tc>
                                <w:tcPr>
                                  <w:tcW w:w="993" w:type="dxa"/>
                                  <w:vAlign w:val="center"/>
                                </w:tcPr>
                                <w:p w14:paraId="56F68C35"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w:t>
                                  </w:r>
                                  <w:r w:rsidRPr="009768E7">
                                    <w:rPr>
                                      <w:rFonts w:ascii="標楷體" w:eastAsia="標楷體" w:hAnsi="標楷體"/>
                                      <w:color w:val="000000" w:themeColor="text1"/>
                                      <w:sz w:val="20"/>
                                    </w:rPr>
                                    <w:t>3.13</w:t>
                                  </w:r>
                                </w:p>
                              </w:tc>
                              <w:tc>
                                <w:tcPr>
                                  <w:tcW w:w="1275" w:type="dxa"/>
                                  <w:noWrap/>
                                  <w:vAlign w:val="center"/>
                                </w:tcPr>
                                <w:p w14:paraId="4B6DBF25"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w:t>
                                  </w:r>
                                  <w:r w:rsidRPr="009768E7">
                                    <w:rPr>
                                      <w:rFonts w:ascii="標楷體" w:eastAsia="標楷體" w:hAnsi="標楷體"/>
                                      <w:color w:val="000000" w:themeColor="text1"/>
                                      <w:sz w:val="20"/>
                                    </w:rPr>
                                    <w:t>0.78</w:t>
                                  </w:r>
                                </w:p>
                              </w:tc>
                              <w:tc>
                                <w:tcPr>
                                  <w:tcW w:w="993" w:type="dxa"/>
                                  <w:shd w:val="clear" w:color="auto" w:fill="D9D9D9" w:themeFill="background1" w:themeFillShade="D9"/>
                                  <w:noWrap/>
                                  <w:vAlign w:val="center"/>
                                </w:tcPr>
                                <w:p w14:paraId="4C4ACBE0"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3.56</w:t>
                                  </w:r>
                                </w:p>
                              </w:tc>
                              <w:tc>
                                <w:tcPr>
                                  <w:tcW w:w="1275" w:type="dxa"/>
                                  <w:shd w:val="clear" w:color="auto" w:fill="D9D9D9" w:themeFill="background1" w:themeFillShade="D9"/>
                                  <w:noWrap/>
                                  <w:vAlign w:val="center"/>
                                </w:tcPr>
                                <w:p w14:paraId="6C7C3D9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2.14</w:t>
                                  </w:r>
                                </w:p>
                              </w:tc>
                            </w:tr>
                            <w:tr w:rsidR="00A0212B" w:rsidRPr="00BA7F2A" w14:paraId="3B89AA47" w14:textId="77777777" w:rsidTr="000131EC">
                              <w:trPr>
                                <w:trHeight w:val="283"/>
                              </w:trPr>
                              <w:tc>
                                <w:tcPr>
                                  <w:tcW w:w="1096" w:type="dxa"/>
                                  <w:shd w:val="clear" w:color="auto" w:fill="auto"/>
                                  <w:noWrap/>
                                  <w:vAlign w:val="center"/>
                                  <w:hideMark/>
                                </w:tcPr>
                                <w:p w14:paraId="51C26ED0"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經濟部</w:t>
                                  </w:r>
                                </w:p>
                              </w:tc>
                              <w:tc>
                                <w:tcPr>
                                  <w:tcW w:w="993" w:type="dxa"/>
                                  <w:shd w:val="clear" w:color="auto" w:fill="D9D9D9" w:themeFill="background1" w:themeFillShade="D9"/>
                                  <w:vAlign w:val="center"/>
                                </w:tcPr>
                                <w:p w14:paraId="2B220B23"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2</w:t>
                                  </w:r>
                                  <w:r w:rsidRPr="009768E7">
                                    <w:rPr>
                                      <w:rFonts w:ascii="標楷體" w:eastAsia="標楷體" w:hAnsi="標楷體"/>
                                      <w:color w:val="000000" w:themeColor="text1"/>
                                      <w:sz w:val="20"/>
                                    </w:rPr>
                                    <w:t>9.10</w:t>
                                  </w:r>
                                </w:p>
                              </w:tc>
                              <w:tc>
                                <w:tcPr>
                                  <w:tcW w:w="1275" w:type="dxa"/>
                                  <w:shd w:val="clear" w:color="auto" w:fill="D9D9D9" w:themeFill="background1" w:themeFillShade="D9"/>
                                  <w:noWrap/>
                                  <w:vAlign w:val="center"/>
                                </w:tcPr>
                                <w:p w14:paraId="541214E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9</w:t>
                                  </w:r>
                                  <w:r w:rsidRPr="009768E7">
                                    <w:rPr>
                                      <w:rFonts w:ascii="標楷體" w:eastAsia="標楷體" w:hAnsi="標楷體"/>
                                      <w:color w:val="000000" w:themeColor="text1"/>
                                      <w:sz w:val="20"/>
                                    </w:rPr>
                                    <w:t>.97</w:t>
                                  </w:r>
                                </w:p>
                              </w:tc>
                              <w:tc>
                                <w:tcPr>
                                  <w:tcW w:w="993" w:type="dxa"/>
                                  <w:shd w:val="clear" w:color="auto" w:fill="auto"/>
                                  <w:noWrap/>
                                  <w:vAlign w:val="center"/>
                                </w:tcPr>
                                <w:p w14:paraId="54B9D8C9"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31.38</w:t>
                                  </w:r>
                                </w:p>
                              </w:tc>
                              <w:tc>
                                <w:tcPr>
                                  <w:tcW w:w="1275" w:type="dxa"/>
                                  <w:shd w:val="clear" w:color="auto" w:fill="auto"/>
                                  <w:noWrap/>
                                  <w:vAlign w:val="center"/>
                                </w:tcPr>
                                <w:p w14:paraId="78BE6731"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10.10</w:t>
                                  </w:r>
                                </w:p>
                              </w:tc>
                            </w:tr>
                            <w:tr w:rsidR="00A0212B" w:rsidRPr="00BA7F2A" w14:paraId="25E37348" w14:textId="77777777" w:rsidTr="000131EC">
                              <w:trPr>
                                <w:trHeight w:val="283"/>
                              </w:trPr>
                              <w:tc>
                                <w:tcPr>
                                  <w:tcW w:w="1096" w:type="dxa"/>
                                  <w:shd w:val="clear" w:color="auto" w:fill="auto"/>
                                  <w:noWrap/>
                                  <w:vAlign w:val="center"/>
                                  <w:hideMark/>
                                </w:tcPr>
                                <w:p w14:paraId="2B5639CA"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中央研究院</w:t>
                                  </w:r>
                                </w:p>
                              </w:tc>
                              <w:tc>
                                <w:tcPr>
                                  <w:tcW w:w="993" w:type="dxa"/>
                                  <w:shd w:val="clear" w:color="auto" w:fill="auto"/>
                                  <w:vAlign w:val="center"/>
                                </w:tcPr>
                                <w:p w14:paraId="25F3C59D"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w:t>
                                  </w:r>
                                </w:p>
                              </w:tc>
                              <w:tc>
                                <w:tcPr>
                                  <w:tcW w:w="1275" w:type="dxa"/>
                                  <w:shd w:val="clear" w:color="auto" w:fill="auto"/>
                                  <w:noWrap/>
                                  <w:vAlign w:val="center"/>
                                </w:tcPr>
                                <w:p w14:paraId="13F0D99A"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w:t>
                                  </w:r>
                                </w:p>
                              </w:tc>
                              <w:tc>
                                <w:tcPr>
                                  <w:tcW w:w="993" w:type="dxa"/>
                                  <w:shd w:val="clear" w:color="auto" w:fill="D9D9D9" w:themeFill="background1" w:themeFillShade="D9"/>
                                  <w:noWrap/>
                                  <w:vAlign w:val="center"/>
                                </w:tcPr>
                                <w:p w14:paraId="19D899F3"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.53</w:t>
                                  </w:r>
                                </w:p>
                              </w:tc>
                              <w:tc>
                                <w:tcPr>
                                  <w:tcW w:w="1275" w:type="dxa"/>
                                  <w:shd w:val="clear" w:color="auto" w:fill="D9D9D9" w:themeFill="background1" w:themeFillShade="D9"/>
                                  <w:noWrap/>
                                  <w:vAlign w:val="center"/>
                                </w:tcPr>
                                <w:p w14:paraId="2596D12D"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5</w:t>
                                  </w:r>
                                  <w:r w:rsidRPr="009768E7">
                                    <w:rPr>
                                      <w:rFonts w:ascii="標楷體" w:eastAsia="標楷體" w:hAnsi="標楷體" w:cs="Arial"/>
                                      <w:color w:val="000000" w:themeColor="text1"/>
                                      <w:kern w:val="0"/>
                                      <w:sz w:val="20"/>
                                    </w:rPr>
                                    <w:t>.45</w:t>
                                  </w:r>
                                </w:p>
                              </w:tc>
                            </w:tr>
                            <w:tr w:rsidR="00A0212B" w:rsidRPr="00BA7F2A" w14:paraId="44D2A505" w14:textId="77777777" w:rsidTr="000131EC">
                              <w:trPr>
                                <w:trHeight w:val="283"/>
                              </w:trPr>
                              <w:tc>
                                <w:tcPr>
                                  <w:tcW w:w="1096" w:type="dxa"/>
                                  <w:shd w:val="clear" w:color="auto" w:fill="auto"/>
                                  <w:noWrap/>
                                  <w:vAlign w:val="center"/>
                                  <w:hideMark/>
                                </w:tcPr>
                                <w:p w14:paraId="21CA5305"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衛生福利部</w:t>
                                  </w:r>
                                </w:p>
                              </w:tc>
                              <w:tc>
                                <w:tcPr>
                                  <w:tcW w:w="993" w:type="dxa"/>
                                  <w:shd w:val="clear" w:color="auto" w:fill="D9D9D9" w:themeFill="background1" w:themeFillShade="D9"/>
                                  <w:vAlign w:val="center"/>
                                </w:tcPr>
                                <w:p w14:paraId="69DFB3B1"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4</w:t>
                                  </w:r>
                                  <w:r w:rsidRPr="009768E7">
                                    <w:rPr>
                                      <w:rFonts w:ascii="標楷體" w:eastAsia="標楷體" w:hAnsi="標楷體"/>
                                      <w:color w:val="000000" w:themeColor="text1"/>
                                      <w:sz w:val="20"/>
                                    </w:rPr>
                                    <w:t>.29</w:t>
                                  </w:r>
                                </w:p>
                              </w:tc>
                              <w:tc>
                                <w:tcPr>
                                  <w:tcW w:w="1275" w:type="dxa"/>
                                  <w:shd w:val="clear" w:color="auto" w:fill="D9D9D9" w:themeFill="background1" w:themeFillShade="D9"/>
                                  <w:noWrap/>
                                  <w:vAlign w:val="center"/>
                                </w:tcPr>
                                <w:p w14:paraId="45FD7514"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8</w:t>
                                  </w:r>
                                  <w:r w:rsidRPr="009768E7">
                                    <w:rPr>
                                      <w:rFonts w:ascii="標楷體" w:eastAsia="標楷體" w:hAnsi="標楷體"/>
                                      <w:color w:val="000000" w:themeColor="text1"/>
                                      <w:sz w:val="20"/>
                                    </w:rPr>
                                    <w:t>.75</w:t>
                                  </w:r>
                                </w:p>
                              </w:tc>
                              <w:tc>
                                <w:tcPr>
                                  <w:tcW w:w="993" w:type="dxa"/>
                                  <w:shd w:val="clear" w:color="auto" w:fill="auto"/>
                                  <w:noWrap/>
                                  <w:vAlign w:val="center"/>
                                </w:tcPr>
                                <w:p w14:paraId="278149B2"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7.50</w:t>
                                  </w:r>
                                </w:p>
                              </w:tc>
                              <w:tc>
                                <w:tcPr>
                                  <w:tcW w:w="1275" w:type="dxa"/>
                                  <w:shd w:val="clear" w:color="auto" w:fill="auto"/>
                                  <w:noWrap/>
                                  <w:vAlign w:val="center"/>
                                </w:tcPr>
                                <w:p w14:paraId="25F50BC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13.55</w:t>
                                  </w:r>
                                </w:p>
                              </w:tc>
                            </w:tr>
                            <w:tr w:rsidR="00A0212B" w:rsidRPr="00BA7F2A" w14:paraId="2B55A1AF" w14:textId="77777777" w:rsidTr="000131EC">
                              <w:trPr>
                                <w:trHeight w:val="283"/>
                              </w:trPr>
                              <w:tc>
                                <w:tcPr>
                                  <w:tcW w:w="1096" w:type="dxa"/>
                                  <w:shd w:val="clear" w:color="auto" w:fill="auto"/>
                                  <w:noWrap/>
                                  <w:vAlign w:val="center"/>
                                  <w:hideMark/>
                                </w:tcPr>
                                <w:p w14:paraId="601179B8"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交通部</w:t>
                                  </w:r>
                                </w:p>
                              </w:tc>
                              <w:tc>
                                <w:tcPr>
                                  <w:tcW w:w="993" w:type="dxa"/>
                                  <w:tcBorders>
                                    <w:bottom w:val="single" w:sz="4" w:space="0" w:color="auto"/>
                                  </w:tcBorders>
                                  <w:shd w:val="clear" w:color="auto" w:fill="D9D9D9" w:themeFill="background1" w:themeFillShade="D9"/>
                                  <w:vAlign w:val="center"/>
                                </w:tcPr>
                                <w:p w14:paraId="19777DEF"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w:t>
                                  </w:r>
                                  <w:r w:rsidRPr="009768E7">
                                    <w:rPr>
                                      <w:rFonts w:ascii="標楷體" w:eastAsia="標楷體" w:hAnsi="標楷體"/>
                                      <w:color w:val="000000" w:themeColor="text1"/>
                                      <w:sz w:val="20"/>
                                    </w:rPr>
                                    <w:t>.46</w:t>
                                  </w:r>
                                </w:p>
                              </w:tc>
                              <w:tc>
                                <w:tcPr>
                                  <w:tcW w:w="1275" w:type="dxa"/>
                                  <w:tcBorders>
                                    <w:bottom w:val="single" w:sz="4" w:space="0" w:color="auto"/>
                                  </w:tcBorders>
                                  <w:shd w:val="clear" w:color="auto" w:fill="D9D9D9" w:themeFill="background1" w:themeFillShade="D9"/>
                                  <w:noWrap/>
                                  <w:vAlign w:val="center"/>
                                </w:tcPr>
                                <w:p w14:paraId="1826F77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3</w:t>
                                  </w:r>
                                  <w:r w:rsidRPr="009768E7">
                                    <w:rPr>
                                      <w:rFonts w:ascii="標楷體" w:eastAsia="標楷體" w:hAnsi="標楷體"/>
                                      <w:color w:val="000000" w:themeColor="text1"/>
                                      <w:sz w:val="20"/>
                                    </w:rPr>
                                    <w:t>.75</w:t>
                                  </w:r>
                                </w:p>
                              </w:tc>
                              <w:tc>
                                <w:tcPr>
                                  <w:tcW w:w="993" w:type="dxa"/>
                                  <w:shd w:val="clear" w:color="auto" w:fill="auto"/>
                                  <w:noWrap/>
                                  <w:vAlign w:val="center"/>
                                </w:tcPr>
                                <w:p w14:paraId="29F1630F"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1.60</w:t>
                                  </w:r>
                                </w:p>
                              </w:tc>
                              <w:tc>
                                <w:tcPr>
                                  <w:tcW w:w="1275" w:type="dxa"/>
                                  <w:shd w:val="clear" w:color="auto" w:fill="auto"/>
                                  <w:noWrap/>
                                  <w:vAlign w:val="center"/>
                                </w:tcPr>
                                <w:p w14:paraId="2C71F876"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12.02</w:t>
                                  </w:r>
                                </w:p>
                              </w:tc>
                            </w:tr>
                            <w:tr w:rsidR="00A0212B" w:rsidRPr="00BA7F2A" w14:paraId="73D98BED" w14:textId="77777777" w:rsidTr="000131EC">
                              <w:trPr>
                                <w:trHeight w:val="283"/>
                              </w:trPr>
                              <w:tc>
                                <w:tcPr>
                                  <w:tcW w:w="1096" w:type="dxa"/>
                                  <w:shd w:val="clear" w:color="auto" w:fill="auto"/>
                                  <w:noWrap/>
                                  <w:vAlign w:val="center"/>
                                  <w:hideMark/>
                                </w:tcPr>
                                <w:p w14:paraId="0F286FBF"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內政部</w:t>
                                  </w:r>
                                </w:p>
                              </w:tc>
                              <w:tc>
                                <w:tcPr>
                                  <w:tcW w:w="993" w:type="dxa"/>
                                  <w:shd w:val="clear" w:color="auto" w:fill="auto"/>
                                  <w:vAlign w:val="center"/>
                                </w:tcPr>
                                <w:p w14:paraId="1D53BC91"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w:t>
                                  </w:r>
                                </w:p>
                              </w:tc>
                              <w:tc>
                                <w:tcPr>
                                  <w:tcW w:w="1275" w:type="dxa"/>
                                  <w:shd w:val="clear" w:color="auto" w:fill="auto"/>
                                  <w:noWrap/>
                                  <w:vAlign w:val="center"/>
                                </w:tcPr>
                                <w:p w14:paraId="3075D9C6"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w:t>
                                  </w:r>
                                </w:p>
                              </w:tc>
                              <w:tc>
                                <w:tcPr>
                                  <w:tcW w:w="993" w:type="dxa"/>
                                  <w:shd w:val="clear" w:color="auto" w:fill="D9D9D9" w:themeFill="background1" w:themeFillShade="D9"/>
                                  <w:noWrap/>
                                  <w:vAlign w:val="center"/>
                                </w:tcPr>
                                <w:p w14:paraId="34304544"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.22</w:t>
                                  </w:r>
                                </w:p>
                              </w:tc>
                              <w:tc>
                                <w:tcPr>
                                  <w:tcW w:w="1275" w:type="dxa"/>
                                  <w:shd w:val="clear" w:color="auto" w:fill="D9D9D9" w:themeFill="background1" w:themeFillShade="D9"/>
                                  <w:noWrap/>
                                  <w:vAlign w:val="center"/>
                                </w:tcPr>
                                <w:p w14:paraId="3ADE0E5B"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3</w:t>
                                  </w:r>
                                  <w:r w:rsidRPr="009768E7">
                                    <w:rPr>
                                      <w:rFonts w:ascii="標楷體" w:eastAsia="標楷體" w:hAnsi="標楷體" w:cs="Arial"/>
                                      <w:color w:val="000000" w:themeColor="text1"/>
                                      <w:kern w:val="0"/>
                                      <w:sz w:val="20"/>
                                    </w:rPr>
                                    <w:t>.18</w:t>
                                  </w:r>
                                </w:p>
                              </w:tc>
                            </w:tr>
                            <w:tr w:rsidR="00A0212B" w:rsidRPr="00BA7F2A" w14:paraId="1E9503CF" w14:textId="77777777" w:rsidTr="000131EC">
                              <w:trPr>
                                <w:trHeight w:val="283"/>
                              </w:trPr>
                              <w:tc>
                                <w:tcPr>
                                  <w:tcW w:w="1096" w:type="dxa"/>
                                  <w:shd w:val="clear" w:color="auto" w:fill="auto"/>
                                  <w:noWrap/>
                                  <w:vAlign w:val="center"/>
                                  <w:hideMark/>
                                </w:tcPr>
                                <w:p w14:paraId="7BD9FF40"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文化部</w:t>
                                  </w:r>
                                </w:p>
                              </w:tc>
                              <w:tc>
                                <w:tcPr>
                                  <w:tcW w:w="993" w:type="dxa"/>
                                  <w:shd w:val="clear" w:color="auto" w:fill="auto"/>
                                  <w:vAlign w:val="center"/>
                                </w:tcPr>
                                <w:p w14:paraId="752239B3"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2</w:t>
                                  </w:r>
                                  <w:r w:rsidRPr="009768E7">
                                    <w:rPr>
                                      <w:rFonts w:ascii="標楷體" w:eastAsia="標楷體" w:hAnsi="標楷體"/>
                                      <w:color w:val="000000" w:themeColor="text1"/>
                                      <w:sz w:val="20"/>
                                    </w:rPr>
                                    <w:t>.67</w:t>
                                  </w:r>
                                </w:p>
                              </w:tc>
                              <w:tc>
                                <w:tcPr>
                                  <w:tcW w:w="1275" w:type="dxa"/>
                                  <w:shd w:val="clear" w:color="auto" w:fill="auto"/>
                                  <w:noWrap/>
                                  <w:vAlign w:val="center"/>
                                </w:tcPr>
                                <w:p w14:paraId="3D0C872E"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5</w:t>
                                  </w:r>
                                  <w:r w:rsidRPr="009768E7">
                                    <w:rPr>
                                      <w:rFonts w:ascii="標楷體" w:eastAsia="標楷體" w:hAnsi="標楷體"/>
                                      <w:color w:val="000000" w:themeColor="text1"/>
                                      <w:sz w:val="20"/>
                                    </w:rPr>
                                    <w:t>0.62</w:t>
                                  </w:r>
                                </w:p>
                              </w:tc>
                              <w:tc>
                                <w:tcPr>
                                  <w:tcW w:w="993" w:type="dxa"/>
                                  <w:shd w:val="clear" w:color="auto" w:fill="auto"/>
                                  <w:noWrap/>
                                  <w:vAlign w:val="center"/>
                                </w:tcPr>
                                <w:p w14:paraId="24AAD2F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.97</w:t>
                                  </w:r>
                                </w:p>
                              </w:tc>
                              <w:tc>
                                <w:tcPr>
                                  <w:tcW w:w="1275" w:type="dxa"/>
                                  <w:shd w:val="clear" w:color="auto" w:fill="auto"/>
                                  <w:noWrap/>
                                  <w:vAlign w:val="center"/>
                                </w:tcPr>
                                <w:p w14:paraId="486D2799"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1</w:t>
                                  </w:r>
                                  <w:r w:rsidRPr="009768E7">
                                    <w:rPr>
                                      <w:rFonts w:ascii="標楷體" w:eastAsia="標楷體" w:hAnsi="標楷體" w:cs="Arial"/>
                                      <w:color w:val="000000" w:themeColor="text1"/>
                                      <w:kern w:val="0"/>
                                      <w:sz w:val="20"/>
                                    </w:rPr>
                                    <w:t>4.35</w:t>
                                  </w:r>
                                </w:p>
                              </w:tc>
                            </w:tr>
                            <w:tr w:rsidR="00A0212B" w:rsidRPr="00BA7F2A" w14:paraId="3A4098A1" w14:textId="77777777" w:rsidTr="000131EC">
                              <w:trPr>
                                <w:trHeight w:val="283"/>
                              </w:trPr>
                              <w:tc>
                                <w:tcPr>
                                  <w:tcW w:w="1096" w:type="dxa"/>
                                  <w:shd w:val="clear" w:color="auto" w:fill="auto"/>
                                  <w:noWrap/>
                                  <w:vAlign w:val="center"/>
                                  <w:hideMark/>
                                </w:tcPr>
                                <w:p w14:paraId="55BFCCE7"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法務部</w:t>
                                  </w:r>
                                </w:p>
                              </w:tc>
                              <w:tc>
                                <w:tcPr>
                                  <w:tcW w:w="993" w:type="dxa"/>
                                  <w:shd w:val="clear" w:color="auto" w:fill="auto"/>
                                  <w:vAlign w:val="center"/>
                                </w:tcPr>
                                <w:p w14:paraId="3A24964E"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.51</w:t>
                                  </w:r>
                                </w:p>
                              </w:tc>
                              <w:tc>
                                <w:tcPr>
                                  <w:tcW w:w="1275" w:type="dxa"/>
                                  <w:shd w:val="clear" w:color="auto" w:fill="auto"/>
                                  <w:noWrap/>
                                  <w:vAlign w:val="center"/>
                                </w:tcPr>
                                <w:p w14:paraId="28A706C1"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2</w:t>
                                  </w:r>
                                  <w:r w:rsidRPr="009768E7">
                                    <w:rPr>
                                      <w:rFonts w:ascii="標楷體" w:eastAsia="標楷體" w:hAnsi="標楷體" w:cs="Arial"/>
                                      <w:color w:val="000000" w:themeColor="text1"/>
                                      <w:kern w:val="0"/>
                                      <w:sz w:val="20"/>
                                    </w:rPr>
                                    <w:t>4.44</w:t>
                                  </w:r>
                                </w:p>
                              </w:tc>
                              <w:tc>
                                <w:tcPr>
                                  <w:tcW w:w="993" w:type="dxa"/>
                                  <w:tcBorders>
                                    <w:bottom w:val="single" w:sz="4" w:space="0" w:color="auto"/>
                                  </w:tcBorders>
                                  <w:shd w:val="clear" w:color="auto" w:fill="D9D9D9" w:themeFill="background1" w:themeFillShade="D9"/>
                                  <w:noWrap/>
                                  <w:vAlign w:val="center"/>
                                </w:tcPr>
                                <w:p w14:paraId="2ABADA7A"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0.17</w:t>
                                  </w:r>
                                </w:p>
                              </w:tc>
                              <w:tc>
                                <w:tcPr>
                                  <w:tcW w:w="1275" w:type="dxa"/>
                                  <w:tcBorders>
                                    <w:bottom w:val="single" w:sz="4" w:space="0" w:color="auto"/>
                                  </w:tcBorders>
                                  <w:shd w:val="clear" w:color="auto" w:fill="D9D9D9" w:themeFill="background1" w:themeFillShade="D9"/>
                                  <w:noWrap/>
                                  <w:vAlign w:val="center"/>
                                </w:tcPr>
                                <w:p w14:paraId="5D5C5548"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8.57</w:t>
                                  </w:r>
                                </w:p>
                              </w:tc>
                            </w:tr>
                            <w:tr w:rsidR="00A0212B" w:rsidRPr="00BA7F2A" w14:paraId="0BE6DD9F" w14:textId="77777777" w:rsidTr="000131EC">
                              <w:trPr>
                                <w:trHeight w:val="283"/>
                              </w:trPr>
                              <w:tc>
                                <w:tcPr>
                                  <w:tcW w:w="1096" w:type="dxa"/>
                                  <w:shd w:val="clear" w:color="auto" w:fill="auto"/>
                                  <w:noWrap/>
                                  <w:vAlign w:val="center"/>
                                  <w:hideMark/>
                                </w:tcPr>
                                <w:p w14:paraId="5B2C1A6D"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財政部</w:t>
                                  </w:r>
                                </w:p>
                              </w:tc>
                              <w:tc>
                                <w:tcPr>
                                  <w:tcW w:w="993" w:type="dxa"/>
                                  <w:shd w:val="clear" w:color="auto" w:fill="D9D9D9" w:themeFill="background1" w:themeFillShade="D9"/>
                                  <w:vAlign w:val="center"/>
                                </w:tcPr>
                                <w:p w14:paraId="45FE9B71"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0.30</w:t>
                                  </w:r>
                                </w:p>
                              </w:tc>
                              <w:tc>
                                <w:tcPr>
                                  <w:tcW w:w="1275" w:type="dxa"/>
                                  <w:shd w:val="clear" w:color="auto" w:fill="D9D9D9" w:themeFill="background1" w:themeFillShade="D9"/>
                                  <w:noWrap/>
                                  <w:vAlign w:val="center"/>
                                </w:tcPr>
                                <w:p w14:paraId="539E21B4"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9.09</w:t>
                                  </w:r>
                                </w:p>
                              </w:tc>
                              <w:tc>
                                <w:tcPr>
                                  <w:tcW w:w="993" w:type="dxa"/>
                                  <w:tcBorders>
                                    <w:tl2br w:val="nil"/>
                                  </w:tcBorders>
                                  <w:shd w:val="clear" w:color="auto" w:fill="auto"/>
                                  <w:noWrap/>
                                  <w:vAlign w:val="center"/>
                                </w:tcPr>
                                <w:p w14:paraId="747FE68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w:t>
                                  </w:r>
                                </w:p>
                              </w:tc>
                              <w:tc>
                                <w:tcPr>
                                  <w:tcW w:w="1275" w:type="dxa"/>
                                  <w:tcBorders>
                                    <w:tl2br w:val="nil"/>
                                  </w:tcBorders>
                                  <w:shd w:val="clear" w:color="auto" w:fill="auto"/>
                                  <w:noWrap/>
                                  <w:vAlign w:val="center"/>
                                </w:tcPr>
                                <w:p w14:paraId="69BCD290"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w:t>
                                  </w:r>
                                </w:p>
                              </w:tc>
                            </w:tr>
                            <w:tr w:rsidR="00A0212B" w:rsidRPr="00BA7F2A" w14:paraId="6FC50148" w14:textId="77777777" w:rsidTr="000131EC">
                              <w:trPr>
                                <w:trHeight w:val="283"/>
                              </w:trPr>
                              <w:tc>
                                <w:tcPr>
                                  <w:tcW w:w="1096" w:type="dxa"/>
                                  <w:shd w:val="clear" w:color="auto" w:fill="auto"/>
                                  <w:noWrap/>
                                  <w:vAlign w:val="center"/>
                                  <w:hideMark/>
                                </w:tcPr>
                                <w:p w14:paraId="32D0C12E"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環境保護署</w:t>
                                  </w:r>
                                  <w:r>
                                    <w:rPr>
                                      <w:rFonts w:ascii="標楷體" w:eastAsia="標楷體" w:hAnsi="標楷體" w:cs="Arial" w:hint="eastAsia"/>
                                      <w:kern w:val="0"/>
                                      <w:sz w:val="20"/>
                                    </w:rPr>
                                    <w:t>（</w:t>
                                  </w:r>
                                  <w:r w:rsidRPr="009768E7">
                                    <w:rPr>
                                      <w:rFonts w:ascii="標楷體" w:eastAsia="標楷體" w:hAnsi="標楷體" w:cs="Arial" w:hint="eastAsia"/>
                                      <w:kern w:val="0"/>
                                      <w:sz w:val="20"/>
                                    </w:rPr>
                                    <w:t>環境部</w:t>
                                  </w:r>
                                  <w:r>
                                    <w:rPr>
                                      <w:rFonts w:ascii="標楷體" w:eastAsia="標楷體" w:hAnsi="標楷體" w:cs="Arial" w:hint="eastAsia"/>
                                      <w:kern w:val="0"/>
                                      <w:sz w:val="20"/>
                                    </w:rPr>
                                    <w:t>）</w:t>
                                  </w:r>
                                </w:p>
                              </w:tc>
                              <w:tc>
                                <w:tcPr>
                                  <w:tcW w:w="993" w:type="dxa"/>
                                  <w:shd w:val="clear" w:color="auto" w:fill="D9D9D9" w:themeFill="background1" w:themeFillShade="D9"/>
                                  <w:vAlign w:val="center"/>
                                </w:tcPr>
                                <w:p w14:paraId="0D8FBFD4"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.12</w:t>
                                  </w:r>
                                </w:p>
                              </w:tc>
                              <w:tc>
                                <w:tcPr>
                                  <w:tcW w:w="1275" w:type="dxa"/>
                                  <w:shd w:val="clear" w:color="auto" w:fill="D9D9D9" w:themeFill="background1" w:themeFillShade="D9"/>
                                  <w:noWrap/>
                                  <w:vAlign w:val="center"/>
                                </w:tcPr>
                                <w:p w14:paraId="5EBEF1BE"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9</w:t>
                                  </w:r>
                                  <w:r w:rsidRPr="009768E7">
                                    <w:rPr>
                                      <w:rFonts w:ascii="標楷體" w:eastAsia="標楷體" w:hAnsi="標楷體" w:cs="Arial"/>
                                      <w:color w:val="000000" w:themeColor="text1"/>
                                      <w:kern w:val="0"/>
                                      <w:sz w:val="20"/>
                                    </w:rPr>
                                    <w:t>.23</w:t>
                                  </w:r>
                                </w:p>
                              </w:tc>
                              <w:tc>
                                <w:tcPr>
                                  <w:tcW w:w="993" w:type="dxa"/>
                                  <w:shd w:val="clear" w:color="auto" w:fill="D9D9D9" w:themeFill="background1" w:themeFillShade="D9"/>
                                  <w:noWrap/>
                                  <w:vAlign w:val="center"/>
                                </w:tcPr>
                                <w:p w14:paraId="5E4CFC09"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0.45</w:t>
                                  </w:r>
                                </w:p>
                              </w:tc>
                              <w:tc>
                                <w:tcPr>
                                  <w:tcW w:w="1275" w:type="dxa"/>
                                  <w:shd w:val="clear" w:color="auto" w:fill="D9D9D9" w:themeFill="background1" w:themeFillShade="D9"/>
                                  <w:noWrap/>
                                  <w:vAlign w:val="center"/>
                                </w:tcPr>
                                <w:p w14:paraId="4A6DC255"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5.07</w:t>
                                  </w:r>
                                </w:p>
                              </w:tc>
                            </w:tr>
                            <w:tr w:rsidR="00A0212B" w:rsidRPr="00BA7F2A" w14:paraId="7BD8DA98" w14:textId="77777777" w:rsidTr="000131EC">
                              <w:trPr>
                                <w:trHeight w:val="283"/>
                              </w:trPr>
                              <w:tc>
                                <w:tcPr>
                                  <w:tcW w:w="1096" w:type="dxa"/>
                                  <w:shd w:val="clear" w:color="auto" w:fill="auto"/>
                                  <w:noWrap/>
                                  <w:vAlign w:val="center"/>
                                  <w:hideMark/>
                                </w:tcPr>
                                <w:p w14:paraId="73CF0F27"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國防部</w:t>
                                  </w:r>
                                </w:p>
                              </w:tc>
                              <w:tc>
                                <w:tcPr>
                                  <w:tcW w:w="993" w:type="dxa"/>
                                  <w:shd w:val="clear" w:color="auto" w:fill="auto"/>
                                  <w:vAlign w:val="center"/>
                                </w:tcPr>
                                <w:p w14:paraId="69854FDD"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0.55</w:t>
                                  </w:r>
                                </w:p>
                              </w:tc>
                              <w:tc>
                                <w:tcPr>
                                  <w:tcW w:w="1275" w:type="dxa"/>
                                  <w:shd w:val="clear" w:color="auto" w:fill="auto"/>
                                  <w:noWrap/>
                                  <w:vAlign w:val="center"/>
                                </w:tcPr>
                                <w:p w14:paraId="3A55C580"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46.61</w:t>
                                  </w:r>
                                </w:p>
                              </w:tc>
                              <w:tc>
                                <w:tcPr>
                                  <w:tcW w:w="993" w:type="dxa"/>
                                  <w:shd w:val="clear" w:color="auto" w:fill="D9D9D9" w:themeFill="background1" w:themeFillShade="D9"/>
                                  <w:noWrap/>
                                  <w:vAlign w:val="center"/>
                                </w:tcPr>
                                <w:p w14:paraId="07868EC7"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0.03</w:t>
                                  </w:r>
                                </w:p>
                              </w:tc>
                              <w:tc>
                                <w:tcPr>
                                  <w:tcW w:w="1275" w:type="dxa"/>
                                  <w:shd w:val="clear" w:color="auto" w:fill="D9D9D9" w:themeFill="background1" w:themeFillShade="D9"/>
                                  <w:noWrap/>
                                  <w:vAlign w:val="center"/>
                                </w:tcPr>
                                <w:p w14:paraId="50202283"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2.86</w:t>
                                  </w:r>
                                </w:p>
                              </w:tc>
                            </w:tr>
                            <w:tr w:rsidR="00A0212B" w:rsidRPr="00BA7F2A" w14:paraId="2EC7E204" w14:textId="77777777" w:rsidTr="000131EC">
                              <w:trPr>
                                <w:trHeight w:val="283"/>
                              </w:trPr>
                              <w:tc>
                                <w:tcPr>
                                  <w:tcW w:w="1096" w:type="dxa"/>
                                  <w:shd w:val="clear" w:color="auto" w:fill="auto"/>
                                  <w:noWrap/>
                                  <w:vAlign w:val="center"/>
                                  <w:hideMark/>
                                </w:tcPr>
                                <w:p w14:paraId="494705B6"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海洋委員會</w:t>
                                  </w:r>
                                </w:p>
                              </w:tc>
                              <w:tc>
                                <w:tcPr>
                                  <w:tcW w:w="993" w:type="dxa"/>
                                  <w:shd w:val="clear" w:color="auto" w:fill="D9D9D9" w:themeFill="background1" w:themeFillShade="D9"/>
                                  <w:vAlign w:val="center"/>
                                </w:tcPr>
                                <w:p w14:paraId="44B2E0C6"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0.11</w:t>
                                  </w:r>
                                </w:p>
                              </w:tc>
                              <w:tc>
                                <w:tcPr>
                                  <w:tcW w:w="1275" w:type="dxa"/>
                                  <w:shd w:val="clear" w:color="auto" w:fill="D9D9D9" w:themeFill="background1" w:themeFillShade="D9"/>
                                  <w:noWrap/>
                                  <w:vAlign w:val="center"/>
                                </w:tcPr>
                                <w:p w14:paraId="1D65D49D"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7.59</w:t>
                                  </w:r>
                                </w:p>
                              </w:tc>
                              <w:tc>
                                <w:tcPr>
                                  <w:tcW w:w="993" w:type="dxa"/>
                                  <w:tcBorders>
                                    <w:bottom w:val="single" w:sz="4" w:space="0" w:color="auto"/>
                                  </w:tcBorders>
                                  <w:shd w:val="clear" w:color="auto" w:fill="auto"/>
                                  <w:noWrap/>
                                  <w:vAlign w:val="center"/>
                                </w:tcPr>
                                <w:p w14:paraId="669A45DA"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1.22</w:t>
                                  </w:r>
                                </w:p>
                              </w:tc>
                              <w:tc>
                                <w:tcPr>
                                  <w:tcW w:w="1275" w:type="dxa"/>
                                  <w:tcBorders>
                                    <w:bottom w:val="single" w:sz="4" w:space="0" w:color="auto"/>
                                  </w:tcBorders>
                                  <w:shd w:val="clear" w:color="auto" w:fill="auto"/>
                                  <w:noWrap/>
                                  <w:vAlign w:val="center"/>
                                </w:tcPr>
                                <w:p w14:paraId="4776AC96"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26.73</w:t>
                                  </w:r>
                                </w:p>
                              </w:tc>
                            </w:tr>
                            <w:tr w:rsidR="00A0212B" w:rsidRPr="00BA7F2A" w14:paraId="5397A8F9" w14:textId="77777777" w:rsidTr="000131EC">
                              <w:trPr>
                                <w:trHeight w:val="283"/>
                              </w:trPr>
                              <w:tc>
                                <w:tcPr>
                                  <w:tcW w:w="1096" w:type="dxa"/>
                                  <w:shd w:val="clear" w:color="auto" w:fill="auto"/>
                                  <w:noWrap/>
                                  <w:vAlign w:val="center"/>
                                  <w:hideMark/>
                                </w:tcPr>
                                <w:p w14:paraId="45368008" w14:textId="77777777" w:rsidR="00A0212B"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原住民族</w:t>
                                  </w:r>
                                </w:p>
                                <w:p w14:paraId="56DA7ECF"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委員會</w:t>
                                  </w:r>
                                </w:p>
                              </w:tc>
                              <w:tc>
                                <w:tcPr>
                                  <w:tcW w:w="993" w:type="dxa"/>
                                  <w:shd w:val="clear" w:color="auto" w:fill="D9D9D9" w:themeFill="background1" w:themeFillShade="D9"/>
                                  <w:vAlign w:val="center"/>
                                </w:tcPr>
                                <w:p w14:paraId="173FA51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0.10</w:t>
                                  </w:r>
                                </w:p>
                              </w:tc>
                              <w:tc>
                                <w:tcPr>
                                  <w:tcW w:w="1275" w:type="dxa"/>
                                  <w:shd w:val="clear" w:color="auto" w:fill="D9D9D9" w:themeFill="background1" w:themeFillShade="D9"/>
                                  <w:noWrap/>
                                  <w:vAlign w:val="center"/>
                                </w:tcPr>
                                <w:p w14:paraId="7FAE222C"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6.11</w:t>
                                  </w:r>
                                </w:p>
                              </w:tc>
                              <w:tc>
                                <w:tcPr>
                                  <w:tcW w:w="993" w:type="dxa"/>
                                  <w:tcBorders>
                                    <w:tl2br w:val="nil"/>
                                  </w:tcBorders>
                                  <w:shd w:val="clear" w:color="auto" w:fill="auto"/>
                                  <w:noWrap/>
                                  <w:vAlign w:val="center"/>
                                </w:tcPr>
                                <w:p w14:paraId="5661ED9D"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w:t>
                                  </w:r>
                                </w:p>
                              </w:tc>
                              <w:tc>
                                <w:tcPr>
                                  <w:tcW w:w="1275" w:type="dxa"/>
                                  <w:tcBorders>
                                    <w:tl2br w:val="nil"/>
                                  </w:tcBorders>
                                  <w:shd w:val="clear" w:color="auto" w:fill="auto"/>
                                  <w:noWrap/>
                                  <w:vAlign w:val="center"/>
                                </w:tcPr>
                                <w:p w14:paraId="05E59527"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w:t>
                                  </w:r>
                                </w:p>
                              </w:tc>
                            </w:tr>
                          </w:tbl>
                          <w:p w14:paraId="7C3A2DF2" w14:textId="52F34F7C" w:rsidR="00A0212B" w:rsidRDefault="00A0212B" w:rsidP="000131EC">
                            <w:pPr>
                              <w:adjustRightInd w:val="0"/>
                              <w:snapToGrid w:val="0"/>
                              <w:spacing w:line="220" w:lineRule="exact"/>
                              <w:ind w:leftChars="10" w:left="559" w:rightChars="-5" w:right="-12" w:hangingChars="297" w:hanging="535"/>
                              <w:jc w:val="both"/>
                              <w:rPr>
                                <w:rFonts w:ascii="標楷體" w:eastAsia="標楷體" w:hAnsi="標楷體"/>
                                <w:sz w:val="18"/>
                              </w:rPr>
                            </w:pPr>
                            <w:r w:rsidRPr="00BA7F2A">
                              <w:rPr>
                                <w:rFonts w:ascii="標楷體" w:eastAsia="標楷體" w:hAnsi="標楷體" w:hint="eastAsia"/>
                                <w:sz w:val="18"/>
                              </w:rPr>
                              <w:t>註：1.財政部及原住民族委員會1</w:t>
                            </w:r>
                            <w:r w:rsidRPr="00BA7F2A">
                              <w:rPr>
                                <w:rFonts w:ascii="標楷體" w:eastAsia="標楷體" w:hAnsi="標楷體"/>
                                <w:sz w:val="18"/>
                              </w:rPr>
                              <w:t>12</w:t>
                            </w:r>
                            <w:r w:rsidRPr="00BA7F2A">
                              <w:rPr>
                                <w:rFonts w:ascii="標楷體" w:eastAsia="標楷體" w:hAnsi="標楷體" w:hint="eastAsia"/>
                                <w:sz w:val="18"/>
                              </w:rPr>
                              <w:t>年度科技計畫未達3件以上，</w:t>
                            </w:r>
                            <w:r>
                              <w:rPr>
                                <w:rFonts w:ascii="標楷體" w:eastAsia="標楷體" w:hAnsi="標楷體" w:hint="eastAsia"/>
                                <w:sz w:val="18"/>
                              </w:rPr>
                              <w:t>爰未</w:t>
                            </w:r>
                            <w:r w:rsidRPr="00BA7F2A">
                              <w:rPr>
                                <w:rFonts w:ascii="標楷體" w:eastAsia="標楷體" w:hAnsi="標楷體" w:hint="eastAsia"/>
                                <w:sz w:val="18"/>
                              </w:rPr>
                              <w:t>填列科技施政總體說明書。</w:t>
                            </w:r>
                          </w:p>
                          <w:p w14:paraId="5B3D23AF" w14:textId="6EC7498E" w:rsidR="00A0212B" w:rsidRPr="00BA7F2A" w:rsidRDefault="00A0212B" w:rsidP="00E31547">
                            <w:pPr>
                              <w:adjustRightInd w:val="0"/>
                              <w:snapToGrid w:val="0"/>
                              <w:spacing w:line="220" w:lineRule="exact"/>
                              <w:ind w:leftChars="160" w:left="919" w:rightChars="-5" w:right="-12" w:hangingChars="297" w:hanging="535"/>
                              <w:jc w:val="both"/>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8E6277">
                              <w:rPr>
                                <w:rFonts w:ascii="標楷體" w:eastAsia="標楷體" w:hAnsi="標楷體" w:hint="eastAsia"/>
                                <w:sz w:val="18"/>
                              </w:rPr>
                              <w:t>檢討退場金額占其整體科技經費比率未達10％</w:t>
                            </w:r>
                            <w:r>
                              <w:rPr>
                                <w:rFonts w:ascii="標楷體" w:eastAsia="標楷體" w:hAnsi="標楷體" w:hint="eastAsia"/>
                                <w:sz w:val="18"/>
                              </w:rPr>
                              <w:t>者以</w:t>
                            </w:r>
                            <w:r>
                              <w:rPr>
                                <w:rFonts w:ascii="標楷體" w:eastAsia="標楷體" w:hAnsi="標楷體"/>
                                <w:sz w:val="18"/>
                              </w:rPr>
                              <w:t>底色標註。</w:t>
                            </w:r>
                          </w:p>
                          <w:p w14:paraId="5F01A6C8" w14:textId="3F169E27" w:rsidR="00A0212B" w:rsidRPr="00BA7F2A" w:rsidRDefault="00A0212B" w:rsidP="000131EC">
                            <w:pPr>
                              <w:adjustRightInd w:val="0"/>
                              <w:snapToGrid w:val="0"/>
                              <w:spacing w:line="220" w:lineRule="exact"/>
                              <w:ind w:leftChars="161" w:left="390" w:rightChars="-5" w:right="-12" w:hangingChars="2" w:hanging="4"/>
                              <w:jc w:val="both"/>
                              <w:rPr>
                                <w:rFonts w:ascii="標楷體" w:eastAsia="標楷體" w:hAnsi="標楷體"/>
                                <w:sz w:val="18"/>
                              </w:rPr>
                            </w:pPr>
                            <w:r>
                              <w:rPr>
                                <w:rFonts w:ascii="標楷體" w:eastAsia="標楷體" w:hAnsi="標楷體"/>
                                <w:sz w:val="18"/>
                              </w:rPr>
                              <w:t>3.</w:t>
                            </w:r>
                            <w:r w:rsidRPr="00BA7F2A">
                              <w:rPr>
                                <w:rFonts w:ascii="標楷體" w:eastAsia="標楷體" w:hAnsi="標楷體" w:hint="eastAsia"/>
                                <w:sz w:val="18"/>
                              </w:rPr>
                              <w:t>資料來源：整理自各部會112及113年度科技施政總體說明書。</w:t>
                            </w:r>
                          </w:p>
                          <w:p w14:paraId="5D6828E3" w14:textId="77777777" w:rsidR="00A0212B" w:rsidRPr="00BA7F2A" w:rsidRDefault="00A0212B" w:rsidP="000131EC">
                            <w:pPr>
                              <w:spacing w:line="300" w:lineRule="exact"/>
                              <w:ind w:rightChars="-5" w:right="-12"/>
                              <w:rPr>
                                <w:rFonts w:ascii="標楷體" w:eastAsia="標楷體" w:hAnsi="標楷體"/>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232759" id="文字方塊 92" o:spid="_x0000_s1092" type="#_x0000_t202" style="position:absolute;left:0;text-align:left;margin-left:198.85pt;margin-top:145.3pt;width:297.4pt;height:349.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" fillcolor="white [3201]" stroked="f" strokeweight=".5pt">
                <v:textbox>
                  <w:txbxContent>
                    <w:p w14:paraId="1678759E" w14:textId="64076755" w:rsidR="00A0212B" w:rsidRDefault="00A0212B" w:rsidP="00E31547">
                      <w:pPr>
                        <w:spacing w:line="320" w:lineRule="exact"/>
                        <w:ind w:left="841" w:rightChars="-5" w:right="-12" w:hangingChars="350" w:hanging="841"/>
                        <w:jc w:val="center"/>
                        <w:rPr>
                          <w:rFonts w:ascii="標楷體" w:eastAsia="標楷體" w:hAnsi="標楷體"/>
                          <w:b/>
                        </w:rPr>
                      </w:pPr>
                      <w:r>
                        <w:rPr>
                          <w:rFonts w:ascii="標楷體" w:eastAsia="標楷體" w:hAnsi="標楷體" w:hint="eastAsia"/>
                          <w:b/>
                        </w:rPr>
                        <w:t>表</w:t>
                      </w:r>
                      <w:r>
                        <w:rPr>
                          <w:rFonts w:ascii="標楷體" w:eastAsia="標楷體" w:hAnsi="標楷體"/>
                          <w:b/>
                        </w:rPr>
                        <w:t>28</w:t>
                      </w:r>
                      <w:r>
                        <w:rPr>
                          <w:rFonts w:ascii="標楷體" w:eastAsia="標楷體" w:hAnsi="標楷體" w:hint="eastAsia"/>
                          <w:b/>
                        </w:rPr>
                        <w:t xml:space="preserve">　</w:t>
                      </w:r>
                      <w:r w:rsidRPr="008E6277">
                        <w:rPr>
                          <w:rFonts w:ascii="標楷體" w:eastAsia="標楷體" w:hAnsi="標楷體" w:hint="eastAsia"/>
                          <w:b/>
                        </w:rPr>
                        <w:t>檢討科技經費退場金額占整體科技經費比率</w:t>
                      </w:r>
                    </w:p>
                    <w:p w14:paraId="2644DAAF" w14:textId="77777777" w:rsidR="00A0212B" w:rsidRPr="00BA7F2A" w:rsidRDefault="00A0212B" w:rsidP="000131EC">
                      <w:pPr>
                        <w:adjustRightInd w:val="0"/>
                        <w:snapToGrid w:val="0"/>
                        <w:spacing w:line="260" w:lineRule="exact"/>
                        <w:ind w:left="410" w:rightChars="-5" w:right="-12" w:hangingChars="205" w:hanging="410"/>
                        <w:jc w:val="right"/>
                        <w:rPr>
                          <w:rFonts w:ascii="標楷體" w:eastAsia="標楷體" w:hAnsi="標楷體"/>
                          <w:sz w:val="20"/>
                          <w:szCs w:val="28"/>
                        </w:rPr>
                      </w:pPr>
                      <w:r w:rsidRPr="00BA7F2A">
                        <w:rPr>
                          <w:rFonts w:ascii="標楷體" w:eastAsia="標楷體" w:hAnsi="標楷體" w:hint="eastAsia"/>
                          <w:sz w:val="20"/>
                          <w:szCs w:val="28"/>
                        </w:rPr>
                        <w:t>單位：新臺幣億元、％</w:t>
                      </w:r>
                    </w:p>
                    <w:tbl>
                      <w:tblPr>
                        <w:tblW w:w="5632"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96"/>
                        <w:gridCol w:w="993"/>
                        <w:gridCol w:w="1275"/>
                        <w:gridCol w:w="993"/>
                        <w:gridCol w:w="1275"/>
                      </w:tblGrid>
                      <w:tr w:rsidR="00A0212B" w:rsidRPr="00BA7F2A" w14:paraId="45211326" w14:textId="77777777" w:rsidTr="000131EC">
                        <w:trPr>
                          <w:trHeight w:val="324"/>
                          <w:tblHeader/>
                        </w:trPr>
                        <w:tc>
                          <w:tcPr>
                            <w:tcW w:w="1096" w:type="dxa"/>
                            <w:vMerge w:val="restart"/>
                            <w:shd w:val="clear" w:color="auto" w:fill="auto"/>
                            <w:noWrap/>
                            <w:vAlign w:val="center"/>
                            <w:hideMark/>
                          </w:tcPr>
                          <w:p w14:paraId="3A862C76"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主管機關</w:t>
                            </w:r>
                          </w:p>
                        </w:tc>
                        <w:tc>
                          <w:tcPr>
                            <w:tcW w:w="2268" w:type="dxa"/>
                            <w:gridSpan w:val="2"/>
                            <w:vAlign w:val="center"/>
                          </w:tcPr>
                          <w:p w14:paraId="4864903F" w14:textId="77777777" w:rsidR="00A0212B" w:rsidRPr="009768E7"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1</w:t>
                            </w:r>
                            <w:r w:rsidRPr="009768E7">
                              <w:rPr>
                                <w:rFonts w:ascii="標楷體" w:eastAsia="標楷體" w:hAnsi="標楷體"/>
                                <w:sz w:val="20"/>
                              </w:rPr>
                              <w:t>1</w:t>
                            </w:r>
                            <w:r w:rsidRPr="00BA7F2A">
                              <w:rPr>
                                <w:rFonts w:ascii="標楷體" w:eastAsia="標楷體" w:hAnsi="標楷體" w:hint="eastAsia"/>
                                <w:sz w:val="20"/>
                              </w:rPr>
                              <w:t>1</w:t>
                            </w:r>
                            <w:r w:rsidRPr="009768E7">
                              <w:rPr>
                                <w:rFonts w:ascii="標楷體" w:eastAsia="標楷體" w:hAnsi="標楷體" w:hint="eastAsia"/>
                                <w:sz w:val="20"/>
                              </w:rPr>
                              <w:t>年度</w:t>
                            </w:r>
                          </w:p>
                        </w:tc>
                        <w:tc>
                          <w:tcPr>
                            <w:tcW w:w="2268" w:type="dxa"/>
                            <w:gridSpan w:val="2"/>
                            <w:shd w:val="clear" w:color="auto" w:fill="auto"/>
                            <w:noWrap/>
                            <w:vAlign w:val="center"/>
                          </w:tcPr>
                          <w:p w14:paraId="54FE9182" w14:textId="77777777" w:rsidR="00A0212B" w:rsidRPr="009768E7"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1</w:t>
                            </w:r>
                            <w:r w:rsidRPr="009768E7">
                              <w:rPr>
                                <w:rFonts w:ascii="標楷體" w:eastAsia="標楷體" w:hAnsi="標楷體"/>
                                <w:sz w:val="20"/>
                              </w:rPr>
                              <w:t>1</w:t>
                            </w:r>
                            <w:r w:rsidRPr="00BA7F2A">
                              <w:rPr>
                                <w:rFonts w:ascii="標楷體" w:eastAsia="標楷體" w:hAnsi="標楷體"/>
                                <w:sz w:val="20"/>
                              </w:rPr>
                              <w:t>2</w:t>
                            </w:r>
                            <w:r w:rsidRPr="009768E7">
                              <w:rPr>
                                <w:rFonts w:ascii="標楷體" w:eastAsia="標楷體" w:hAnsi="標楷體" w:hint="eastAsia"/>
                                <w:sz w:val="20"/>
                              </w:rPr>
                              <w:t>年度</w:t>
                            </w:r>
                          </w:p>
                        </w:tc>
                      </w:tr>
                      <w:tr w:rsidR="00A0212B" w:rsidRPr="00BA7F2A" w14:paraId="3B311305" w14:textId="77777777" w:rsidTr="000131EC">
                        <w:trPr>
                          <w:trHeight w:val="324"/>
                          <w:tblHeader/>
                        </w:trPr>
                        <w:tc>
                          <w:tcPr>
                            <w:tcW w:w="1096" w:type="dxa"/>
                            <w:vMerge/>
                            <w:shd w:val="clear" w:color="auto" w:fill="auto"/>
                            <w:noWrap/>
                            <w:vAlign w:val="center"/>
                          </w:tcPr>
                          <w:p w14:paraId="20E87A5D" w14:textId="77777777" w:rsidR="00A0212B" w:rsidRPr="00BA7F2A"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p>
                        </w:tc>
                        <w:tc>
                          <w:tcPr>
                            <w:tcW w:w="993" w:type="dxa"/>
                            <w:vAlign w:val="center"/>
                          </w:tcPr>
                          <w:p w14:paraId="11AB084C" w14:textId="77777777" w:rsidR="00A0212B" w:rsidRPr="00BA7F2A"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退場金額</w:t>
                            </w:r>
                          </w:p>
                        </w:tc>
                        <w:tc>
                          <w:tcPr>
                            <w:tcW w:w="1275" w:type="dxa"/>
                            <w:noWrap/>
                            <w:vAlign w:val="center"/>
                          </w:tcPr>
                          <w:p w14:paraId="6969FC29" w14:textId="77777777" w:rsidR="00A0212B"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占機關整體</w:t>
                            </w:r>
                          </w:p>
                          <w:p w14:paraId="21FBA5B6" w14:textId="77777777" w:rsidR="00A0212B" w:rsidRPr="00BA7F2A"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科技經費比率</w:t>
                            </w:r>
                          </w:p>
                        </w:tc>
                        <w:tc>
                          <w:tcPr>
                            <w:tcW w:w="993" w:type="dxa"/>
                            <w:shd w:val="clear" w:color="auto" w:fill="auto"/>
                            <w:noWrap/>
                            <w:vAlign w:val="center"/>
                          </w:tcPr>
                          <w:p w14:paraId="4E10F169" w14:textId="77777777" w:rsidR="00A0212B" w:rsidRPr="00BA7F2A"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退場金額</w:t>
                            </w:r>
                          </w:p>
                        </w:tc>
                        <w:tc>
                          <w:tcPr>
                            <w:tcW w:w="1275" w:type="dxa"/>
                            <w:shd w:val="clear" w:color="auto" w:fill="auto"/>
                            <w:noWrap/>
                            <w:vAlign w:val="center"/>
                          </w:tcPr>
                          <w:p w14:paraId="7B0A2F1E" w14:textId="77777777" w:rsidR="00A0212B" w:rsidRPr="009768E7"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占機關整體</w:t>
                            </w:r>
                          </w:p>
                          <w:p w14:paraId="50BE9A44" w14:textId="77777777" w:rsidR="00A0212B" w:rsidRPr="00BA7F2A" w:rsidRDefault="00A0212B" w:rsidP="000131EC">
                            <w:pPr>
                              <w:adjustRightInd w:val="0"/>
                              <w:snapToGrid w:val="0"/>
                              <w:spacing w:line="240" w:lineRule="exact"/>
                              <w:ind w:rightChars="-5" w:right="-12"/>
                              <w:jc w:val="center"/>
                              <w:rPr>
                                <w:rFonts w:ascii="標楷體" w:eastAsia="標楷體" w:hAnsi="標楷體"/>
                                <w:sz w:val="20"/>
                              </w:rPr>
                            </w:pPr>
                            <w:r w:rsidRPr="009768E7">
                              <w:rPr>
                                <w:rFonts w:ascii="標楷體" w:eastAsia="標楷體" w:hAnsi="標楷體" w:hint="eastAsia"/>
                                <w:sz w:val="20"/>
                              </w:rPr>
                              <w:t>科技經費比率</w:t>
                            </w:r>
                          </w:p>
                        </w:tc>
                      </w:tr>
                      <w:tr w:rsidR="00A0212B" w:rsidRPr="00BA7F2A" w14:paraId="7554D027" w14:textId="77777777" w:rsidTr="000131EC">
                        <w:trPr>
                          <w:trHeight w:val="283"/>
                        </w:trPr>
                        <w:tc>
                          <w:tcPr>
                            <w:tcW w:w="1096" w:type="dxa"/>
                            <w:shd w:val="clear" w:color="auto" w:fill="auto"/>
                            <w:noWrap/>
                            <w:vAlign w:val="center"/>
                            <w:hideMark/>
                          </w:tcPr>
                          <w:p w14:paraId="64B38B5E"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國家科學及技術委員會</w:t>
                            </w:r>
                          </w:p>
                        </w:tc>
                        <w:tc>
                          <w:tcPr>
                            <w:tcW w:w="993" w:type="dxa"/>
                            <w:vAlign w:val="center"/>
                          </w:tcPr>
                          <w:p w14:paraId="56F68C35"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w:t>
                            </w:r>
                            <w:r w:rsidRPr="009768E7">
                              <w:rPr>
                                <w:rFonts w:ascii="標楷體" w:eastAsia="標楷體" w:hAnsi="標楷體"/>
                                <w:color w:val="000000" w:themeColor="text1"/>
                                <w:sz w:val="20"/>
                              </w:rPr>
                              <w:t>3.13</w:t>
                            </w:r>
                          </w:p>
                        </w:tc>
                        <w:tc>
                          <w:tcPr>
                            <w:tcW w:w="1275" w:type="dxa"/>
                            <w:noWrap/>
                            <w:vAlign w:val="center"/>
                          </w:tcPr>
                          <w:p w14:paraId="4B6DBF25"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w:t>
                            </w:r>
                            <w:r w:rsidRPr="009768E7">
                              <w:rPr>
                                <w:rFonts w:ascii="標楷體" w:eastAsia="標楷體" w:hAnsi="標楷體"/>
                                <w:color w:val="000000" w:themeColor="text1"/>
                                <w:sz w:val="20"/>
                              </w:rPr>
                              <w:t>0.78</w:t>
                            </w:r>
                          </w:p>
                        </w:tc>
                        <w:tc>
                          <w:tcPr>
                            <w:tcW w:w="993" w:type="dxa"/>
                            <w:shd w:val="clear" w:color="auto" w:fill="D9D9D9" w:themeFill="background1" w:themeFillShade="D9"/>
                            <w:noWrap/>
                            <w:vAlign w:val="center"/>
                          </w:tcPr>
                          <w:p w14:paraId="4C4ACBE0"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3.56</w:t>
                            </w:r>
                          </w:p>
                        </w:tc>
                        <w:tc>
                          <w:tcPr>
                            <w:tcW w:w="1275" w:type="dxa"/>
                            <w:shd w:val="clear" w:color="auto" w:fill="D9D9D9" w:themeFill="background1" w:themeFillShade="D9"/>
                            <w:noWrap/>
                            <w:vAlign w:val="center"/>
                          </w:tcPr>
                          <w:p w14:paraId="6C7C3D9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2.14</w:t>
                            </w:r>
                          </w:p>
                        </w:tc>
                      </w:tr>
                      <w:tr w:rsidR="00A0212B" w:rsidRPr="00BA7F2A" w14:paraId="3B89AA47" w14:textId="77777777" w:rsidTr="000131EC">
                        <w:trPr>
                          <w:trHeight w:val="283"/>
                        </w:trPr>
                        <w:tc>
                          <w:tcPr>
                            <w:tcW w:w="1096" w:type="dxa"/>
                            <w:shd w:val="clear" w:color="auto" w:fill="auto"/>
                            <w:noWrap/>
                            <w:vAlign w:val="center"/>
                            <w:hideMark/>
                          </w:tcPr>
                          <w:p w14:paraId="51C26ED0"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經濟部</w:t>
                            </w:r>
                          </w:p>
                        </w:tc>
                        <w:tc>
                          <w:tcPr>
                            <w:tcW w:w="993" w:type="dxa"/>
                            <w:shd w:val="clear" w:color="auto" w:fill="D9D9D9" w:themeFill="background1" w:themeFillShade="D9"/>
                            <w:vAlign w:val="center"/>
                          </w:tcPr>
                          <w:p w14:paraId="2B220B23"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2</w:t>
                            </w:r>
                            <w:r w:rsidRPr="009768E7">
                              <w:rPr>
                                <w:rFonts w:ascii="標楷體" w:eastAsia="標楷體" w:hAnsi="標楷體"/>
                                <w:color w:val="000000" w:themeColor="text1"/>
                                <w:sz w:val="20"/>
                              </w:rPr>
                              <w:t>9.10</w:t>
                            </w:r>
                          </w:p>
                        </w:tc>
                        <w:tc>
                          <w:tcPr>
                            <w:tcW w:w="1275" w:type="dxa"/>
                            <w:shd w:val="clear" w:color="auto" w:fill="D9D9D9" w:themeFill="background1" w:themeFillShade="D9"/>
                            <w:noWrap/>
                            <w:vAlign w:val="center"/>
                          </w:tcPr>
                          <w:p w14:paraId="541214E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9</w:t>
                            </w:r>
                            <w:r w:rsidRPr="009768E7">
                              <w:rPr>
                                <w:rFonts w:ascii="標楷體" w:eastAsia="標楷體" w:hAnsi="標楷體"/>
                                <w:color w:val="000000" w:themeColor="text1"/>
                                <w:sz w:val="20"/>
                              </w:rPr>
                              <w:t>.97</w:t>
                            </w:r>
                          </w:p>
                        </w:tc>
                        <w:tc>
                          <w:tcPr>
                            <w:tcW w:w="993" w:type="dxa"/>
                            <w:shd w:val="clear" w:color="auto" w:fill="auto"/>
                            <w:noWrap/>
                            <w:vAlign w:val="center"/>
                          </w:tcPr>
                          <w:p w14:paraId="54B9D8C9"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31.38</w:t>
                            </w:r>
                          </w:p>
                        </w:tc>
                        <w:tc>
                          <w:tcPr>
                            <w:tcW w:w="1275" w:type="dxa"/>
                            <w:shd w:val="clear" w:color="auto" w:fill="auto"/>
                            <w:noWrap/>
                            <w:vAlign w:val="center"/>
                          </w:tcPr>
                          <w:p w14:paraId="78BE6731"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10.10</w:t>
                            </w:r>
                          </w:p>
                        </w:tc>
                      </w:tr>
                      <w:tr w:rsidR="00A0212B" w:rsidRPr="00BA7F2A" w14:paraId="25E37348" w14:textId="77777777" w:rsidTr="000131EC">
                        <w:trPr>
                          <w:trHeight w:val="283"/>
                        </w:trPr>
                        <w:tc>
                          <w:tcPr>
                            <w:tcW w:w="1096" w:type="dxa"/>
                            <w:shd w:val="clear" w:color="auto" w:fill="auto"/>
                            <w:noWrap/>
                            <w:vAlign w:val="center"/>
                            <w:hideMark/>
                          </w:tcPr>
                          <w:p w14:paraId="2B5639CA"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中央研究院</w:t>
                            </w:r>
                          </w:p>
                        </w:tc>
                        <w:tc>
                          <w:tcPr>
                            <w:tcW w:w="993" w:type="dxa"/>
                            <w:shd w:val="clear" w:color="auto" w:fill="auto"/>
                            <w:vAlign w:val="center"/>
                          </w:tcPr>
                          <w:p w14:paraId="25F3C59D"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w:t>
                            </w:r>
                          </w:p>
                        </w:tc>
                        <w:tc>
                          <w:tcPr>
                            <w:tcW w:w="1275" w:type="dxa"/>
                            <w:shd w:val="clear" w:color="auto" w:fill="auto"/>
                            <w:noWrap/>
                            <w:vAlign w:val="center"/>
                          </w:tcPr>
                          <w:p w14:paraId="13F0D99A"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w:t>
                            </w:r>
                          </w:p>
                        </w:tc>
                        <w:tc>
                          <w:tcPr>
                            <w:tcW w:w="993" w:type="dxa"/>
                            <w:shd w:val="clear" w:color="auto" w:fill="D9D9D9" w:themeFill="background1" w:themeFillShade="D9"/>
                            <w:noWrap/>
                            <w:vAlign w:val="center"/>
                          </w:tcPr>
                          <w:p w14:paraId="19D899F3"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.53</w:t>
                            </w:r>
                          </w:p>
                        </w:tc>
                        <w:tc>
                          <w:tcPr>
                            <w:tcW w:w="1275" w:type="dxa"/>
                            <w:shd w:val="clear" w:color="auto" w:fill="D9D9D9" w:themeFill="background1" w:themeFillShade="D9"/>
                            <w:noWrap/>
                            <w:vAlign w:val="center"/>
                          </w:tcPr>
                          <w:p w14:paraId="2596D12D"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5</w:t>
                            </w:r>
                            <w:r w:rsidRPr="009768E7">
                              <w:rPr>
                                <w:rFonts w:ascii="標楷體" w:eastAsia="標楷體" w:hAnsi="標楷體" w:cs="Arial"/>
                                <w:color w:val="000000" w:themeColor="text1"/>
                                <w:kern w:val="0"/>
                                <w:sz w:val="20"/>
                              </w:rPr>
                              <w:t>.45</w:t>
                            </w:r>
                          </w:p>
                        </w:tc>
                      </w:tr>
                      <w:tr w:rsidR="00A0212B" w:rsidRPr="00BA7F2A" w14:paraId="44D2A505" w14:textId="77777777" w:rsidTr="000131EC">
                        <w:trPr>
                          <w:trHeight w:val="283"/>
                        </w:trPr>
                        <w:tc>
                          <w:tcPr>
                            <w:tcW w:w="1096" w:type="dxa"/>
                            <w:shd w:val="clear" w:color="auto" w:fill="auto"/>
                            <w:noWrap/>
                            <w:vAlign w:val="center"/>
                            <w:hideMark/>
                          </w:tcPr>
                          <w:p w14:paraId="21CA5305"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衛生福利部</w:t>
                            </w:r>
                          </w:p>
                        </w:tc>
                        <w:tc>
                          <w:tcPr>
                            <w:tcW w:w="993" w:type="dxa"/>
                            <w:shd w:val="clear" w:color="auto" w:fill="D9D9D9" w:themeFill="background1" w:themeFillShade="D9"/>
                            <w:vAlign w:val="center"/>
                          </w:tcPr>
                          <w:p w14:paraId="69DFB3B1"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4</w:t>
                            </w:r>
                            <w:r w:rsidRPr="009768E7">
                              <w:rPr>
                                <w:rFonts w:ascii="標楷體" w:eastAsia="標楷體" w:hAnsi="標楷體"/>
                                <w:color w:val="000000" w:themeColor="text1"/>
                                <w:sz w:val="20"/>
                              </w:rPr>
                              <w:t>.29</w:t>
                            </w:r>
                          </w:p>
                        </w:tc>
                        <w:tc>
                          <w:tcPr>
                            <w:tcW w:w="1275" w:type="dxa"/>
                            <w:shd w:val="clear" w:color="auto" w:fill="D9D9D9" w:themeFill="background1" w:themeFillShade="D9"/>
                            <w:noWrap/>
                            <w:vAlign w:val="center"/>
                          </w:tcPr>
                          <w:p w14:paraId="45FD7514"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8</w:t>
                            </w:r>
                            <w:r w:rsidRPr="009768E7">
                              <w:rPr>
                                <w:rFonts w:ascii="標楷體" w:eastAsia="標楷體" w:hAnsi="標楷體"/>
                                <w:color w:val="000000" w:themeColor="text1"/>
                                <w:sz w:val="20"/>
                              </w:rPr>
                              <w:t>.75</w:t>
                            </w:r>
                          </w:p>
                        </w:tc>
                        <w:tc>
                          <w:tcPr>
                            <w:tcW w:w="993" w:type="dxa"/>
                            <w:shd w:val="clear" w:color="auto" w:fill="auto"/>
                            <w:noWrap/>
                            <w:vAlign w:val="center"/>
                          </w:tcPr>
                          <w:p w14:paraId="278149B2"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7.50</w:t>
                            </w:r>
                          </w:p>
                        </w:tc>
                        <w:tc>
                          <w:tcPr>
                            <w:tcW w:w="1275" w:type="dxa"/>
                            <w:shd w:val="clear" w:color="auto" w:fill="auto"/>
                            <w:noWrap/>
                            <w:vAlign w:val="center"/>
                          </w:tcPr>
                          <w:p w14:paraId="25F50BC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13.55</w:t>
                            </w:r>
                          </w:p>
                        </w:tc>
                      </w:tr>
                      <w:tr w:rsidR="00A0212B" w:rsidRPr="00BA7F2A" w14:paraId="2B55A1AF" w14:textId="77777777" w:rsidTr="000131EC">
                        <w:trPr>
                          <w:trHeight w:val="283"/>
                        </w:trPr>
                        <w:tc>
                          <w:tcPr>
                            <w:tcW w:w="1096" w:type="dxa"/>
                            <w:shd w:val="clear" w:color="auto" w:fill="auto"/>
                            <w:noWrap/>
                            <w:vAlign w:val="center"/>
                            <w:hideMark/>
                          </w:tcPr>
                          <w:p w14:paraId="601179B8"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交通部</w:t>
                            </w:r>
                          </w:p>
                        </w:tc>
                        <w:tc>
                          <w:tcPr>
                            <w:tcW w:w="993" w:type="dxa"/>
                            <w:tcBorders>
                              <w:bottom w:val="single" w:sz="4" w:space="0" w:color="auto"/>
                            </w:tcBorders>
                            <w:shd w:val="clear" w:color="auto" w:fill="D9D9D9" w:themeFill="background1" w:themeFillShade="D9"/>
                            <w:vAlign w:val="center"/>
                          </w:tcPr>
                          <w:p w14:paraId="19777DEF"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w:t>
                            </w:r>
                            <w:r w:rsidRPr="009768E7">
                              <w:rPr>
                                <w:rFonts w:ascii="標楷體" w:eastAsia="標楷體" w:hAnsi="標楷體"/>
                                <w:color w:val="000000" w:themeColor="text1"/>
                                <w:sz w:val="20"/>
                              </w:rPr>
                              <w:t>.46</w:t>
                            </w:r>
                          </w:p>
                        </w:tc>
                        <w:tc>
                          <w:tcPr>
                            <w:tcW w:w="1275" w:type="dxa"/>
                            <w:tcBorders>
                              <w:bottom w:val="single" w:sz="4" w:space="0" w:color="auto"/>
                            </w:tcBorders>
                            <w:shd w:val="clear" w:color="auto" w:fill="D9D9D9" w:themeFill="background1" w:themeFillShade="D9"/>
                            <w:noWrap/>
                            <w:vAlign w:val="center"/>
                          </w:tcPr>
                          <w:p w14:paraId="1826F77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3</w:t>
                            </w:r>
                            <w:r w:rsidRPr="009768E7">
                              <w:rPr>
                                <w:rFonts w:ascii="標楷體" w:eastAsia="標楷體" w:hAnsi="標楷體"/>
                                <w:color w:val="000000" w:themeColor="text1"/>
                                <w:sz w:val="20"/>
                              </w:rPr>
                              <w:t>.75</w:t>
                            </w:r>
                          </w:p>
                        </w:tc>
                        <w:tc>
                          <w:tcPr>
                            <w:tcW w:w="993" w:type="dxa"/>
                            <w:shd w:val="clear" w:color="auto" w:fill="auto"/>
                            <w:noWrap/>
                            <w:vAlign w:val="center"/>
                          </w:tcPr>
                          <w:p w14:paraId="29F1630F"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1.60</w:t>
                            </w:r>
                          </w:p>
                        </w:tc>
                        <w:tc>
                          <w:tcPr>
                            <w:tcW w:w="1275" w:type="dxa"/>
                            <w:shd w:val="clear" w:color="auto" w:fill="auto"/>
                            <w:noWrap/>
                            <w:vAlign w:val="center"/>
                          </w:tcPr>
                          <w:p w14:paraId="2C71F876"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12.02</w:t>
                            </w:r>
                          </w:p>
                        </w:tc>
                      </w:tr>
                      <w:tr w:rsidR="00A0212B" w:rsidRPr="00BA7F2A" w14:paraId="73D98BED" w14:textId="77777777" w:rsidTr="000131EC">
                        <w:trPr>
                          <w:trHeight w:val="283"/>
                        </w:trPr>
                        <w:tc>
                          <w:tcPr>
                            <w:tcW w:w="1096" w:type="dxa"/>
                            <w:shd w:val="clear" w:color="auto" w:fill="auto"/>
                            <w:noWrap/>
                            <w:vAlign w:val="center"/>
                            <w:hideMark/>
                          </w:tcPr>
                          <w:p w14:paraId="0F286FBF"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內政部</w:t>
                            </w:r>
                          </w:p>
                        </w:tc>
                        <w:tc>
                          <w:tcPr>
                            <w:tcW w:w="993" w:type="dxa"/>
                            <w:shd w:val="clear" w:color="auto" w:fill="auto"/>
                            <w:vAlign w:val="center"/>
                          </w:tcPr>
                          <w:p w14:paraId="1D53BC91"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w:t>
                            </w:r>
                          </w:p>
                        </w:tc>
                        <w:tc>
                          <w:tcPr>
                            <w:tcW w:w="1275" w:type="dxa"/>
                            <w:shd w:val="clear" w:color="auto" w:fill="auto"/>
                            <w:noWrap/>
                            <w:vAlign w:val="center"/>
                          </w:tcPr>
                          <w:p w14:paraId="3075D9C6"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w:t>
                            </w:r>
                          </w:p>
                        </w:tc>
                        <w:tc>
                          <w:tcPr>
                            <w:tcW w:w="993" w:type="dxa"/>
                            <w:shd w:val="clear" w:color="auto" w:fill="D9D9D9" w:themeFill="background1" w:themeFillShade="D9"/>
                            <w:noWrap/>
                            <w:vAlign w:val="center"/>
                          </w:tcPr>
                          <w:p w14:paraId="34304544"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.22</w:t>
                            </w:r>
                          </w:p>
                        </w:tc>
                        <w:tc>
                          <w:tcPr>
                            <w:tcW w:w="1275" w:type="dxa"/>
                            <w:shd w:val="clear" w:color="auto" w:fill="D9D9D9" w:themeFill="background1" w:themeFillShade="D9"/>
                            <w:noWrap/>
                            <w:vAlign w:val="center"/>
                          </w:tcPr>
                          <w:p w14:paraId="3ADE0E5B"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3</w:t>
                            </w:r>
                            <w:r w:rsidRPr="009768E7">
                              <w:rPr>
                                <w:rFonts w:ascii="標楷體" w:eastAsia="標楷體" w:hAnsi="標楷體" w:cs="Arial"/>
                                <w:color w:val="000000" w:themeColor="text1"/>
                                <w:kern w:val="0"/>
                                <w:sz w:val="20"/>
                              </w:rPr>
                              <w:t>.18</w:t>
                            </w:r>
                          </w:p>
                        </w:tc>
                      </w:tr>
                      <w:tr w:rsidR="00A0212B" w:rsidRPr="00BA7F2A" w14:paraId="1E9503CF" w14:textId="77777777" w:rsidTr="000131EC">
                        <w:trPr>
                          <w:trHeight w:val="283"/>
                        </w:trPr>
                        <w:tc>
                          <w:tcPr>
                            <w:tcW w:w="1096" w:type="dxa"/>
                            <w:shd w:val="clear" w:color="auto" w:fill="auto"/>
                            <w:noWrap/>
                            <w:vAlign w:val="center"/>
                            <w:hideMark/>
                          </w:tcPr>
                          <w:p w14:paraId="7BD9FF40"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文化部</w:t>
                            </w:r>
                          </w:p>
                        </w:tc>
                        <w:tc>
                          <w:tcPr>
                            <w:tcW w:w="993" w:type="dxa"/>
                            <w:shd w:val="clear" w:color="auto" w:fill="auto"/>
                            <w:vAlign w:val="center"/>
                          </w:tcPr>
                          <w:p w14:paraId="752239B3"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2</w:t>
                            </w:r>
                            <w:r w:rsidRPr="009768E7">
                              <w:rPr>
                                <w:rFonts w:ascii="標楷體" w:eastAsia="標楷體" w:hAnsi="標楷體"/>
                                <w:color w:val="000000" w:themeColor="text1"/>
                                <w:sz w:val="20"/>
                              </w:rPr>
                              <w:t>.67</w:t>
                            </w:r>
                          </w:p>
                        </w:tc>
                        <w:tc>
                          <w:tcPr>
                            <w:tcW w:w="1275" w:type="dxa"/>
                            <w:shd w:val="clear" w:color="auto" w:fill="auto"/>
                            <w:noWrap/>
                            <w:vAlign w:val="center"/>
                          </w:tcPr>
                          <w:p w14:paraId="3D0C872E"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hint="eastAsia"/>
                                <w:color w:val="000000" w:themeColor="text1"/>
                                <w:sz w:val="20"/>
                              </w:rPr>
                              <w:t>5</w:t>
                            </w:r>
                            <w:r w:rsidRPr="009768E7">
                              <w:rPr>
                                <w:rFonts w:ascii="標楷體" w:eastAsia="標楷體" w:hAnsi="標楷體"/>
                                <w:color w:val="000000" w:themeColor="text1"/>
                                <w:sz w:val="20"/>
                              </w:rPr>
                              <w:t>0.62</w:t>
                            </w:r>
                          </w:p>
                        </w:tc>
                        <w:tc>
                          <w:tcPr>
                            <w:tcW w:w="993" w:type="dxa"/>
                            <w:shd w:val="clear" w:color="auto" w:fill="auto"/>
                            <w:noWrap/>
                            <w:vAlign w:val="center"/>
                          </w:tcPr>
                          <w:p w14:paraId="24AAD2F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.97</w:t>
                            </w:r>
                          </w:p>
                        </w:tc>
                        <w:tc>
                          <w:tcPr>
                            <w:tcW w:w="1275" w:type="dxa"/>
                            <w:shd w:val="clear" w:color="auto" w:fill="auto"/>
                            <w:noWrap/>
                            <w:vAlign w:val="center"/>
                          </w:tcPr>
                          <w:p w14:paraId="486D2799"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cs="Arial" w:hint="eastAsia"/>
                                <w:color w:val="000000" w:themeColor="text1"/>
                                <w:kern w:val="0"/>
                                <w:sz w:val="20"/>
                              </w:rPr>
                              <w:t>1</w:t>
                            </w:r>
                            <w:r w:rsidRPr="009768E7">
                              <w:rPr>
                                <w:rFonts w:ascii="標楷體" w:eastAsia="標楷體" w:hAnsi="標楷體" w:cs="Arial"/>
                                <w:color w:val="000000" w:themeColor="text1"/>
                                <w:kern w:val="0"/>
                                <w:sz w:val="20"/>
                              </w:rPr>
                              <w:t>4.35</w:t>
                            </w:r>
                          </w:p>
                        </w:tc>
                      </w:tr>
                      <w:tr w:rsidR="00A0212B" w:rsidRPr="00BA7F2A" w14:paraId="3A4098A1" w14:textId="77777777" w:rsidTr="000131EC">
                        <w:trPr>
                          <w:trHeight w:val="283"/>
                        </w:trPr>
                        <w:tc>
                          <w:tcPr>
                            <w:tcW w:w="1096" w:type="dxa"/>
                            <w:shd w:val="clear" w:color="auto" w:fill="auto"/>
                            <w:noWrap/>
                            <w:vAlign w:val="center"/>
                            <w:hideMark/>
                          </w:tcPr>
                          <w:p w14:paraId="55BFCCE7"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法務部</w:t>
                            </w:r>
                          </w:p>
                        </w:tc>
                        <w:tc>
                          <w:tcPr>
                            <w:tcW w:w="993" w:type="dxa"/>
                            <w:shd w:val="clear" w:color="auto" w:fill="auto"/>
                            <w:vAlign w:val="center"/>
                          </w:tcPr>
                          <w:p w14:paraId="3A24964E"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.51</w:t>
                            </w:r>
                          </w:p>
                        </w:tc>
                        <w:tc>
                          <w:tcPr>
                            <w:tcW w:w="1275" w:type="dxa"/>
                            <w:shd w:val="clear" w:color="auto" w:fill="auto"/>
                            <w:noWrap/>
                            <w:vAlign w:val="center"/>
                          </w:tcPr>
                          <w:p w14:paraId="28A706C1"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2</w:t>
                            </w:r>
                            <w:r w:rsidRPr="009768E7">
                              <w:rPr>
                                <w:rFonts w:ascii="標楷體" w:eastAsia="標楷體" w:hAnsi="標楷體" w:cs="Arial"/>
                                <w:color w:val="000000" w:themeColor="text1"/>
                                <w:kern w:val="0"/>
                                <w:sz w:val="20"/>
                              </w:rPr>
                              <w:t>4.44</w:t>
                            </w:r>
                          </w:p>
                        </w:tc>
                        <w:tc>
                          <w:tcPr>
                            <w:tcW w:w="993" w:type="dxa"/>
                            <w:tcBorders>
                              <w:bottom w:val="single" w:sz="4" w:space="0" w:color="auto"/>
                            </w:tcBorders>
                            <w:shd w:val="clear" w:color="auto" w:fill="D9D9D9" w:themeFill="background1" w:themeFillShade="D9"/>
                            <w:noWrap/>
                            <w:vAlign w:val="center"/>
                          </w:tcPr>
                          <w:p w14:paraId="2ABADA7A"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0.17</w:t>
                            </w:r>
                          </w:p>
                        </w:tc>
                        <w:tc>
                          <w:tcPr>
                            <w:tcW w:w="1275" w:type="dxa"/>
                            <w:tcBorders>
                              <w:bottom w:val="single" w:sz="4" w:space="0" w:color="auto"/>
                            </w:tcBorders>
                            <w:shd w:val="clear" w:color="auto" w:fill="D9D9D9" w:themeFill="background1" w:themeFillShade="D9"/>
                            <w:noWrap/>
                            <w:vAlign w:val="center"/>
                          </w:tcPr>
                          <w:p w14:paraId="5D5C5548"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8.57</w:t>
                            </w:r>
                          </w:p>
                        </w:tc>
                      </w:tr>
                      <w:tr w:rsidR="00A0212B" w:rsidRPr="00BA7F2A" w14:paraId="0BE6DD9F" w14:textId="77777777" w:rsidTr="000131EC">
                        <w:trPr>
                          <w:trHeight w:val="283"/>
                        </w:trPr>
                        <w:tc>
                          <w:tcPr>
                            <w:tcW w:w="1096" w:type="dxa"/>
                            <w:shd w:val="clear" w:color="auto" w:fill="auto"/>
                            <w:noWrap/>
                            <w:vAlign w:val="center"/>
                            <w:hideMark/>
                          </w:tcPr>
                          <w:p w14:paraId="5B2C1A6D"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財政部</w:t>
                            </w:r>
                          </w:p>
                        </w:tc>
                        <w:tc>
                          <w:tcPr>
                            <w:tcW w:w="993" w:type="dxa"/>
                            <w:shd w:val="clear" w:color="auto" w:fill="D9D9D9" w:themeFill="background1" w:themeFillShade="D9"/>
                            <w:vAlign w:val="center"/>
                          </w:tcPr>
                          <w:p w14:paraId="45FE9B71"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0.30</w:t>
                            </w:r>
                          </w:p>
                        </w:tc>
                        <w:tc>
                          <w:tcPr>
                            <w:tcW w:w="1275" w:type="dxa"/>
                            <w:shd w:val="clear" w:color="auto" w:fill="D9D9D9" w:themeFill="background1" w:themeFillShade="D9"/>
                            <w:noWrap/>
                            <w:vAlign w:val="center"/>
                          </w:tcPr>
                          <w:p w14:paraId="539E21B4"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9.09</w:t>
                            </w:r>
                          </w:p>
                        </w:tc>
                        <w:tc>
                          <w:tcPr>
                            <w:tcW w:w="993" w:type="dxa"/>
                            <w:tcBorders>
                              <w:tl2br w:val="nil"/>
                            </w:tcBorders>
                            <w:shd w:val="clear" w:color="auto" w:fill="auto"/>
                            <w:noWrap/>
                            <w:vAlign w:val="center"/>
                          </w:tcPr>
                          <w:p w14:paraId="747FE68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w:t>
                            </w:r>
                          </w:p>
                        </w:tc>
                        <w:tc>
                          <w:tcPr>
                            <w:tcW w:w="1275" w:type="dxa"/>
                            <w:tcBorders>
                              <w:tl2br w:val="nil"/>
                            </w:tcBorders>
                            <w:shd w:val="clear" w:color="auto" w:fill="auto"/>
                            <w:noWrap/>
                            <w:vAlign w:val="center"/>
                          </w:tcPr>
                          <w:p w14:paraId="69BCD290"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w:t>
                            </w:r>
                          </w:p>
                        </w:tc>
                      </w:tr>
                      <w:tr w:rsidR="00A0212B" w:rsidRPr="00BA7F2A" w14:paraId="6FC50148" w14:textId="77777777" w:rsidTr="000131EC">
                        <w:trPr>
                          <w:trHeight w:val="283"/>
                        </w:trPr>
                        <w:tc>
                          <w:tcPr>
                            <w:tcW w:w="1096" w:type="dxa"/>
                            <w:shd w:val="clear" w:color="auto" w:fill="auto"/>
                            <w:noWrap/>
                            <w:vAlign w:val="center"/>
                            <w:hideMark/>
                          </w:tcPr>
                          <w:p w14:paraId="32D0C12E"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環境保護署</w:t>
                            </w:r>
                            <w:r>
                              <w:rPr>
                                <w:rFonts w:ascii="標楷體" w:eastAsia="標楷體" w:hAnsi="標楷體" w:cs="Arial" w:hint="eastAsia"/>
                                <w:kern w:val="0"/>
                                <w:sz w:val="20"/>
                              </w:rPr>
                              <w:t>（</w:t>
                            </w:r>
                            <w:r w:rsidRPr="009768E7">
                              <w:rPr>
                                <w:rFonts w:ascii="標楷體" w:eastAsia="標楷體" w:hAnsi="標楷體" w:cs="Arial" w:hint="eastAsia"/>
                                <w:kern w:val="0"/>
                                <w:sz w:val="20"/>
                              </w:rPr>
                              <w:t>環境部</w:t>
                            </w:r>
                            <w:r>
                              <w:rPr>
                                <w:rFonts w:ascii="標楷體" w:eastAsia="標楷體" w:hAnsi="標楷體" w:cs="Arial" w:hint="eastAsia"/>
                                <w:kern w:val="0"/>
                                <w:sz w:val="20"/>
                              </w:rPr>
                              <w:t>）</w:t>
                            </w:r>
                          </w:p>
                        </w:tc>
                        <w:tc>
                          <w:tcPr>
                            <w:tcW w:w="993" w:type="dxa"/>
                            <w:shd w:val="clear" w:color="auto" w:fill="D9D9D9" w:themeFill="background1" w:themeFillShade="D9"/>
                            <w:vAlign w:val="center"/>
                          </w:tcPr>
                          <w:p w14:paraId="0D8FBFD4"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w:t>
                            </w:r>
                            <w:r w:rsidRPr="009768E7">
                              <w:rPr>
                                <w:rFonts w:ascii="標楷體" w:eastAsia="標楷體" w:hAnsi="標楷體" w:cs="Arial"/>
                                <w:color w:val="000000" w:themeColor="text1"/>
                                <w:kern w:val="0"/>
                                <w:sz w:val="20"/>
                              </w:rPr>
                              <w:t>.12</w:t>
                            </w:r>
                          </w:p>
                        </w:tc>
                        <w:tc>
                          <w:tcPr>
                            <w:tcW w:w="1275" w:type="dxa"/>
                            <w:shd w:val="clear" w:color="auto" w:fill="D9D9D9" w:themeFill="background1" w:themeFillShade="D9"/>
                            <w:noWrap/>
                            <w:vAlign w:val="center"/>
                          </w:tcPr>
                          <w:p w14:paraId="5EBEF1BE"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9</w:t>
                            </w:r>
                            <w:r w:rsidRPr="009768E7">
                              <w:rPr>
                                <w:rFonts w:ascii="標楷體" w:eastAsia="標楷體" w:hAnsi="標楷體" w:cs="Arial"/>
                                <w:color w:val="000000" w:themeColor="text1"/>
                                <w:kern w:val="0"/>
                                <w:sz w:val="20"/>
                              </w:rPr>
                              <w:t>.23</w:t>
                            </w:r>
                          </w:p>
                        </w:tc>
                        <w:tc>
                          <w:tcPr>
                            <w:tcW w:w="993" w:type="dxa"/>
                            <w:shd w:val="clear" w:color="auto" w:fill="D9D9D9" w:themeFill="background1" w:themeFillShade="D9"/>
                            <w:noWrap/>
                            <w:vAlign w:val="center"/>
                          </w:tcPr>
                          <w:p w14:paraId="5E4CFC09"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0.45</w:t>
                            </w:r>
                          </w:p>
                        </w:tc>
                        <w:tc>
                          <w:tcPr>
                            <w:tcW w:w="1275" w:type="dxa"/>
                            <w:shd w:val="clear" w:color="auto" w:fill="D9D9D9" w:themeFill="background1" w:themeFillShade="D9"/>
                            <w:noWrap/>
                            <w:vAlign w:val="center"/>
                          </w:tcPr>
                          <w:p w14:paraId="4A6DC255"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5.07</w:t>
                            </w:r>
                          </w:p>
                        </w:tc>
                      </w:tr>
                      <w:tr w:rsidR="00A0212B" w:rsidRPr="00BA7F2A" w14:paraId="7BD8DA98" w14:textId="77777777" w:rsidTr="000131EC">
                        <w:trPr>
                          <w:trHeight w:val="283"/>
                        </w:trPr>
                        <w:tc>
                          <w:tcPr>
                            <w:tcW w:w="1096" w:type="dxa"/>
                            <w:shd w:val="clear" w:color="auto" w:fill="auto"/>
                            <w:noWrap/>
                            <w:vAlign w:val="center"/>
                            <w:hideMark/>
                          </w:tcPr>
                          <w:p w14:paraId="73CF0F27"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國防部</w:t>
                            </w:r>
                          </w:p>
                        </w:tc>
                        <w:tc>
                          <w:tcPr>
                            <w:tcW w:w="993" w:type="dxa"/>
                            <w:shd w:val="clear" w:color="auto" w:fill="auto"/>
                            <w:vAlign w:val="center"/>
                          </w:tcPr>
                          <w:p w14:paraId="69854FDD"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0.55</w:t>
                            </w:r>
                          </w:p>
                        </w:tc>
                        <w:tc>
                          <w:tcPr>
                            <w:tcW w:w="1275" w:type="dxa"/>
                            <w:shd w:val="clear" w:color="auto" w:fill="auto"/>
                            <w:noWrap/>
                            <w:vAlign w:val="center"/>
                          </w:tcPr>
                          <w:p w14:paraId="3A55C580"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46.61</w:t>
                            </w:r>
                          </w:p>
                        </w:tc>
                        <w:tc>
                          <w:tcPr>
                            <w:tcW w:w="993" w:type="dxa"/>
                            <w:shd w:val="clear" w:color="auto" w:fill="D9D9D9" w:themeFill="background1" w:themeFillShade="D9"/>
                            <w:noWrap/>
                            <w:vAlign w:val="center"/>
                          </w:tcPr>
                          <w:p w14:paraId="07868EC7"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0.03</w:t>
                            </w:r>
                          </w:p>
                        </w:tc>
                        <w:tc>
                          <w:tcPr>
                            <w:tcW w:w="1275" w:type="dxa"/>
                            <w:shd w:val="clear" w:color="auto" w:fill="D9D9D9" w:themeFill="background1" w:themeFillShade="D9"/>
                            <w:noWrap/>
                            <w:vAlign w:val="center"/>
                          </w:tcPr>
                          <w:p w14:paraId="50202283"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2.86</w:t>
                            </w:r>
                          </w:p>
                        </w:tc>
                      </w:tr>
                      <w:tr w:rsidR="00A0212B" w:rsidRPr="00BA7F2A" w14:paraId="2EC7E204" w14:textId="77777777" w:rsidTr="000131EC">
                        <w:trPr>
                          <w:trHeight w:val="283"/>
                        </w:trPr>
                        <w:tc>
                          <w:tcPr>
                            <w:tcW w:w="1096" w:type="dxa"/>
                            <w:shd w:val="clear" w:color="auto" w:fill="auto"/>
                            <w:noWrap/>
                            <w:vAlign w:val="center"/>
                            <w:hideMark/>
                          </w:tcPr>
                          <w:p w14:paraId="494705B6"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海洋委員會</w:t>
                            </w:r>
                          </w:p>
                        </w:tc>
                        <w:tc>
                          <w:tcPr>
                            <w:tcW w:w="993" w:type="dxa"/>
                            <w:shd w:val="clear" w:color="auto" w:fill="D9D9D9" w:themeFill="background1" w:themeFillShade="D9"/>
                            <w:vAlign w:val="center"/>
                          </w:tcPr>
                          <w:p w14:paraId="44B2E0C6"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0.11</w:t>
                            </w:r>
                          </w:p>
                        </w:tc>
                        <w:tc>
                          <w:tcPr>
                            <w:tcW w:w="1275" w:type="dxa"/>
                            <w:shd w:val="clear" w:color="auto" w:fill="D9D9D9" w:themeFill="background1" w:themeFillShade="D9"/>
                            <w:noWrap/>
                            <w:vAlign w:val="center"/>
                          </w:tcPr>
                          <w:p w14:paraId="1D65D49D" w14:textId="77777777" w:rsidR="00A0212B" w:rsidRPr="009768E7" w:rsidRDefault="00A0212B" w:rsidP="000131EC">
                            <w:pPr>
                              <w:widowControl/>
                              <w:adjustRightInd w:val="0"/>
                              <w:snapToGrid w:val="0"/>
                              <w:spacing w:line="240" w:lineRule="exact"/>
                              <w:ind w:rightChars="-5" w:right="-12"/>
                              <w:jc w:val="right"/>
                              <w:rPr>
                                <w:rFonts w:ascii="標楷體" w:eastAsia="標楷體" w:hAnsi="標楷體" w:cs="Arial"/>
                                <w:color w:val="000000" w:themeColor="text1"/>
                                <w:kern w:val="0"/>
                                <w:sz w:val="20"/>
                              </w:rPr>
                            </w:pPr>
                            <w:r w:rsidRPr="009768E7">
                              <w:rPr>
                                <w:rFonts w:ascii="標楷體" w:eastAsia="標楷體" w:hAnsi="標楷體" w:cs="Arial" w:hint="eastAsia"/>
                                <w:color w:val="000000" w:themeColor="text1"/>
                                <w:kern w:val="0"/>
                                <w:sz w:val="20"/>
                              </w:rPr>
                              <w:t>7.59</w:t>
                            </w:r>
                          </w:p>
                        </w:tc>
                        <w:tc>
                          <w:tcPr>
                            <w:tcW w:w="993" w:type="dxa"/>
                            <w:tcBorders>
                              <w:bottom w:val="single" w:sz="4" w:space="0" w:color="auto"/>
                            </w:tcBorders>
                            <w:shd w:val="clear" w:color="auto" w:fill="auto"/>
                            <w:noWrap/>
                            <w:vAlign w:val="center"/>
                          </w:tcPr>
                          <w:p w14:paraId="669A45DA"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1.22</w:t>
                            </w:r>
                          </w:p>
                        </w:tc>
                        <w:tc>
                          <w:tcPr>
                            <w:tcW w:w="1275" w:type="dxa"/>
                            <w:tcBorders>
                              <w:bottom w:val="single" w:sz="4" w:space="0" w:color="auto"/>
                            </w:tcBorders>
                            <w:shd w:val="clear" w:color="auto" w:fill="auto"/>
                            <w:noWrap/>
                            <w:vAlign w:val="center"/>
                          </w:tcPr>
                          <w:p w14:paraId="4776AC96"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26.73</w:t>
                            </w:r>
                          </w:p>
                        </w:tc>
                      </w:tr>
                      <w:tr w:rsidR="00A0212B" w:rsidRPr="00BA7F2A" w14:paraId="5397A8F9" w14:textId="77777777" w:rsidTr="000131EC">
                        <w:trPr>
                          <w:trHeight w:val="283"/>
                        </w:trPr>
                        <w:tc>
                          <w:tcPr>
                            <w:tcW w:w="1096" w:type="dxa"/>
                            <w:shd w:val="clear" w:color="auto" w:fill="auto"/>
                            <w:noWrap/>
                            <w:vAlign w:val="center"/>
                            <w:hideMark/>
                          </w:tcPr>
                          <w:p w14:paraId="45368008" w14:textId="77777777" w:rsidR="00A0212B"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原住民族</w:t>
                            </w:r>
                          </w:p>
                          <w:p w14:paraId="56DA7ECF" w14:textId="77777777" w:rsidR="00A0212B" w:rsidRPr="009768E7" w:rsidRDefault="00A0212B" w:rsidP="000131EC">
                            <w:pPr>
                              <w:widowControl/>
                              <w:adjustRightInd w:val="0"/>
                              <w:snapToGrid w:val="0"/>
                              <w:spacing w:line="240" w:lineRule="exact"/>
                              <w:ind w:rightChars="-5" w:right="-12"/>
                              <w:jc w:val="distribute"/>
                              <w:rPr>
                                <w:rFonts w:ascii="標楷體" w:eastAsia="標楷體" w:hAnsi="標楷體" w:cs="Arial"/>
                                <w:kern w:val="0"/>
                                <w:sz w:val="20"/>
                              </w:rPr>
                            </w:pPr>
                            <w:r w:rsidRPr="009768E7">
                              <w:rPr>
                                <w:rFonts w:ascii="標楷體" w:eastAsia="標楷體" w:hAnsi="標楷體" w:cs="Arial" w:hint="eastAsia"/>
                                <w:kern w:val="0"/>
                                <w:sz w:val="20"/>
                              </w:rPr>
                              <w:t>委員會</w:t>
                            </w:r>
                          </w:p>
                        </w:tc>
                        <w:tc>
                          <w:tcPr>
                            <w:tcW w:w="993" w:type="dxa"/>
                            <w:shd w:val="clear" w:color="auto" w:fill="D9D9D9" w:themeFill="background1" w:themeFillShade="D9"/>
                            <w:vAlign w:val="center"/>
                          </w:tcPr>
                          <w:p w14:paraId="173FA51E"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0.10</w:t>
                            </w:r>
                          </w:p>
                        </w:tc>
                        <w:tc>
                          <w:tcPr>
                            <w:tcW w:w="1275" w:type="dxa"/>
                            <w:shd w:val="clear" w:color="auto" w:fill="D9D9D9" w:themeFill="background1" w:themeFillShade="D9"/>
                            <w:noWrap/>
                            <w:vAlign w:val="center"/>
                          </w:tcPr>
                          <w:p w14:paraId="7FAE222C"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6.11</w:t>
                            </w:r>
                          </w:p>
                        </w:tc>
                        <w:tc>
                          <w:tcPr>
                            <w:tcW w:w="993" w:type="dxa"/>
                            <w:tcBorders>
                              <w:tl2br w:val="nil"/>
                            </w:tcBorders>
                            <w:shd w:val="clear" w:color="auto" w:fill="auto"/>
                            <w:noWrap/>
                            <w:vAlign w:val="center"/>
                          </w:tcPr>
                          <w:p w14:paraId="5661ED9D"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w:t>
                            </w:r>
                          </w:p>
                        </w:tc>
                        <w:tc>
                          <w:tcPr>
                            <w:tcW w:w="1275" w:type="dxa"/>
                            <w:tcBorders>
                              <w:tl2br w:val="nil"/>
                            </w:tcBorders>
                            <w:shd w:val="clear" w:color="auto" w:fill="auto"/>
                            <w:noWrap/>
                            <w:vAlign w:val="center"/>
                          </w:tcPr>
                          <w:p w14:paraId="05E59527" w14:textId="77777777" w:rsidR="00A0212B" w:rsidRPr="009768E7" w:rsidRDefault="00A0212B" w:rsidP="000131EC">
                            <w:pPr>
                              <w:adjustRightInd w:val="0"/>
                              <w:snapToGrid w:val="0"/>
                              <w:spacing w:line="240" w:lineRule="exact"/>
                              <w:ind w:rightChars="-5" w:right="-12"/>
                              <w:jc w:val="right"/>
                              <w:rPr>
                                <w:rFonts w:ascii="標楷體" w:eastAsia="標楷體" w:hAnsi="標楷體"/>
                                <w:color w:val="000000" w:themeColor="text1"/>
                                <w:sz w:val="20"/>
                              </w:rPr>
                            </w:pPr>
                            <w:r w:rsidRPr="009768E7">
                              <w:rPr>
                                <w:rFonts w:ascii="標楷體" w:eastAsia="標楷體" w:hAnsi="標楷體" w:hint="eastAsia"/>
                                <w:color w:val="000000" w:themeColor="text1"/>
                                <w:sz w:val="20"/>
                              </w:rPr>
                              <w:t>－</w:t>
                            </w:r>
                          </w:p>
                        </w:tc>
                      </w:tr>
                    </w:tbl>
                    <w:p w14:paraId="7C3A2DF2" w14:textId="52F34F7C" w:rsidR="00A0212B" w:rsidRDefault="00A0212B" w:rsidP="000131EC">
                      <w:pPr>
                        <w:adjustRightInd w:val="0"/>
                        <w:snapToGrid w:val="0"/>
                        <w:spacing w:line="220" w:lineRule="exact"/>
                        <w:ind w:leftChars="10" w:left="559" w:rightChars="-5" w:right="-12" w:hangingChars="297" w:hanging="535"/>
                        <w:jc w:val="both"/>
                        <w:rPr>
                          <w:rFonts w:ascii="標楷體" w:eastAsia="標楷體" w:hAnsi="標楷體"/>
                          <w:sz w:val="18"/>
                        </w:rPr>
                      </w:pPr>
                      <w:r w:rsidRPr="00BA7F2A">
                        <w:rPr>
                          <w:rFonts w:ascii="標楷體" w:eastAsia="標楷體" w:hAnsi="標楷體" w:hint="eastAsia"/>
                          <w:sz w:val="18"/>
                        </w:rPr>
                        <w:t>註：1.財政部及原住民族委員會1</w:t>
                      </w:r>
                      <w:r w:rsidRPr="00BA7F2A">
                        <w:rPr>
                          <w:rFonts w:ascii="標楷體" w:eastAsia="標楷體" w:hAnsi="標楷體"/>
                          <w:sz w:val="18"/>
                        </w:rPr>
                        <w:t>12</w:t>
                      </w:r>
                      <w:r w:rsidRPr="00BA7F2A">
                        <w:rPr>
                          <w:rFonts w:ascii="標楷體" w:eastAsia="標楷體" w:hAnsi="標楷體" w:hint="eastAsia"/>
                          <w:sz w:val="18"/>
                        </w:rPr>
                        <w:t>年度科技計畫未達3件以上，</w:t>
                      </w:r>
                      <w:r>
                        <w:rPr>
                          <w:rFonts w:ascii="標楷體" w:eastAsia="標楷體" w:hAnsi="標楷體" w:hint="eastAsia"/>
                          <w:sz w:val="18"/>
                        </w:rPr>
                        <w:t>爰未</w:t>
                      </w:r>
                      <w:r w:rsidRPr="00BA7F2A">
                        <w:rPr>
                          <w:rFonts w:ascii="標楷體" w:eastAsia="標楷體" w:hAnsi="標楷體" w:hint="eastAsia"/>
                          <w:sz w:val="18"/>
                        </w:rPr>
                        <w:t>填列科技施政總體說明書。</w:t>
                      </w:r>
                    </w:p>
                    <w:p w14:paraId="5B3D23AF" w14:textId="6EC7498E" w:rsidR="00A0212B" w:rsidRPr="00BA7F2A" w:rsidRDefault="00A0212B" w:rsidP="00E31547">
                      <w:pPr>
                        <w:adjustRightInd w:val="0"/>
                        <w:snapToGrid w:val="0"/>
                        <w:spacing w:line="220" w:lineRule="exact"/>
                        <w:ind w:leftChars="160" w:left="919" w:rightChars="-5" w:right="-12" w:hangingChars="297" w:hanging="535"/>
                        <w:jc w:val="both"/>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8E6277">
                        <w:rPr>
                          <w:rFonts w:ascii="標楷體" w:eastAsia="標楷體" w:hAnsi="標楷體" w:hint="eastAsia"/>
                          <w:sz w:val="18"/>
                        </w:rPr>
                        <w:t>檢討退場金額占其整體科技經費比率未達10％</w:t>
                      </w:r>
                      <w:r>
                        <w:rPr>
                          <w:rFonts w:ascii="標楷體" w:eastAsia="標楷體" w:hAnsi="標楷體" w:hint="eastAsia"/>
                          <w:sz w:val="18"/>
                        </w:rPr>
                        <w:t>者以</w:t>
                      </w:r>
                      <w:r>
                        <w:rPr>
                          <w:rFonts w:ascii="標楷體" w:eastAsia="標楷體" w:hAnsi="標楷體"/>
                          <w:sz w:val="18"/>
                        </w:rPr>
                        <w:t>底色標註。</w:t>
                      </w:r>
                    </w:p>
                    <w:p w14:paraId="5F01A6C8" w14:textId="3F169E27" w:rsidR="00A0212B" w:rsidRPr="00BA7F2A" w:rsidRDefault="00A0212B" w:rsidP="000131EC">
                      <w:pPr>
                        <w:adjustRightInd w:val="0"/>
                        <w:snapToGrid w:val="0"/>
                        <w:spacing w:line="220" w:lineRule="exact"/>
                        <w:ind w:leftChars="161" w:left="390" w:rightChars="-5" w:right="-12" w:hangingChars="2" w:hanging="4"/>
                        <w:jc w:val="both"/>
                        <w:rPr>
                          <w:rFonts w:ascii="標楷體" w:eastAsia="標楷體" w:hAnsi="標楷體"/>
                          <w:sz w:val="18"/>
                        </w:rPr>
                      </w:pPr>
                      <w:r>
                        <w:rPr>
                          <w:rFonts w:ascii="標楷體" w:eastAsia="標楷體" w:hAnsi="標楷體"/>
                          <w:sz w:val="18"/>
                        </w:rPr>
                        <w:t>3.</w:t>
                      </w:r>
                      <w:r w:rsidRPr="00BA7F2A">
                        <w:rPr>
                          <w:rFonts w:ascii="標楷體" w:eastAsia="標楷體" w:hAnsi="標楷體" w:hint="eastAsia"/>
                          <w:sz w:val="18"/>
                        </w:rPr>
                        <w:t>資料來源：整理自各部會112及113年度科技施政總體說明書。</w:t>
                      </w:r>
                    </w:p>
                    <w:p w14:paraId="5D6828E3" w14:textId="77777777" w:rsidR="00A0212B" w:rsidRPr="00BA7F2A" w:rsidRDefault="00A0212B" w:rsidP="000131EC">
                      <w:pPr>
                        <w:spacing w:line="300" w:lineRule="exact"/>
                        <w:ind w:rightChars="-5" w:right="-12"/>
                        <w:rPr>
                          <w:rFonts w:ascii="標楷體" w:eastAsia="標楷體" w:hAnsi="標楷體"/>
                          <w:b/>
                        </w:rPr>
                      </w:pPr>
                    </w:p>
                  </w:txbxContent>
                </v:textbox>
                <w10:wrap type="square"/>
              </v:shape>
            </w:pict>
          </mc:Fallback>
        </mc:AlternateContent>
      </w:r>
      <w:r w:rsidRPr="00AD6D2F">
        <w:rPr>
          <w:rFonts w:ascii="標楷體" w:eastAsia="標楷體" w:hAnsi="標楷體" w:hint="eastAsia"/>
          <w:kern w:val="0"/>
          <w:szCs w:val="24"/>
        </w:rPr>
        <w:t>業等重大方案、重大會議結論、方案或措施等具急迫性、即時性之新興科技研發課題，並以檢討退場10％（按：</w:t>
      </w:r>
      <w:r w:rsidRPr="00AD6D2F">
        <w:rPr>
          <w:rFonts w:ascii="標楷體" w:eastAsia="標楷體" w:hAnsi="標楷體" w:hint="eastAsia"/>
          <w:spacing w:val="-6"/>
          <w:kern w:val="0"/>
          <w:szCs w:val="24"/>
        </w:rPr>
        <w:t>退場金額占機關當年度整體科技計畫經費比率）為原則。經查111及112年度分別有7個及6個機關檢討退場金額</w:t>
      </w:r>
      <w:bookmarkStart w:id="14" w:name="_Hlk169075997"/>
      <w:r w:rsidRPr="00AD6D2F">
        <w:rPr>
          <w:rFonts w:ascii="標楷體" w:eastAsia="標楷體" w:hAnsi="標楷體" w:hint="eastAsia"/>
          <w:spacing w:val="-6"/>
          <w:kern w:val="0"/>
          <w:szCs w:val="24"/>
        </w:rPr>
        <w:t>占其整體科技經費比率</w:t>
      </w:r>
      <w:bookmarkEnd w:id="14"/>
      <w:r w:rsidRPr="00AD6D2F">
        <w:rPr>
          <w:rFonts w:ascii="標楷體" w:eastAsia="標楷體" w:hAnsi="標楷體" w:hint="eastAsia"/>
          <w:spacing w:val="-6"/>
          <w:kern w:val="0"/>
          <w:szCs w:val="24"/>
        </w:rPr>
        <w:t>未達10％（</w:t>
      </w:r>
      <w:r w:rsidRPr="006678C5">
        <w:rPr>
          <w:rFonts w:ascii="標楷體" w:eastAsia="標楷體" w:hAnsi="標楷體" w:hint="eastAsia"/>
          <w:spacing w:val="-6"/>
          <w:kern w:val="0"/>
          <w:szCs w:val="24"/>
        </w:rPr>
        <w:t>表</w:t>
      </w:r>
      <w:r w:rsidR="00046925" w:rsidRPr="006678C5">
        <w:rPr>
          <w:rFonts w:ascii="標楷體" w:eastAsia="標楷體" w:hAnsi="標楷體" w:hint="eastAsia"/>
          <w:spacing w:val="-6"/>
          <w:kern w:val="0"/>
          <w:szCs w:val="24"/>
        </w:rPr>
        <w:t>2</w:t>
      </w:r>
      <w:r w:rsidR="00C6766F" w:rsidRPr="006678C5">
        <w:rPr>
          <w:rFonts w:ascii="標楷體" w:eastAsia="標楷體" w:hAnsi="標楷體" w:hint="eastAsia"/>
          <w:spacing w:val="-6"/>
          <w:kern w:val="0"/>
          <w:szCs w:val="24"/>
        </w:rPr>
        <w:t>8</w:t>
      </w:r>
      <w:r w:rsidRPr="00AD6D2F">
        <w:rPr>
          <w:rFonts w:ascii="標楷體" w:eastAsia="標楷體" w:hAnsi="標楷體" w:hint="eastAsia"/>
          <w:spacing w:val="-6"/>
          <w:kern w:val="0"/>
          <w:szCs w:val="24"/>
        </w:rPr>
        <w:t>）</w:t>
      </w:r>
      <w:r w:rsidRPr="00AD6D2F">
        <w:rPr>
          <w:rFonts w:ascii="標楷體" w:eastAsia="標楷體" w:hAnsi="標楷體" w:hint="eastAsia"/>
          <w:kern w:val="0"/>
          <w:szCs w:val="24"/>
        </w:rPr>
        <w:t>，且部分機關經檢討退場計畫，多為屆期退場，於下一年度仍推出延續性計畫；或係與其他機關整併為新計畫，仍繼續執行；或經檢討退場項目之相關研究主題仍繼續執行等。另112及113年度科技發展計畫經費增加最鉅之機關為國科會，經費分別較111</w:t>
      </w:r>
      <w:r>
        <w:rPr>
          <w:rFonts w:ascii="標楷體" w:eastAsia="標楷體" w:hAnsi="標楷體" w:hint="eastAsia"/>
          <w:kern w:val="0"/>
          <w:szCs w:val="24"/>
        </w:rPr>
        <w:t>及112</w:t>
      </w:r>
      <w:r w:rsidRPr="00AD6D2F">
        <w:rPr>
          <w:rFonts w:ascii="標楷體" w:eastAsia="標楷體" w:hAnsi="標楷體" w:hint="eastAsia"/>
          <w:kern w:val="0"/>
          <w:szCs w:val="24"/>
        </w:rPr>
        <w:t>年度增加59億餘元及96億餘元，主要係補助學研機構執行，其中補助財團法人國家實驗研究院台灣半導體研究中心執行</w:t>
      </w:r>
      <w:r>
        <w:rPr>
          <w:rFonts w:ascii="標楷體" w:eastAsia="標楷體" w:hAnsi="標楷體" w:hint="eastAsia"/>
          <w:kern w:val="0"/>
          <w:szCs w:val="24"/>
        </w:rPr>
        <w:t>量子新興科技之發展及</w:t>
      </w:r>
      <w:r w:rsidRPr="00AD6D2F">
        <w:rPr>
          <w:rFonts w:ascii="標楷體" w:eastAsia="標楷體" w:hAnsi="標楷體" w:hint="eastAsia"/>
          <w:kern w:val="0"/>
          <w:szCs w:val="24"/>
        </w:rPr>
        <w:t>晶創方案</w:t>
      </w:r>
      <w:r>
        <w:rPr>
          <w:rFonts w:ascii="標楷體" w:eastAsia="標楷體" w:hAnsi="標楷體" w:hint="eastAsia"/>
          <w:kern w:val="0"/>
          <w:szCs w:val="24"/>
        </w:rPr>
        <w:t>等相關計畫</w:t>
      </w:r>
      <w:r w:rsidRPr="00AD6D2F">
        <w:rPr>
          <w:rFonts w:ascii="標楷體" w:eastAsia="標楷體" w:hAnsi="標楷體" w:hint="eastAsia"/>
          <w:kern w:val="0"/>
          <w:szCs w:val="24"/>
        </w:rPr>
        <w:t>，</w:t>
      </w:r>
      <w:r>
        <w:rPr>
          <w:rFonts w:ascii="標楷體" w:eastAsia="標楷體" w:hAnsi="標楷體" w:hint="eastAsia"/>
          <w:kern w:val="0"/>
          <w:szCs w:val="24"/>
        </w:rPr>
        <w:t>該中心編制內預算人力288人，</w:t>
      </w:r>
      <w:r w:rsidRPr="00AD6D2F">
        <w:rPr>
          <w:rFonts w:ascii="標楷體" w:eastAsia="標楷體" w:hAnsi="標楷體" w:hint="eastAsia"/>
          <w:kern w:val="0"/>
          <w:szCs w:val="24"/>
        </w:rPr>
        <w:t>規劃新增編制外人力121人，惟截至113年3月底止，編制內實際聘用人力276人，編制外人力52人，尚有缺口81人，相關執行量能未隨政府擴大推動新興科技研發而提升。經函請行政院督促有關機關研議檢討改善，以提升科技經費效</w:t>
      </w:r>
      <w:r w:rsidRPr="00AD6D2F">
        <w:rPr>
          <w:rFonts w:ascii="標楷體" w:eastAsia="標楷體" w:hAnsi="標楷體" w:hint="eastAsia"/>
          <w:kern w:val="0"/>
          <w:szCs w:val="24"/>
        </w:rPr>
        <w:lastRenderedPageBreak/>
        <w:t>益。</w:t>
      </w:r>
      <w:r w:rsidRPr="004D7C92">
        <w:rPr>
          <w:rFonts w:ascii="標楷體" w:eastAsia="標楷體" w:hAnsi="標楷體" w:hint="eastAsia"/>
          <w:color w:val="000000" w:themeColor="text1"/>
          <w:spacing w:val="-4"/>
          <w:kern w:val="0"/>
          <w:szCs w:val="24"/>
        </w:rPr>
        <w:t>據復：</w:t>
      </w:r>
      <w:r w:rsidR="00BB2C36" w:rsidRPr="004D7C92">
        <w:rPr>
          <w:rFonts w:ascii="標楷體" w:eastAsia="標楷體" w:hAnsi="標楷體" w:hint="eastAsia"/>
          <w:color w:val="000000" w:themeColor="text1"/>
          <w:spacing w:val="-4"/>
          <w:kern w:val="0"/>
          <w:szCs w:val="24"/>
        </w:rPr>
        <w:t>各主管機關將檢討計畫經費退場事宜，投注資源於重大政策方案或新興課題之推動，另台灣半導體研究中心將積極推動留才攬才措施，提升執行量能。</w:t>
      </w:r>
    </w:p>
    <w:p w14:paraId="6002CD5D" w14:textId="64211B61" w:rsidR="00040225" w:rsidRPr="00B4405D" w:rsidRDefault="00BB2C36" w:rsidP="004D7C92">
      <w:pPr>
        <w:overflowPunct w:val="0"/>
        <w:adjustRightInd w:val="0"/>
        <w:snapToGrid w:val="0"/>
        <w:spacing w:line="460" w:lineRule="exact"/>
        <w:ind w:firstLineChars="385" w:firstLine="924"/>
        <w:jc w:val="both"/>
        <w:rPr>
          <w:rFonts w:ascii="標楷體" w:eastAsia="標楷體" w:hAnsi="標楷體"/>
          <w:spacing w:val="-4"/>
          <w:kern w:val="0"/>
          <w:szCs w:val="24"/>
        </w:rPr>
      </w:pPr>
      <w:r w:rsidRPr="00B4405D">
        <w:rPr>
          <w:rFonts w:ascii="標楷體" w:eastAsia="標楷體" w:hAnsi="標楷體" w:hint="eastAsia"/>
          <w:noProof/>
          <w:kern w:val="0"/>
          <w:szCs w:val="24"/>
        </w:rPr>
        <mc:AlternateContent>
          <mc:Choice Requires="wps">
            <w:drawing>
              <wp:anchor distT="0" distB="0" distL="114300" distR="114300" simplePos="0" relativeHeight="251675648" behindDoc="0" locked="0" layoutInCell="1" allowOverlap="1" wp14:anchorId="546587C1" wp14:editId="6CE72272">
                <wp:simplePos x="0" y="0"/>
                <wp:positionH relativeFrom="column">
                  <wp:posOffset>2115820</wp:posOffset>
                </wp:positionH>
                <wp:positionV relativeFrom="paragraph">
                  <wp:posOffset>2236470</wp:posOffset>
                </wp:positionV>
                <wp:extent cx="4179570" cy="4429125"/>
                <wp:effectExtent l="0" t="0" r="0" b="9525"/>
                <wp:wrapSquare wrapText="bothSides"/>
                <wp:docPr id="93" name="文字方塊 93"/>
                <wp:cNvGraphicFramePr/>
                <a:graphic xmlns:a="http://schemas.openxmlformats.org/drawingml/2006/main">
                  <a:graphicData uri="http://schemas.microsoft.com/office/word/2010/wordprocessingShape">
                    <wps:wsp>
                      <wps:cNvSpPr txBox="1"/>
                      <wps:spPr>
                        <a:xfrm>
                          <a:off x="0" y="0"/>
                          <a:ext cx="4179570" cy="4429125"/>
                        </a:xfrm>
                        <a:prstGeom prst="rect">
                          <a:avLst/>
                        </a:prstGeom>
                        <a:solidFill>
                          <a:sysClr val="window" lastClr="FFFFFF"/>
                        </a:solidFill>
                        <a:ln w="6350">
                          <a:noFill/>
                        </a:ln>
                      </wps:spPr>
                      <wps:txbx>
                        <w:txbxContent>
                          <w:p w14:paraId="22D68D79" w14:textId="1E8C283A" w:rsidR="00A0212B" w:rsidRDefault="00A0212B" w:rsidP="004D7C92">
                            <w:pPr>
                              <w:spacing w:afterLines="25" w:after="90" w:line="320" w:lineRule="exact"/>
                              <w:ind w:left="793" w:rightChars="-5" w:right="-12" w:hangingChars="330" w:hanging="793"/>
                              <w:jc w:val="both"/>
                              <w:rPr>
                                <w:rFonts w:ascii="標楷體" w:eastAsia="標楷體" w:hAnsi="標楷體"/>
                                <w:b/>
                              </w:rPr>
                            </w:pPr>
                            <w:r>
                              <w:rPr>
                                <w:rFonts w:ascii="標楷體" w:eastAsia="標楷體" w:hAnsi="標楷體" w:hint="eastAsia"/>
                                <w:b/>
                              </w:rPr>
                              <w:t>表</w:t>
                            </w:r>
                            <w:r>
                              <w:rPr>
                                <w:rFonts w:ascii="標楷體" w:eastAsia="標楷體" w:hAnsi="標楷體"/>
                                <w:b/>
                              </w:rPr>
                              <w:t>29</w:t>
                            </w:r>
                            <w:r>
                              <w:rPr>
                                <w:rFonts w:ascii="標楷體" w:eastAsia="標楷體" w:hAnsi="標楷體" w:hint="eastAsia"/>
                                <w:b/>
                              </w:rPr>
                              <w:t xml:space="preserve">　部分機關未於1</w:t>
                            </w:r>
                            <w:r>
                              <w:rPr>
                                <w:rFonts w:ascii="標楷體" w:eastAsia="標楷體" w:hAnsi="標楷體"/>
                                <w:b/>
                              </w:rPr>
                              <w:t>12</w:t>
                            </w:r>
                            <w:r>
                              <w:rPr>
                                <w:rFonts w:ascii="標楷體" w:eastAsia="標楷體" w:hAnsi="標楷體" w:hint="eastAsia"/>
                                <w:b/>
                              </w:rPr>
                              <w:t>年度</w:t>
                            </w:r>
                            <w:r w:rsidRPr="000C52E1">
                              <w:rPr>
                                <w:rFonts w:ascii="標楷體" w:eastAsia="標楷體" w:hAnsi="標楷體" w:hint="eastAsia"/>
                                <w:b/>
                              </w:rPr>
                              <w:t>主管決算書揭露重大科技發展計畫情形</w:t>
                            </w:r>
                          </w:p>
                          <w:tbl>
                            <w:tblPr>
                              <w:tblStyle w:val="afff"/>
                              <w:tblW w:w="4993" w:type="pct"/>
                              <w:tblLook w:val="04A0" w:firstRow="1" w:lastRow="0" w:firstColumn="1" w:lastColumn="0" w:noHBand="0" w:noVBand="1"/>
                            </w:tblPr>
                            <w:tblGrid>
                              <w:gridCol w:w="3941"/>
                              <w:gridCol w:w="2565"/>
                            </w:tblGrid>
                            <w:tr w:rsidR="00A0212B" w:rsidRPr="000C52E1" w14:paraId="24BF2FB3" w14:textId="77777777" w:rsidTr="00561F2C">
                              <w:trPr>
                                <w:trHeight w:val="412"/>
                                <w:tblHeader/>
                              </w:trPr>
                              <w:tc>
                                <w:tcPr>
                                  <w:tcW w:w="3029" w:type="pct"/>
                                  <w:vAlign w:val="center"/>
                                </w:tcPr>
                                <w:p w14:paraId="1BFE2AC2" w14:textId="77777777" w:rsidR="00A0212B" w:rsidRPr="000C52E1" w:rsidRDefault="00A0212B" w:rsidP="00561F2C">
                                  <w:pPr>
                                    <w:spacing w:line="240" w:lineRule="exact"/>
                                    <w:ind w:rightChars="-5" w:right="-12"/>
                                    <w:jc w:val="center"/>
                                    <w:rPr>
                                      <w:rFonts w:ascii="標楷體" w:eastAsia="標楷體" w:hAnsi="標楷體"/>
                                      <w:sz w:val="20"/>
                                    </w:rPr>
                                  </w:pPr>
                                  <w:r w:rsidRPr="000C52E1">
                                    <w:rPr>
                                      <w:rFonts w:ascii="標楷體" w:eastAsia="標楷體" w:hAnsi="標楷體" w:hint="eastAsia"/>
                                      <w:sz w:val="20"/>
                                    </w:rPr>
                                    <w:t>計畫名稱</w:t>
                                  </w:r>
                                </w:p>
                              </w:tc>
                              <w:tc>
                                <w:tcPr>
                                  <w:tcW w:w="1971" w:type="pct"/>
                                  <w:vAlign w:val="center"/>
                                </w:tcPr>
                                <w:p w14:paraId="00BB191D" w14:textId="77777777" w:rsidR="00A0212B" w:rsidRPr="000C52E1" w:rsidRDefault="00A0212B" w:rsidP="00561F2C">
                                  <w:pPr>
                                    <w:spacing w:line="240" w:lineRule="exact"/>
                                    <w:ind w:rightChars="-5" w:right="-12"/>
                                    <w:jc w:val="center"/>
                                    <w:rPr>
                                      <w:rFonts w:ascii="標楷體" w:eastAsia="標楷體" w:hAnsi="標楷體"/>
                                      <w:sz w:val="20"/>
                                    </w:rPr>
                                  </w:pPr>
                                  <w:r w:rsidRPr="000C52E1">
                                    <w:rPr>
                                      <w:rFonts w:ascii="標楷體" w:eastAsia="標楷體" w:hAnsi="標楷體" w:hint="eastAsia"/>
                                      <w:sz w:val="20"/>
                                    </w:rPr>
                                    <w:t>未揭露機關</w:t>
                                  </w:r>
                                </w:p>
                              </w:tc>
                            </w:tr>
                            <w:tr w:rsidR="00A0212B" w:rsidRPr="000C52E1" w14:paraId="4152DC96" w14:textId="77777777" w:rsidTr="00561F2C">
                              <w:tc>
                                <w:tcPr>
                                  <w:tcW w:w="3029" w:type="pct"/>
                                  <w:vAlign w:val="center"/>
                                </w:tcPr>
                                <w:p w14:paraId="5595A86A"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智慧無人載具關鍵技術開發暨車輛產業轉型輔導推動計畫</w:t>
                                  </w:r>
                                </w:p>
                              </w:tc>
                              <w:tc>
                                <w:tcPr>
                                  <w:tcW w:w="1971" w:type="pct"/>
                                  <w:vAlign w:val="center"/>
                                </w:tcPr>
                                <w:p w14:paraId="696ACD4C"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內政部</w:t>
                                  </w:r>
                                </w:p>
                              </w:tc>
                            </w:tr>
                            <w:tr w:rsidR="00A0212B" w:rsidRPr="000C52E1" w14:paraId="0ED91B0F" w14:textId="77777777" w:rsidTr="00561F2C">
                              <w:trPr>
                                <w:trHeight w:val="340"/>
                              </w:trPr>
                              <w:tc>
                                <w:tcPr>
                                  <w:tcW w:w="3029" w:type="pct"/>
                                  <w:vAlign w:val="center"/>
                                </w:tcPr>
                                <w:p w14:paraId="22E549A0"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產業應用基礎研究綱要計畫</w:t>
                                  </w:r>
                                </w:p>
                              </w:tc>
                              <w:tc>
                                <w:tcPr>
                                  <w:tcW w:w="1971" w:type="pct"/>
                                  <w:vAlign w:val="center"/>
                                </w:tcPr>
                                <w:p w14:paraId="51463E83"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數位發展部</w:t>
                                  </w:r>
                                </w:p>
                              </w:tc>
                            </w:tr>
                            <w:tr w:rsidR="00A0212B" w:rsidRPr="000C52E1" w14:paraId="67255818" w14:textId="77777777" w:rsidTr="00561F2C">
                              <w:trPr>
                                <w:trHeight w:val="340"/>
                              </w:trPr>
                              <w:tc>
                                <w:tcPr>
                                  <w:tcW w:w="3029" w:type="pct"/>
                                  <w:vAlign w:val="center"/>
                                </w:tcPr>
                                <w:p w14:paraId="39EFBE67"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亞灣5G AIoT創新科技應用綱要計畫</w:t>
                                  </w:r>
                                </w:p>
                              </w:tc>
                              <w:tc>
                                <w:tcPr>
                                  <w:tcW w:w="1971" w:type="pct"/>
                                  <w:vAlign w:val="center"/>
                                </w:tcPr>
                                <w:p w14:paraId="3D6858D9"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數位發展部</w:t>
                                  </w:r>
                                </w:p>
                              </w:tc>
                            </w:tr>
                            <w:tr w:rsidR="00A0212B" w:rsidRPr="000C52E1" w14:paraId="440C40D0" w14:textId="77777777" w:rsidTr="00561F2C">
                              <w:trPr>
                                <w:trHeight w:val="283"/>
                              </w:trPr>
                              <w:tc>
                                <w:tcPr>
                                  <w:tcW w:w="3029" w:type="pct"/>
                                  <w:vAlign w:val="center"/>
                                </w:tcPr>
                                <w:p w14:paraId="1EB173B4"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創新產業科技政策與國際合作規劃管理綱要計畫</w:t>
                                  </w:r>
                                </w:p>
                              </w:tc>
                              <w:tc>
                                <w:tcPr>
                                  <w:tcW w:w="1971" w:type="pct"/>
                                  <w:vAlign w:val="center"/>
                                </w:tcPr>
                                <w:p w14:paraId="18B071D9"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數位發展部</w:t>
                                  </w:r>
                                </w:p>
                              </w:tc>
                            </w:tr>
                            <w:tr w:rsidR="00A0212B" w:rsidRPr="000C52E1" w14:paraId="4ECA81FA" w14:textId="77777777" w:rsidTr="00561F2C">
                              <w:trPr>
                                <w:trHeight w:val="283"/>
                              </w:trPr>
                              <w:tc>
                                <w:tcPr>
                                  <w:tcW w:w="3029" w:type="pct"/>
                                  <w:vAlign w:val="center"/>
                                </w:tcPr>
                                <w:p w14:paraId="251F4122"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企業創新研發淬鍊及科研成果價值創造綱要計畫</w:t>
                                  </w:r>
                                </w:p>
                              </w:tc>
                              <w:tc>
                                <w:tcPr>
                                  <w:tcW w:w="1971" w:type="pct"/>
                                  <w:vAlign w:val="center"/>
                                </w:tcPr>
                                <w:p w14:paraId="3B127976"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數位發展部</w:t>
                                  </w:r>
                                </w:p>
                              </w:tc>
                            </w:tr>
                            <w:tr w:rsidR="00A0212B" w:rsidRPr="000C52E1" w14:paraId="6683F3B1" w14:textId="77777777" w:rsidTr="00561F2C">
                              <w:trPr>
                                <w:trHeight w:val="340"/>
                              </w:trPr>
                              <w:tc>
                                <w:tcPr>
                                  <w:tcW w:w="3029" w:type="pct"/>
                                  <w:vAlign w:val="center"/>
                                </w:tcPr>
                                <w:p w14:paraId="49E9330E"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設計驅動跨域整合創新計畫</w:t>
                                  </w:r>
                                </w:p>
                              </w:tc>
                              <w:tc>
                                <w:tcPr>
                                  <w:tcW w:w="1971" w:type="pct"/>
                                  <w:vAlign w:val="center"/>
                                </w:tcPr>
                                <w:p w14:paraId="125874C2"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文化部</w:t>
                                  </w:r>
                                </w:p>
                              </w:tc>
                            </w:tr>
                            <w:tr w:rsidR="00A0212B" w:rsidRPr="000C52E1" w14:paraId="566427CD" w14:textId="77777777" w:rsidTr="00561F2C">
                              <w:trPr>
                                <w:trHeight w:val="340"/>
                              </w:trPr>
                              <w:tc>
                                <w:tcPr>
                                  <w:tcW w:w="3029" w:type="pct"/>
                                  <w:vAlign w:val="center"/>
                                </w:tcPr>
                                <w:p w14:paraId="6F28B67F"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產業創新平台計畫</w:t>
                                  </w:r>
                                </w:p>
                              </w:tc>
                              <w:tc>
                                <w:tcPr>
                                  <w:tcW w:w="1971" w:type="pct"/>
                                  <w:vAlign w:val="center"/>
                                </w:tcPr>
                                <w:p w14:paraId="07EE273E"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經濟部、數位發展部</w:t>
                                  </w:r>
                                </w:p>
                              </w:tc>
                            </w:tr>
                            <w:tr w:rsidR="00A0212B" w:rsidRPr="000C52E1" w14:paraId="5C65055B" w14:textId="77777777" w:rsidTr="00561F2C">
                              <w:trPr>
                                <w:trHeight w:val="454"/>
                              </w:trPr>
                              <w:tc>
                                <w:tcPr>
                                  <w:tcW w:w="3029" w:type="pct"/>
                                  <w:vAlign w:val="center"/>
                                </w:tcPr>
                                <w:p w14:paraId="5B57B8BD"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低軌通訊衛星計畫</w:t>
                                  </w:r>
                                </w:p>
                              </w:tc>
                              <w:tc>
                                <w:tcPr>
                                  <w:tcW w:w="1971" w:type="pct"/>
                                  <w:vAlign w:val="center"/>
                                </w:tcPr>
                                <w:p w14:paraId="4F571F9F"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國家科學及技術委員會、經濟部</w:t>
                                  </w:r>
                                </w:p>
                              </w:tc>
                            </w:tr>
                            <w:tr w:rsidR="00A0212B" w:rsidRPr="000C52E1" w14:paraId="189F06C7" w14:textId="77777777" w:rsidTr="00561F2C">
                              <w:trPr>
                                <w:trHeight w:val="340"/>
                              </w:trPr>
                              <w:tc>
                                <w:tcPr>
                                  <w:tcW w:w="3029" w:type="pct"/>
                                  <w:vAlign w:val="center"/>
                                </w:tcPr>
                                <w:p w14:paraId="2A8B51CC"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太空產業推動與人才培育計畫</w:t>
                                  </w:r>
                                </w:p>
                              </w:tc>
                              <w:tc>
                                <w:tcPr>
                                  <w:tcW w:w="1971" w:type="pct"/>
                                  <w:vAlign w:val="center"/>
                                </w:tcPr>
                                <w:p w14:paraId="3DCDBB81"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教育部</w:t>
                                  </w:r>
                                </w:p>
                              </w:tc>
                            </w:tr>
                            <w:tr w:rsidR="00A0212B" w:rsidRPr="000C52E1" w14:paraId="1AA19212" w14:textId="77777777" w:rsidTr="00561F2C">
                              <w:trPr>
                                <w:trHeight w:val="454"/>
                              </w:trPr>
                              <w:tc>
                                <w:tcPr>
                                  <w:tcW w:w="3029" w:type="pct"/>
                                  <w:vAlign w:val="center"/>
                                </w:tcPr>
                                <w:p w14:paraId="27D3BBA3"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建構動植物健康安全防護網絡</w:t>
                                  </w:r>
                                </w:p>
                              </w:tc>
                              <w:tc>
                                <w:tcPr>
                                  <w:tcW w:w="1971" w:type="pct"/>
                                  <w:vAlign w:val="center"/>
                                </w:tcPr>
                                <w:p w14:paraId="00D230AA"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農業委員會</w:t>
                                  </w:r>
                                  <w:r>
                                    <w:rPr>
                                      <w:rFonts w:ascii="標楷體" w:eastAsia="標楷體" w:hAnsi="標楷體" w:hint="eastAsia"/>
                                      <w:sz w:val="20"/>
                                    </w:rPr>
                                    <w:t>（</w:t>
                                  </w:r>
                                  <w:r w:rsidRPr="000C52E1">
                                    <w:rPr>
                                      <w:rFonts w:ascii="標楷體" w:eastAsia="標楷體" w:hAnsi="標楷體" w:hint="eastAsia"/>
                                      <w:sz w:val="20"/>
                                    </w:rPr>
                                    <w:t>農業部</w:t>
                                  </w:r>
                                  <w:r>
                                    <w:rPr>
                                      <w:rFonts w:ascii="標楷體" w:eastAsia="標楷體" w:hAnsi="標楷體" w:hint="eastAsia"/>
                                      <w:sz w:val="20"/>
                                    </w:rPr>
                                    <w:t>）</w:t>
                                  </w:r>
                                  <w:r w:rsidRPr="000C52E1">
                                    <w:rPr>
                                      <w:rFonts w:ascii="標楷體" w:eastAsia="標楷體" w:hAnsi="標楷體" w:hint="eastAsia"/>
                                      <w:sz w:val="20"/>
                                    </w:rPr>
                                    <w:t>、中央研究院、衛生福利部</w:t>
                                  </w:r>
                                </w:p>
                              </w:tc>
                            </w:tr>
                            <w:tr w:rsidR="00A0212B" w:rsidRPr="000C52E1" w14:paraId="1CEEBBAC" w14:textId="77777777" w:rsidTr="00561F2C">
                              <w:trPr>
                                <w:trHeight w:val="454"/>
                              </w:trPr>
                              <w:tc>
                                <w:tcPr>
                                  <w:tcW w:w="3029" w:type="pct"/>
                                  <w:vAlign w:val="center"/>
                                </w:tcPr>
                                <w:p w14:paraId="436D8BBD"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服務型智慧政府2.0推動計畫</w:t>
                                  </w:r>
                                </w:p>
                              </w:tc>
                              <w:tc>
                                <w:tcPr>
                                  <w:tcW w:w="1971" w:type="pct"/>
                                  <w:vAlign w:val="center"/>
                                </w:tcPr>
                                <w:p w14:paraId="5C96B6C6"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交通部、文化部、勞動部、環境保護署</w:t>
                                  </w:r>
                                  <w:r>
                                    <w:rPr>
                                      <w:rFonts w:ascii="標楷體" w:eastAsia="標楷體" w:hAnsi="標楷體" w:hint="eastAsia"/>
                                      <w:sz w:val="20"/>
                                    </w:rPr>
                                    <w:t>（</w:t>
                                  </w:r>
                                  <w:r w:rsidRPr="000C52E1">
                                    <w:rPr>
                                      <w:rFonts w:ascii="標楷體" w:eastAsia="標楷體" w:hAnsi="標楷體" w:hint="eastAsia"/>
                                      <w:sz w:val="20"/>
                                    </w:rPr>
                                    <w:t>環境部</w:t>
                                  </w:r>
                                  <w:r>
                                    <w:rPr>
                                      <w:rFonts w:ascii="標楷體" w:eastAsia="標楷體" w:hAnsi="標楷體" w:hint="eastAsia"/>
                                      <w:sz w:val="20"/>
                                    </w:rPr>
                                    <w:t>）</w:t>
                                  </w:r>
                                </w:p>
                              </w:tc>
                            </w:tr>
                            <w:tr w:rsidR="00A0212B" w:rsidRPr="000C52E1" w14:paraId="2A3F4722" w14:textId="77777777" w:rsidTr="00561F2C">
                              <w:trPr>
                                <w:trHeight w:val="680"/>
                              </w:trPr>
                              <w:tc>
                                <w:tcPr>
                                  <w:tcW w:w="3029" w:type="pct"/>
                                  <w:vAlign w:val="center"/>
                                </w:tcPr>
                                <w:p w14:paraId="0DA284FD"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資安跨域整合聯防計畫</w:t>
                                  </w:r>
                                </w:p>
                              </w:tc>
                              <w:tc>
                                <w:tcPr>
                                  <w:tcW w:w="1971" w:type="pct"/>
                                  <w:vAlign w:val="center"/>
                                </w:tcPr>
                                <w:p w14:paraId="2ED486AC"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衛生福利部、交通部、教育部、內政部、法務部、金融監督管理委員會</w:t>
                                  </w:r>
                                </w:p>
                              </w:tc>
                            </w:tr>
                          </w:tbl>
                          <w:p w14:paraId="5898A43D" w14:textId="77777777" w:rsidR="00A0212B" w:rsidRPr="005A7A23" w:rsidRDefault="00A0212B" w:rsidP="00AB0226">
                            <w:pPr>
                              <w:spacing w:line="240" w:lineRule="exact"/>
                              <w:ind w:leftChars="-50" w:left="-120"/>
                              <w:rPr>
                                <w:rFonts w:ascii="標楷體" w:eastAsia="標楷體" w:hAnsi="標楷體"/>
                                <w:sz w:val="18"/>
                              </w:rPr>
                            </w:pPr>
                            <w:r w:rsidRPr="005A7A23">
                              <w:rPr>
                                <w:rFonts w:ascii="標楷體" w:eastAsia="標楷體" w:hAnsi="標楷體" w:hint="eastAsia"/>
                                <w:sz w:val="18"/>
                              </w:rPr>
                              <w:t>資料來源：整理自各</w:t>
                            </w:r>
                            <w:r>
                              <w:rPr>
                                <w:rFonts w:ascii="標楷體" w:eastAsia="標楷體" w:hAnsi="標楷體" w:hint="eastAsia"/>
                                <w:sz w:val="18"/>
                              </w:rPr>
                              <w:t>機</w:t>
                            </w:r>
                            <w:r w:rsidRPr="005A7A23">
                              <w:rPr>
                                <w:rFonts w:ascii="標楷體" w:eastAsia="標楷體" w:hAnsi="標楷體" w:hint="eastAsia"/>
                                <w:sz w:val="18"/>
                              </w:rPr>
                              <w:t>關112年度主管決算書。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6587C1" id="文字方塊 93" o:spid="_x0000_s1093" type="#_x0000_t202" style="position:absolute;left:0;text-align:left;margin-left:166.6pt;margin-top:176.1pt;width:329.1pt;height:34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" fillcolor="window" stroked="f" strokeweight=".5pt">
                <v:textbox>
                  <w:txbxContent>
                    <w:p w14:paraId="22D68D79" w14:textId="1E8C283A" w:rsidR="00A0212B" w:rsidRDefault="00A0212B" w:rsidP="004D7C92">
                      <w:pPr>
                        <w:spacing w:afterLines="25" w:after="90" w:line="320" w:lineRule="exact"/>
                        <w:ind w:left="793" w:rightChars="-5" w:right="-12" w:hangingChars="330" w:hanging="793"/>
                        <w:jc w:val="both"/>
                        <w:rPr>
                          <w:rFonts w:ascii="標楷體" w:eastAsia="標楷體" w:hAnsi="標楷體"/>
                          <w:b/>
                        </w:rPr>
                      </w:pPr>
                      <w:r>
                        <w:rPr>
                          <w:rFonts w:ascii="標楷體" w:eastAsia="標楷體" w:hAnsi="標楷體" w:hint="eastAsia"/>
                          <w:b/>
                        </w:rPr>
                        <w:t>表</w:t>
                      </w:r>
                      <w:r>
                        <w:rPr>
                          <w:rFonts w:ascii="標楷體" w:eastAsia="標楷體" w:hAnsi="標楷體"/>
                          <w:b/>
                        </w:rPr>
                        <w:t>29</w:t>
                      </w:r>
                      <w:r>
                        <w:rPr>
                          <w:rFonts w:ascii="標楷體" w:eastAsia="標楷體" w:hAnsi="標楷體" w:hint="eastAsia"/>
                          <w:b/>
                        </w:rPr>
                        <w:t xml:space="preserve">　部分機關未於1</w:t>
                      </w:r>
                      <w:r>
                        <w:rPr>
                          <w:rFonts w:ascii="標楷體" w:eastAsia="標楷體" w:hAnsi="標楷體"/>
                          <w:b/>
                        </w:rPr>
                        <w:t>12</w:t>
                      </w:r>
                      <w:r>
                        <w:rPr>
                          <w:rFonts w:ascii="標楷體" w:eastAsia="標楷體" w:hAnsi="標楷體" w:hint="eastAsia"/>
                          <w:b/>
                        </w:rPr>
                        <w:t>年度</w:t>
                      </w:r>
                      <w:r w:rsidRPr="000C52E1">
                        <w:rPr>
                          <w:rFonts w:ascii="標楷體" w:eastAsia="標楷體" w:hAnsi="標楷體" w:hint="eastAsia"/>
                          <w:b/>
                        </w:rPr>
                        <w:t>主管決算書揭露重大科技發展計畫情形</w:t>
                      </w:r>
                    </w:p>
                    <w:tbl>
                      <w:tblPr>
                        <w:tblStyle w:val="afff"/>
                        <w:tblW w:w="4993" w:type="pct"/>
                        <w:tblLook w:val="04A0" w:firstRow="1" w:lastRow="0" w:firstColumn="1" w:lastColumn="0" w:noHBand="0" w:noVBand="1"/>
                      </w:tblPr>
                      <w:tblGrid>
                        <w:gridCol w:w="3941"/>
                        <w:gridCol w:w="2565"/>
                      </w:tblGrid>
                      <w:tr w:rsidR="00A0212B" w:rsidRPr="000C52E1" w14:paraId="24BF2FB3" w14:textId="77777777" w:rsidTr="00561F2C">
                        <w:trPr>
                          <w:trHeight w:val="412"/>
                          <w:tblHeader/>
                        </w:trPr>
                        <w:tc>
                          <w:tcPr>
                            <w:tcW w:w="3029" w:type="pct"/>
                            <w:vAlign w:val="center"/>
                          </w:tcPr>
                          <w:p w14:paraId="1BFE2AC2" w14:textId="77777777" w:rsidR="00A0212B" w:rsidRPr="000C52E1" w:rsidRDefault="00A0212B" w:rsidP="00561F2C">
                            <w:pPr>
                              <w:spacing w:line="240" w:lineRule="exact"/>
                              <w:ind w:rightChars="-5" w:right="-12"/>
                              <w:jc w:val="center"/>
                              <w:rPr>
                                <w:rFonts w:ascii="標楷體" w:eastAsia="標楷體" w:hAnsi="標楷體"/>
                                <w:sz w:val="20"/>
                              </w:rPr>
                            </w:pPr>
                            <w:r w:rsidRPr="000C52E1">
                              <w:rPr>
                                <w:rFonts w:ascii="標楷體" w:eastAsia="標楷體" w:hAnsi="標楷體" w:hint="eastAsia"/>
                                <w:sz w:val="20"/>
                              </w:rPr>
                              <w:t>計畫名稱</w:t>
                            </w:r>
                          </w:p>
                        </w:tc>
                        <w:tc>
                          <w:tcPr>
                            <w:tcW w:w="1971" w:type="pct"/>
                            <w:vAlign w:val="center"/>
                          </w:tcPr>
                          <w:p w14:paraId="00BB191D" w14:textId="77777777" w:rsidR="00A0212B" w:rsidRPr="000C52E1" w:rsidRDefault="00A0212B" w:rsidP="00561F2C">
                            <w:pPr>
                              <w:spacing w:line="240" w:lineRule="exact"/>
                              <w:ind w:rightChars="-5" w:right="-12"/>
                              <w:jc w:val="center"/>
                              <w:rPr>
                                <w:rFonts w:ascii="標楷體" w:eastAsia="標楷體" w:hAnsi="標楷體"/>
                                <w:sz w:val="20"/>
                              </w:rPr>
                            </w:pPr>
                            <w:r w:rsidRPr="000C52E1">
                              <w:rPr>
                                <w:rFonts w:ascii="標楷體" w:eastAsia="標楷體" w:hAnsi="標楷體" w:hint="eastAsia"/>
                                <w:sz w:val="20"/>
                              </w:rPr>
                              <w:t>未揭露機關</w:t>
                            </w:r>
                          </w:p>
                        </w:tc>
                      </w:tr>
                      <w:tr w:rsidR="00A0212B" w:rsidRPr="000C52E1" w14:paraId="4152DC96" w14:textId="77777777" w:rsidTr="00561F2C">
                        <w:tc>
                          <w:tcPr>
                            <w:tcW w:w="3029" w:type="pct"/>
                            <w:vAlign w:val="center"/>
                          </w:tcPr>
                          <w:p w14:paraId="5595A86A"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智慧無人載具關鍵技術開發暨車輛產業轉型輔導推動計畫</w:t>
                            </w:r>
                          </w:p>
                        </w:tc>
                        <w:tc>
                          <w:tcPr>
                            <w:tcW w:w="1971" w:type="pct"/>
                            <w:vAlign w:val="center"/>
                          </w:tcPr>
                          <w:p w14:paraId="696ACD4C"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內政部</w:t>
                            </w:r>
                          </w:p>
                        </w:tc>
                      </w:tr>
                      <w:tr w:rsidR="00A0212B" w:rsidRPr="000C52E1" w14:paraId="0ED91B0F" w14:textId="77777777" w:rsidTr="00561F2C">
                        <w:trPr>
                          <w:trHeight w:val="340"/>
                        </w:trPr>
                        <w:tc>
                          <w:tcPr>
                            <w:tcW w:w="3029" w:type="pct"/>
                            <w:vAlign w:val="center"/>
                          </w:tcPr>
                          <w:p w14:paraId="22E549A0"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產業應用基礎研究綱要計畫</w:t>
                            </w:r>
                          </w:p>
                        </w:tc>
                        <w:tc>
                          <w:tcPr>
                            <w:tcW w:w="1971" w:type="pct"/>
                            <w:vAlign w:val="center"/>
                          </w:tcPr>
                          <w:p w14:paraId="51463E83"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數位發展部</w:t>
                            </w:r>
                          </w:p>
                        </w:tc>
                      </w:tr>
                      <w:tr w:rsidR="00A0212B" w:rsidRPr="000C52E1" w14:paraId="67255818" w14:textId="77777777" w:rsidTr="00561F2C">
                        <w:trPr>
                          <w:trHeight w:val="340"/>
                        </w:trPr>
                        <w:tc>
                          <w:tcPr>
                            <w:tcW w:w="3029" w:type="pct"/>
                            <w:vAlign w:val="center"/>
                          </w:tcPr>
                          <w:p w14:paraId="39EFBE67"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亞灣5G AIoT創新科技應用綱要計畫</w:t>
                            </w:r>
                          </w:p>
                        </w:tc>
                        <w:tc>
                          <w:tcPr>
                            <w:tcW w:w="1971" w:type="pct"/>
                            <w:vAlign w:val="center"/>
                          </w:tcPr>
                          <w:p w14:paraId="3D6858D9"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數位發展部</w:t>
                            </w:r>
                          </w:p>
                        </w:tc>
                      </w:tr>
                      <w:tr w:rsidR="00A0212B" w:rsidRPr="000C52E1" w14:paraId="440C40D0" w14:textId="77777777" w:rsidTr="00561F2C">
                        <w:trPr>
                          <w:trHeight w:val="283"/>
                        </w:trPr>
                        <w:tc>
                          <w:tcPr>
                            <w:tcW w:w="3029" w:type="pct"/>
                            <w:vAlign w:val="center"/>
                          </w:tcPr>
                          <w:p w14:paraId="1EB173B4"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創新產業科技政策與國際合作規劃管理綱要計畫</w:t>
                            </w:r>
                          </w:p>
                        </w:tc>
                        <w:tc>
                          <w:tcPr>
                            <w:tcW w:w="1971" w:type="pct"/>
                            <w:vAlign w:val="center"/>
                          </w:tcPr>
                          <w:p w14:paraId="18B071D9"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數位發展部</w:t>
                            </w:r>
                          </w:p>
                        </w:tc>
                      </w:tr>
                      <w:tr w:rsidR="00A0212B" w:rsidRPr="000C52E1" w14:paraId="4ECA81FA" w14:textId="77777777" w:rsidTr="00561F2C">
                        <w:trPr>
                          <w:trHeight w:val="283"/>
                        </w:trPr>
                        <w:tc>
                          <w:tcPr>
                            <w:tcW w:w="3029" w:type="pct"/>
                            <w:vAlign w:val="center"/>
                          </w:tcPr>
                          <w:p w14:paraId="251F4122"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企業創新研發淬鍊及科研成果價值創造綱要計畫</w:t>
                            </w:r>
                          </w:p>
                        </w:tc>
                        <w:tc>
                          <w:tcPr>
                            <w:tcW w:w="1971" w:type="pct"/>
                            <w:vAlign w:val="center"/>
                          </w:tcPr>
                          <w:p w14:paraId="3B127976"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數位發展部</w:t>
                            </w:r>
                          </w:p>
                        </w:tc>
                      </w:tr>
                      <w:tr w:rsidR="00A0212B" w:rsidRPr="000C52E1" w14:paraId="6683F3B1" w14:textId="77777777" w:rsidTr="00561F2C">
                        <w:trPr>
                          <w:trHeight w:val="340"/>
                        </w:trPr>
                        <w:tc>
                          <w:tcPr>
                            <w:tcW w:w="3029" w:type="pct"/>
                            <w:vAlign w:val="center"/>
                          </w:tcPr>
                          <w:p w14:paraId="49E9330E"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設計驅動跨域整合創新計畫</w:t>
                            </w:r>
                          </w:p>
                        </w:tc>
                        <w:tc>
                          <w:tcPr>
                            <w:tcW w:w="1971" w:type="pct"/>
                            <w:vAlign w:val="center"/>
                          </w:tcPr>
                          <w:p w14:paraId="125874C2"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文化部</w:t>
                            </w:r>
                          </w:p>
                        </w:tc>
                      </w:tr>
                      <w:tr w:rsidR="00A0212B" w:rsidRPr="000C52E1" w14:paraId="566427CD" w14:textId="77777777" w:rsidTr="00561F2C">
                        <w:trPr>
                          <w:trHeight w:val="340"/>
                        </w:trPr>
                        <w:tc>
                          <w:tcPr>
                            <w:tcW w:w="3029" w:type="pct"/>
                            <w:vAlign w:val="center"/>
                          </w:tcPr>
                          <w:p w14:paraId="6F28B67F"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產業創新平台計畫</w:t>
                            </w:r>
                          </w:p>
                        </w:tc>
                        <w:tc>
                          <w:tcPr>
                            <w:tcW w:w="1971" w:type="pct"/>
                            <w:vAlign w:val="center"/>
                          </w:tcPr>
                          <w:p w14:paraId="07EE273E"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經濟部、數位發展部</w:t>
                            </w:r>
                          </w:p>
                        </w:tc>
                      </w:tr>
                      <w:tr w:rsidR="00A0212B" w:rsidRPr="000C52E1" w14:paraId="5C65055B" w14:textId="77777777" w:rsidTr="00561F2C">
                        <w:trPr>
                          <w:trHeight w:val="454"/>
                        </w:trPr>
                        <w:tc>
                          <w:tcPr>
                            <w:tcW w:w="3029" w:type="pct"/>
                            <w:vAlign w:val="center"/>
                          </w:tcPr>
                          <w:p w14:paraId="5B57B8BD"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低軌通訊衛星計畫</w:t>
                            </w:r>
                          </w:p>
                        </w:tc>
                        <w:tc>
                          <w:tcPr>
                            <w:tcW w:w="1971" w:type="pct"/>
                            <w:vAlign w:val="center"/>
                          </w:tcPr>
                          <w:p w14:paraId="4F571F9F"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國家科學及技術委員會、經濟部</w:t>
                            </w:r>
                          </w:p>
                        </w:tc>
                      </w:tr>
                      <w:tr w:rsidR="00A0212B" w:rsidRPr="000C52E1" w14:paraId="189F06C7" w14:textId="77777777" w:rsidTr="00561F2C">
                        <w:trPr>
                          <w:trHeight w:val="340"/>
                        </w:trPr>
                        <w:tc>
                          <w:tcPr>
                            <w:tcW w:w="3029" w:type="pct"/>
                            <w:vAlign w:val="center"/>
                          </w:tcPr>
                          <w:p w14:paraId="2A8B51CC"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太空產業推動與人才培育計畫</w:t>
                            </w:r>
                          </w:p>
                        </w:tc>
                        <w:tc>
                          <w:tcPr>
                            <w:tcW w:w="1971" w:type="pct"/>
                            <w:vAlign w:val="center"/>
                          </w:tcPr>
                          <w:p w14:paraId="3DCDBB81"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教育部</w:t>
                            </w:r>
                          </w:p>
                        </w:tc>
                      </w:tr>
                      <w:tr w:rsidR="00A0212B" w:rsidRPr="000C52E1" w14:paraId="1AA19212" w14:textId="77777777" w:rsidTr="00561F2C">
                        <w:trPr>
                          <w:trHeight w:val="454"/>
                        </w:trPr>
                        <w:tc>
                          <w:tcPr>
                            <w:tcW w:w="3029" w:type="pct"/>
                            <w:vAlign w:val="center"/>
                          </w:tcPr>
                          <w:p w14:paraId="27D3BBA3"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建構動植物健康安全防護網絡</w:t>
                            </w:r>
                          </w:p>
                        </w:tc>
                        <w:tc>
                          <w:tcPr>
                            <w:tcW w:w="1971" w:type="pct"/>
                            <w:vAlign w:val="center"/>
                          </w:tcPr>
                          <w:p w14:paraId="00D230AA"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農業委員會</w:t>
                            </w:r>
                            <w:r>
                              <w:rPr>
                                <w:rFonts w:ascii="標楷體" w:eastAsia="標楷體" w:hAnsi="標楷體" w:hint="eastAsia"/>
                                <w:sz w:val="20"/>
                              </w:rPr>
                              <w:t>（</w:t>
                            </w:r>
                            <w:r w:rsidRPr="000C52E1">
                              <w:rPr>
                                <w:rFonts w:ascii="標楷體" w:eastAsia="標楷體" w:hAnsi="標楷體" w:hint="eastAsia"/>
                                <w:sz w:val="20"/>
                              </w:rPr>
                              <w:t>農業部</w:t>
                            </w:r>
                            <w:r>
                              <w:rPr>
                                <w:rFonts w:ascii="標楷體" w:eastAsia="標楷體" w:hAnsi="標楷體" w:hint="eastAsia"/>
                                <w:sz w:val="20"/>
                              </w:rPr>
                              <w:t>）</w:t>
                            </w:r>
                            <w:r w:rsidRPr="000C52E1">
                              <w:rPr>
                                <w:rFonts w:ascii="標楷體" w:eastAsia="標楷體" w:hAnsi="標楷體" w:hint="eastAsia"/>
                                <w:sz w:val="20"/>
                              </w:rPr>
                              <w:t>、中央研究院、衛生福利部</w:t>
                            </w:r>
                          </w:p>
                        </w:tc>
                      </w:tr>
                      <w:tr w:rsidR="00A0212B" w:rsidRPr="000C52E1" w14:paraId="1CEEBBAC" w14:textId="77777777" w:rsidTr="00561F2C">
                        <w:trPr>
                          <w:trHeight w:val="454"/>
                        </w:trPr>
                        <w:tc>
                          <w:tcPr>
                            <w:tcW w:w="3029" w:type="pct"/>
                            <w:vAlign w:val="center"/>
                          </w:tcPr>
                          <w:p w14:paraId="436D8BBD"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服務型智慧政府2.0推動計畫</w:t>
                            </w:r>
                          </w:p>
                        </w:tc>
                        <w:tc>
                          <w:tcPr>
                            <w:tcW w:w="1971" w:type="pct"/>
                            <w:vAlign w:val="center"/>
                          </w:tcPr>
                          <w:p w14:paraId="5C96B6C6"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交通部、文化部、勞動部、環境保護署</w:t>
                            </w:r>
                            <w:r>
                              <w:rPr>
                                <w:rFonts w:ascii="標楷體" w:eastAsia="標楷體" w:hAnsi="標楷體" w:hint="eastAsia"/>
                                <w:sz w:val="20"/>
                              </w:rPr>
                              <w:t>（</w:t>
                            </w:r>
                            <w:r w:rsidRPr="000C52E1">
                              <w:rPr>
                                <w:rFonts w:ascii="標楷體" w:eastAsia="標楷體" w:hAnsi="標楷體" w:hint="eastAsia"/>
                                <w:sz w:val="20"/>
                              </w:rPr>
                              <w:t>環境部</w:t>
                            </w:r>
                            <w:r>
                              <w:rPr>
                                <w:rFonts w:ascii="標楷體" w:eastAsia="標楷體" w:hAnsi="標楷體" w:hint="eastAsia"/>
                                <w:sz w:val="20"/>
                              </w:rPr>
                              <w:t>）</w:t>
                            </w:r>
                          </w:p>
                        </w:tc>
                      </w:tr>
                      <w:tr w:rsidR="00A0212B" w:rsidRPr="000C52E1" w14:paraId="2A3F4722" w14:textId="77777777" w:rsidTr="00561F2C">
                        <w:trPr>
                          <w:trHeight w:val="680"/>
                        </w:trPr>
                        <w:tc>
                          <w:tcPr>
                            <w:tcW w:w="3029" w:type="pct"/>
                            <w:vAlign w:val="center"/>
                          </w:tcPr>
                          <w:p w14:paraId="0DA284FD"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資安跨域整合聯防計畫</w:t>
                            </w:r>
                          </w:p>
                        </w:tc>
                        <w:tc>
                          <w:tcPr>
                            <w:tcW w:w="1971" w:type="pct"/>
                            <w:vAlign w:val="center"/>
                          </w:tcPr>
                          <w:p w14:paraId="2ED486AC" w14:textId="77777777" w:rsidR="00A0212B" w:rsidRPr="000C52E1" w:rsidRDefault="00A0212B" w:rsidP="00561F2C">
                            <w:pPr>
                              <w:spacing w:line="240" w:lineRule="exact"/>
                              <w:ind w:rightChars="-5" w:right="-12"/>
                              <w:jc w:val="both"/>
                              <w:rPr>
                                <w:rFonts w:ascii="標楷體" w:eastAsia="標楷體" w:hAnsi="標楷體"/>
                                <w:sz w:val="20"/>
                              </w:rPr>
                            </w:pPr>
                            <w:r w:rsidRPr="000C52E1">
                              <w:rPr>
                                <w:rFonts w:ascii="標楷體" w:eastAsia="標楷體" w:hAnsi="標楷體" w:hint="eastAsia"/>
                                <w:sz w:val="20"/>
                              </w:rPr>
                              <w:t>衛生福利部、交通部、教育部、內政部、法務部、金融監督管理委員會</w:t>
                            </w:r>
                          </w:p>
                        </w:tc>
                      </w:tr>
                    </w:tbl>
                    <w:p w14:paraId="5898A43D" w14:textId="77777777" w:rsidR="00A0212B" w:rsidRPr="005A7A23" w:rsidRDefault="00A0212B" w:rsidP="00AB0226">
                      <w:pPr>
                        <w:spacing w:line="240" w:lineRule="exact"/>
                        <w:ind w:leftChars="-50" w:left="-120"/>
                        <w:rPr>
                          <w:rFonts w:ascii="標楷體" w:eastAsia="標楷體" w:hAnsi="標楷體"/>
                          <w:sz w:val="18"/>
                        </w:rPr>
                      </w:pPr>
                      <w:r w:rsidRPr="005A7A23">
                        <w:rPr>
                          <w:rFonts w:ascii="標楷體" w:eastAsia="標楷體" w:hAnsi="標楷體" w:hint="eastAsia"/>
                          <w:sz w:val="18"/>
                        </w:rPr>
                        <w:t>資料來源：整理自各</w:t>
                      </w:r>
                      <w:r>
                        <w:rPr>
                          <w:rFonts w:ascii="標楷體" w:eastAsia="標楷體" w:hAnsi="標楷體" w:hint="eastAsia"/>
                          <w:sz w:val="18"/>
                        </w:rPr>
                        <w:t>機</w:t>
                      </w:r>
                      <w:r w:rsidRPr="005A7A23">
                        <w:rPr>
                          <w:rFonts w:ascii="標楷體" w:eastAsia="標楷體" w:hAnsi="標楷體" w:hint="eastAsia"/>
                          <w:sz w:val="18"/>
                        </w:rPr>
                        <w:t>關112年度主管決算書。</w:t>
                      </w:r>
                    </w:p>
                  </w:txbxContent>
                </v:textbox>
                <w10:wrap type="square"/>
              </v:shape>
            </w:pict>
          </mc:Fallback>
        </mc:AlternateContent>
      </w:r>
      <w:r w:rsidR="00040225" w:rsidRPr="00B4405D">
        <w:rPr>
          <w:rFonts w:ascii="標楷體" w:eastAsia="標楷體" w:hAnsi="標楷體" w:hint="eastAsia"/>
          <w:b/>
          <w:kern w:val="0"/>
          <w:szCs w:val="24"/>
        </w:rPr>
        <w:t>3.　部分機關未落實決算書表之填報作業，完整揭露重大科技發展計畫執行及目標達成情形：</w:t>
      </w:r>
      <w:r w:rsidR="00040225" w:rsidRPr="00B4405D">
        <w:rPr>
          <w:rFonts w:ascii="標楷體" w:eastAsia="標楷體" w:hAnsi="標楷體" w:hint="eastAsia"/>
          <w:kern w:val="0"/>
          <w:szCs w:val="24"/>
        </w:rPr>
        <w:t>依據112年度中央政府總決算編製作業手冊之「重要社會發展、重大科技發展計畫執行情形及目標達成情形表」格式載述，本表所稱重大科技發展計畫係指符合政府科技發展計畫</w:t>
      </w:r>
      <w:r w:rsidR="00040225" w:rsidRPr="00A51CA6">
        <w:rPr>
          <w:rFonts w:ascii="標楷體" w:eastAsia="標楷體" w:hAnsi="標楷體" w:hint="eastAsia"/>
          <w:kern w:val="0"/>
          <w:szCs w:val="24"/>
        </w:rPr>
        <w:t>先期作業實施要點（下稱科技發展先期作業要點）規定之重大科技發展計畫，並請依計畫別逐</w:t>
      </w:r>
      <w:r w:rsidR="00040225" w:rsidRPr="00B4405D">
        <w:rPr>
          <w:rFonts w:ascii="標楷體" w:eastAsia="標楷體" w:hAnsi="標楷體" w:hint="eastAsia"/>
          <w:kern w:val="0"/>
          <w:szCs w:val="24"/>
        </w:rPr>
        <w:t>一填列。復依科技發展先期作業要點第3點第2項規定，科技發展計畫經費符合2年期以上之新興議題（非屬經常性或延續性辦理者），總經費達20億元以上或任一年度經費達5億元以上，且為跨部會合提之政策計畫，為重大科技發展計畫。經查112年度重大科技發展計畫計17項，經費166億6,735萬元，其中由經濟部、國科會、農業部及數位發展部主提之「智慧無人載具關鍵技術開發暨車輛產業轉型輔導推動計畫」等12項計畫，分別有內政部、數位發展部、教育部等</w:t>
      </w:r>
      <w:r w:rsidR="00040225" w:rsidRPr="00A102A4">
        <w:rPr>
          <w:rFonts w:ascii="標楷體" w:eastAsia="標楷體" w:hAnsi="標楷體"/>
          <w:kern w:val="0"/>
          <w:szCs w:val="24"/>
        </w:rPr>
        <w:t>1</w:t>
      </w:r>
      <w:r w:rsidR="00A102A4" w:rsidRPr="00E31547">
        <w:rPr>
          <w:rFonts w:ascii="標楷體" w:eastAsia="標楷體" w:hAnsi="標楷體"/>
          <w:kern w:val="0"/>
          <w:szCs w:val="24"/>
        </w:rPr>
        <w:t>4</w:t>
      </w:r>
      <w:r w:rsidR="00040225" w:rsidRPr="00B4405D">
        <w:rPr>
          <w:rFonts w:ascii="標楷體" w:eastAsia="標楷體" w:hAnsi="標楷體" w:hint="eastAsia"/>
          <w:kern w:val="0"/>
          <w:szCs w:val="24"/>
        </w:rPr>
        <w:t>個機關未於其主管決算書表中揭露其執行及目標達成情形（</w:t>
      </w:r>
      <w:r w:rsidR="00040225" w:rsidRPr="006678C5">
        <w:rPr>
          <w:rFonts w:ascii="標楷體" w:eastAsia="標楷體" w:hAnsi="標楷體" w:hint="eastAsia"/>
          <w:kern w:val="0"/>
          <w:szCs w:val="24"/>
        </w:rPr>
        <w:t>表</w:t>
      </w:r>
      <w:r w:rsidR="00C6766F" w:rsidRPr="006678C5">
        <w:rPr>
          <w:rFonts w:ascii="標楷體" w:eastAsia="標楷體" w:hAnsi="標楷體" w:hint="eastAsia"/>
          <w:kern w:val="0"/>
          <w:szCs w:val="24"/>
        </w:rPr>
        <w:t>29</w:t>
      </w:r>
      <w:r w:rsidR="00040225" w:rsidRPr="00B4405D">
        <w:rPr>
          <w:rFonts w:ascii="標楷體" w:eastAsia="標楷體" w:hAnsi="標楷體" w:hint="eastAsia"/>
          <w:kern w:val="0"/>
          <w:szCs w:val="24"/>
        </w:rPr>
        <w:t>）</w:t>
      </w:r>
      <w:r w:rsidR="00040225">
        <w:rPr>
          <w:rFonts w:ascii="標楷體" w:eastAsia="標楷體" w:hAnsi="標楷體" w:hint="eastAsia"/>
          <w:kern w:val="0"/>
          <w:szCs w:val="24"/>
        </w:rPr>
        <w:t>；另</w:t>
      </w:r>
      <w:r w:rsidR="00040225" w:rsidRPr="00B4405D">
        <w:rPr>
          <w:rFonts w:ascii="標楷體" w:eastAsia="標楷體" w:hAnsi="標楷體" w:hint="eastAsia"/>
          <w:kern w:val="0"/>
          <w:szCs w:val="24"/>
        </w:rPr>
        <w:t>有「產業創新平台計畫」、「低軌通訊衛星計畫」、「建構動植物健康安全防護網絡」等3項計畫</w:t>
      </w:r>
      <w:r w:rsidR="00040225">
        <w:rPr>
          <w:rFonts w:ascii="標楷體" w:eastAsia="標楷體" w:hAnsi="標楷體" w:hint="eastAsia"/>
          <w:kern w:val="0"/>
          <w:szCs w:val="24"/>
        </w:rPr>
        <w:t>，各執行機關均</w:t>
      </w:r>
      <w:r w:rsidR="00040225" w:rsidRPr="00B4405D">
        <w:rPr>
          <w:rFonts w:ascii="標楷體" w:eastAsia="標楷體" w:hAnsi="標楷體" w:hint="eastAsia"/>
          <w:kern w:val="0"/>
          <w:szCs w:val="24"/>
        </w:rPr>
        <w:t>未於主管決算書表揭露，據說明</w:t>
      </w:r>
      <w:r w:rsidR="00040225">
        <w:rPr>
          <w:rFonts w:ascii="標楷體" w:eastAsia="標楷體" w:hAnsi="標楷體" w:hint="eastAsia"/>
          <w:kern w:val="0"/>
          <w:szCs w:val="24"/>
        </w:rPr>
        <w:t>主要係</w:t>
      </w:r>
      <w:r w:rsidR="00040225" w:rsidRPr="00B4405D">
        <w:rPr>
          <w:rFonts w:ascii="標楷體" w:eastAsia="標楷體" w:hAnsi="標楷體" w:hint="eastAsia"/>
          <w:kern w:val="0"/>
          <w:szCs w:val="24"/>
        </w:rPr>
        <w:t>非屬新興議題</w:t>
      </w:r>
      <w:r w:rsidR="00040225">
        <w:rPr>
          <w:rFonts w:ascii="標楷體" w:eastAsia="標楷體" w:hAnsi="標楷體" w:hint="eastAsia"/>
          <w:kern w:val="0"/>
          <w:szCs w:val="24"/>
        </w:rPr>
        <w:t>，</w:t>
      </w:r>
      <w:r w:rsidR="00040225" w:rsidRPr="00B4405D">
        <w:rPr>
          <w:rFonts w:ascii="標楷體" w:eastAsia="標楷體" w:hAnsi="標楷體" w:hint="eastAsia"/>
          <w:kern w:val="0"/>
          <w:szCs w:val="24"/>
        </w:rPr>
        <w:t>其中「低軌通訊衛星計畫」及「建構動植物健康安全防護網絡」為近年提報執行之新興計畫，雖於112年度已執行第3年，惟同期間已執行第3年之「服務型智慧政府2.0推動計畫」，多數執行機關均已於主管決算書表揭露其執行及目標達成情形，各機關揭露標準未盡一致。經函請行政院督促有關機關檢討落實決算書表填報作業，俾提升政府重大科技發展計畫資訊揭露完整性及透明度。</w:t>
      </w:r>
      <w:r w:rsidR="00040225" w:rsidRPr="004D7C92">
        <w:rPr>
          <w:rFonts w:ascii="標楷體" w:eastAsia="標楷體" w:hAnsi="標楷體" w:hint="eastAsia"/>
          <w:color w:val="000000" w:themeColor="text1"/>
          <w:spacing w:val="-4"/>
          <w:kern w:val="0"/>
          <w:szCs w:val="24"/>
        </w:rPr>
        <w:t>據復：</w:t>
      </w:r>
      <w:r w:rsidRPr="004D7C92">
        <w:rPr>
          <w:rFonts w:ascii="標楷體" w:eastAsia="標楷體" w:hAnsi="標楷體" w:hint="eastAsia"/>
          <w:color w:val="000000" w:themeColor="text1"/>
          <w:spacing w:val="-4"/>
          <w:kern w:val="0"/>
          <w:szCs w:val="24"/>
        </w:rPr>
        <w:t>將持續透過相關教育訓練課程加強宣導，完整揭露重大科技發展計畫執行及目標達成情形，落實決算書表填報作業。</w:t>
      </w:r>
    </w:p>
    <w:p w14:paraId="3998CB80" w14:textId="65244076" w:rsidR="002E628D" w:rsidRPr="003C3F9E" w:rsidRDefault="002E628D" w:rsidP="002E628D">
      <w:pPr>
        <w:overflowPunct w:val="0"/>
        <w:snapToGrid w:val="0"/>
        <w:spacing w:beforeLines="20" w:before="72" w:afterLines="20" w:after="72" w:line="430" w:lineRule="exact"/>
        <w:ind w:firstLineChars="200" w:firstLine="561"/>
        <w:jc w:val="both"/>
        <w:outlineLvl w:val="1"/>
        <w:rPr>
          <w:rFonts w:ascii="標楷體" w:eastAsia="標楷體" w:hAnsi="標楷體"/>
          <w:b/>
          <w:color w:val="000000"/>
          <w:sz w:val="28"/>
          <w:szCs w:val="28"/>
        </w:rPr>
      </w:pPr>
      <w:r w:rsidRPr="003C3F9E">
        <w:rPr>
          <w:rFonts w:ascii="標楷體" w:eastAsia="標楷體" w:hAnsi="標楷體" w:hint="eastAsia"/>
          <w:b/>
          <w:color w:val="000000"/>
          <w:sz w:val="28"/>
          <w:szCs w:val="28"/>
        </w:rPr>
        <w:lastRenderedPageBreak/>
        <w:t>（</w:t>
      </w:r>
      <w:r>
        <w:rPr>
          <w:rFonts w:ascii="標楷體" w:eastAsia="標楷體" w:hAnsi="標楷體" w:hint="eastAsia"/>
          <w:b/>
          <w:color w:val="000000"/>
          <w:sz w:val="28"/>
          <w:szCs w:val="28"/>
        </w:rPr>
        <w:t>十</w:t>
      </w:r>
      <w:r w:rsidR="00781889">
        <w:rPr>
          <w:rFonts w:ascii="標楷體" w:eastAsia="標楷體" w:hAnsi="標楷體" w:hint="eastAsia"/>
          <w:b/>
          <w:color w:val="000000"/>
          <w:sz w:val="28"/>
          <w:szCs w:val="28"/>
        </w:rPr>
        <w:t>八</w:t>
      </w:r>
      <w:r w:rsidRPr="003C3F9E">
        <w:rPr>
          <w:rFonts w:ascii="標楷體" w:eastAsia="標楷體" w:hAnsi="標楷體" w:hint="eastAsia"/>
          <w:b/>
          <w:color w:val="000000"/>
          <w:sz w:val="28"/>
          <w:szCs w:val="28"/>
        </w:rPr>
        <w:t>）　政府持續投入鉅額經費推動重大公共建設計畫，帶動經濟成長及提升國家競爭力，惟</w:t>
      </w:r>
      <w:r>
        <w:rPr>
          <w:rFonts w:ascii="標楷體" w:eastAsia="標楷體" w:hAnsi="標楷體" w:hint="eastAsia"/>
          <w:b/>
          <w:color w:val="000000"/>
          <w:sz w:val="28"/>
          <w:szCs w:val="28"/>
        </w:rPr>
        <w:t>國內</w:t>
      </w:r>
      <w:r w:rsidRPr="001F3E7D">
        <w:rPr>
          <w:rFonts w:ascii="標楷體" w:eastAsia="標楷體" w:hAnsi="標楷體" w:hint="eastAsia"/>
          <w:b/>
          <w:color w:val="000000"/>
          <w:sz w:val="28"/>
          <w:szCs w:val="28"/>
        </w:rPr>
        <w:t>公共工程流廢標及營造業施工人力不足問題</w:t>
      </w:r>
      <w:r w:rsidRPr="003C3F9E">
        <w:rPr>
          <w:rFonts w:ascii="標楷體" w:eastAsia="標楷體" w:hAnsi="標楷體" w:hint="eastAsia"/>
          <w:b/>
          <w:color w:val="000000"/>
          <w:sz w:val="28"/>
          <w:szCs w:val="28"/>
        </w:rPr>
        <w:t>，</w:t>
      </w:r>
      <w:r>
        <w:rPr>
          <w:rFonts w:ascii="標楷體" w:eastAsia="標楷體" w:hAnsi="標楷體" w:hint="eastAsia"/>
          <w:b/>
          <w:color w:val="000000"/>
          <w:sz w:val="28"/>
          <w:szCs w:val="28"/>
        </w:rPr>
        <w:t>與相關公共建設之</w:t>
      </w:r>
      <w:r w:rsidRPr="003C3F9E">
        <w:rPr>
          <w:rFonts w:ascii="標楷體" w:eastAsia="標楷體" w:hAnsi="標楷體" w:hint="eastAsia"/>
          <w:b/>
          <w:color w:val="000000"/>
          <w:sz w:val="28"/>
          <w:szCs w:val="28"/>
        </w:rPr>
        <w:t>計畫</w:t>
      </w:r>
      <w:r>
        <w:rPr>
          <w:rFonts w:ascii="標楷體" w:eastAsia="標楷體" w:hAnsi="標楷體" w:hint="eastAsia"/>
          <w:b/>
          <w:color w:val="000000"/>
          <w:sz w:val="28"/>
          <w:szCs w:val="28"/>
        </w:rPr>
        <w:t>擬編及</w:t>
      </w:r>
      <w:r w:rsidRPr="003C3F9E">
        <w:rPr>
          <w:rFonts w:ascii="標楷體" w:eastAsia="標楷體" w:hAnsi="標楷體" w:hint="eastAsia"/>
          <w:b/>
          <w:color w:val="000000"/>
          <w:sz w:val="28"/>
          <w:szCs w:val="28"/>
        </w:rPr>
        <w:t>管控機制等，均待檢討改善，以提升計畫執行效能。</w:t>
      </w:r>
    </w:p>
    <w:p w14:paraId="51651DF5" w14:textId="59E43002" w:rsidR="001F3D33" w:rsidRDefault="00755030" w:rsidP="004D7C92">
      <w:pPr>
        <w:overflowPunct w:val="0"/>
        <w:spacing w:line="460" w:lineRule="exact"/>
        <w:ind w:firstLineChars="200" w:firstLine="480"/>
        <w:jc w:val="both"/>
        <w:rPr>
          <w:rFonts w:ascii="標楷體" w:eastAsia="標楷體" w:hAnsi="標楷體"/>
          <w:color w:val="000000" w:themeColor="text1"/>
        </w:rPr>
      </w:pPr>
      <w:r>
        <w:rPr>
          <w:noProof/>
        </w:rPr>
        <mc:AlternateContent>
          <mc:Choice Requires="wps">
            <w:drawing>
              <wp:anchor distT="0" distB="0" distL="114300" distR="114300" simplePos="0" relativeHeight="251640832" behindDoc="0" locked="0" layoutInCell="1" allowOverlap="1" wp14:anchorId="7CE84C5F" wp14:editId="7A214EF2">
                <wp:simplePos x="0" y="0"/>
                <wp:positionH relativeFrom="margin">
                  <wp:posOffset>1908810</wp:posOffset>
                </wp:positionH>
                <wp:positionV relativeFrom="paragraph">
                  <wp:posOffset>1021715</wp:posOffset>
                </wp:positionV>
                <wp:extent cx="4386580" cy="3248660"/>
                <wp:effectExtent l="0" t="0" r="0" b="8890"/>
                <wp:wrapSquare wrapText="bothSides"/>
                <wp:docPr id="85" name="文字方塊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6580" cy="3248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19DCA" w14:textId="61BE2232" w:rsidR="00A0212B" w:rsidRPr="003C3F9E" w:rsidRDefault="00A0212B" w:rsidP="002E628D">
                            <w:pPr>
                              <w:ind w:left="721" w:hangingChars="300" w:hanging="721"/>
                              <w:jc w:val="center"/>
                              <w:rPr>
                                <w:rFonts w:ascii="標楷體" w:eastAsia="標楷體" w:hAnsi="標楷體"/>
                                <w:b/>
                                <w:snapToGrid w:val="0"/>
                                <w:color w:val="000000"/>
                              </w:rPr>
                            </w:pPr>
                            <w:r w:rsidRPr="005F2BF4">
                              <w:rPr>
                                <w:rFonts w:ascii="標楷體" w:eastAsia="標楷體" w:hAnsi="標楷體" w:hint="eastAsia"/>
                                <w:b/>
                                <w:snapToGrid w:val="0"/>
                                <w:color w:val="000000"/>
                              </w:rPr>
                              <w:t>圖1</w:t>
                            </w:r>
                            <w:r>
                              <w:rPr>
                                <w:rFonts w:ascii="標楷體" w:eastAsia="標楷體" w:hAnsi="標楷體"/>
                                <w:b/>
                                <w:snapToGrid w:val="0"/>
                                <w:color w:val="000000"/>
                              </w:rPr>
                              <w:t>5</w:t>
                            </w:r>
                            <w:r w:rsidRPr="005F2BF4">
                              <w:rPr>
                                <w:rFonts w:ascii="標楷體" w:eastAsia="標楷體" w:hAnsi="標楷體" w:hint="eastAsia"/>
                                <w:b/>
                                <w:snapToGrid w:val="0"/>
                                <w:color w:val="000000"/>
                              </w:rPr>
                              <w:t xml:space="preserve">　重大公共建設計畫預算執行</w:t>
                            </w:r>
                            <w:r>
                              <w:rPr>
                                <w:rFonts w:ascii="標楷體" w:eastAsia="標楷體" w:hAnsi="標楷體" w:hint="eastAsia"/>
                                <w:b/>
                                <w:snapToGrid w:val="0"/>
                                <w:color w:val="000000"/>
                              </w:rPr>
                              <w:t>率</w:t>
                            </w:r>
                          </w:p>
                          <w:p w14:paraId="3F9F527B" w14:textId="14C50F04" w:rsidR="00A0212B" w:rsidRDefault="00A0212B" w:rsidP="005F2BF4">
                            <w:pPr>
                              <w:ind w:leftChars="-1" w:left="15" w:hangingChars="7" w:hanging="17"/>
                              <w:jc w:val="center"/>
                              <w:rPr>
                                <w:rFonts w:ascii="標楷體" w:eastAsia="標楷體" w:hAnsi="標楷體"/>
                                <w:b/>
                                <w:snapToGrid w:val="0"/>
                              </w:rPr>
                            </w:pPr>
                            <w:r>
                              <w:rPr>
                                <w:noProof/>
                              </w:rPr>
                              <w:drawing>
                                <wp:inline distT="0" distB="0" distL="0" distR="0" wp14:anchorId="66DDD26F" wp14:editId="001EA3E1">
                                  <wp:extent cx="4189730" cy="2672080"/>
                                  <wp:effectExtent l="0" t="0" r="1270" b="0"/>
                                  <wp:docPr id="94" name="圖表 94">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E2C1B83" w14:textId="77777777" w:rsidR="00A0212B" w:rsidRPr="00444579" w:rsidRDefault="00A0212B" w:rsidP="002E628D">
                            <w:pPr>
                              <w:spacing w:line="200" w:lineRule="exact"/>
                              <w:ind w:left="868" w:hangingChars="482" w:hanging="868"/>
                              <w:rPr>
                                <w:rFonts w:ascii="標楷體" w:eastAsia="標楷體" w:hAnsi="標楷體"/>
                                <w:sz w:val="18"/>
                                <w:szCs w:val="18"/>
                              </w:rPr>
                            </w:pPr>
                            <w:r>
                              <w:rPr>
                                <w:rFonts w:ascii="標楷體" w:eastAsia="標楷體" w:hAnsi="標楷體" w:hint="eastAsia"/>
                                <w:sz w:val="18"/>
                                <w:szCs w:val="18"/>
                              </w:rPr>
                              <w:t>資料來</w:t>
                            </w:r>
                            <w:r w:rsidRPr="00444579">
                              <w:rPr>
                                <w:rFonts w:ascii="標楷體" w:eastAsia="標楷體" w:hAnsi="標楷體" w:hint="eastAsia"/>
                                <w:sz w:val="18"/>
                                <w:szCs w:val="18"/>
                              </w:rPr>
                              <w:t>源</w:t>
                            </w:r>
                            <w:r w:rsidRPr="00444579">
                              <w:rPr>
                                <w:rFonts w:ascii="標楷體" w:eastAsia="標楷體" w:hAnsi="標楷體"/>
                                <w:sz w:val="18"/>
                                <w:szCs w:val="18"/>
                              </w:rPr>
                              <w:t>：</w:t>
                            </w:r>
                            <w:r w:rsidRPr="00444579">
                              <w:rPr>
                                <w:rFonts w:ascii="標楷體" w:eastAsia="標楷體" w:hAnsi="標楷體" w:hint="eastAsia"/>
                                <w:sz w:val="18"/>
                                <w:szCs w:val="18"/>
                              </w:rPr>
                              <w:t>整理自行政院公共工程委員會提供資料。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E84C5F" id="文字方塊 85" o:spid="_x0000_s1094" type="#_x0000_t202" style="position:absolute;left:0;text-align:left;margin-left:150.3pt;margin-top:80.45pt;width:345.4pt;height:255.8pt;z-index:251640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" stroked="f">
                <v:textbox>
                  <w:txbxContent>
                    <w:p w14:paraId="77D19DCA" w14:textId="61BE2232" w:rsidR="00A0212B" w:rsidRPr="003C3F9E" w:rsidRDefault="00A0212B" w:rsidP="002E628D">
                      <w:pPr>
                        <w:ind w:left="721" w:hangingChars="300" w:hanging="721"/>
                        <w:jc w:val="center"/>
                        <w:rPr>
                          <w:rFonts w:ascii="標楷體" w:eastAsia="標楷體" w:hAnsi="標楷體"/>
                          <w:b/>
                          <w:snapToGrid w:val="0"/>
                          <w:color w:val="000000"/>
                        </w:rPr>
                      </w:pPr>
                      <w:r w:rsidRPr="005F2BF4">
                        <w:rPr>
                          <w:rFonts w:ascii="標楷體" w:eastAsia="標楷體" w:hAnsi="標楷體" w:hint="eastAsia"/>
                          <w:b/>
                          <w:snapToGrid w:val="0"/>
                          <w:color w:val="000000"/>
                        </w:rPr>
                        <w:t>圖1</w:t>
                      </w:r>
                      <w:r>
                        <w:rPr>
                          <w:rFonts w:ascii="標楷體" w:eastAsia="標楷體" w:hAnsi="標楷體"/>
                          <w:b/>
                          <w:snapToGrid w:val="0"/>
                          <w:color w:val="000000"/>
                        </w:rPr>
                        <w:t>5</w:t>
                      </w:r>
                      <w:r w:rsidRPr="005F2BF4">
                        <w:rPr>
                          <w:rFonts w:ascii="標楷體" w:eastAsia="標楷體" w:hAnsi="標楷體" w:hint="eastAsia"/>
                          <w:b/>
                          <w:snapToGrid w:val="0"/>
                          <w:color w:val="000000"/>
                        </w:rPr>
                        <w:t xml:space="preserve">　重大公共建設計畫預算執行</w:t>
                      </w:r>
                      <w:r>
                        <w:rPr>
                          <w:rFonts w:ascii="標楷體" w:eastAsia="標楷體" w:hAnsi="標楷體" w:hint="eastAsia"/>
                          <w:b/>
                          <w:snapToGrid w:val="0"/>
                          <w:color w:val="000000"/>
                        </w:rPr>
                        <w:t>率</w:t>
                      </w:r>
                    </w:p>
                    <w:p w14:paraId="3F9F527B" w14:textId="14C50F04" w:rsidR="00A0212B" w:rsidRDefault="00A0212B" w:rsidP="005F2BF4">
                      <w:pPr>
                        <w:ind w:leftChars="-1" w:left="15" w:hangingChars="7" w:hanging="17"/>
                        <w:jc w:val="center"/>
                        <w:rPr>
                          <w:rFonts w:ascii="標楷體" w:eastAsia="標楷體" w:hAnsi="標楷體"/>
                          <w:b/>
                          <w:snapToGrid w:val="0"/>
                        </w:rPr>
                      </w:pPr>
                      <w:r>
                        <w:rPr>
                          <w:noProof/>
                        </w:rPr>
                        <w:drawing>
                          <wp:inline distT="0" distB="0" distL="0" distR="0" wp14:anchorId="66DDD26F" wp14:editId="001EA3E1">
                            <wp:extent cx="4189730" cy="2672080"/>
                            <wp:effectExtent l="0" t="0" r="1270" b="0"/>
                            <wp:docPr id="94" name="圖表 94">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E2C1B83" w14:textId="77777777" w:rsidR="00A0212B" w:rsidRPr="00444579" w:rsidRDefault="00A0212B" w:rsidP="002E628D">
                      <w:pPr>
                        <w:spacing w:line="200" w:lineRule="exact"/>
                        <w:ind w:left="868" w:hangingChars="482" w:hanging="868"/>
                        <w:rPr>
                          <w:rFonts w:ascii="標楷體" w:eastAsia="標楷體" w:hAnsi="標楷體"/>
                          <w:sz w:val="18"/>
                          <w:szCs w:val="18"/>
                        </w:rPr>
                      </w:pPr>
                      <w:r>
                        <w:rPr>
                          <w:rFonts w:ascii="標楷體" w:eastAsia="標楷體" w:hAnsi="標楷體" w:hint="eastAsia"/>
                          <w:sz w:val="18"/>
                          <w:szCs w:val="18"/>
                        </w:rPr>
                        <w:t>資料來</w:t>
                      </w:r>
                      <w:r w:rsidRPr="00444579">
                        <w:rPr>
                          <w:rFonts w:ascii="標楷體" w:eastAsia="標楷體" w:hAnsi="標楷體" w:hint="eastAsia"/>
                          <w:sz w:val="18"/>
                          <w:szCs w:val="18"/>
                        </w:rPr>
                        <w:t>源</w:t>
                      </w:r>
                      <w:r w:rsidRPr="00444579">
                        <w:rPr>
                          <w:rFonts w:ascii="標楷體" w:eastAsia="標楷體" w:hAnsi="標楷體"/>
                          <w:sz w:val="18"/>
                          <w:szCs w:val="18"/>
                        </w:rPr>
                        <w:t>：</w:t>
                      </w:r>
                      <w:r w:rsidRPr="00444579">
                        <w:rPr>
                          <w:rFonts w:ascii="標楷體" w:eastAsia="標楷體" w:hAnsi="標楷體" w:hint="eastAsia"/>
                          <w:sz w:val="18"/>
                          <w:szCs w:val="18"/>
                        </w:rPr>
                        <w:t>整理自行政院公共工程委員會提供資料。</w:t>
                      </w:r>
                    </w:p>
                  </w:txbxContent>
                </v:textbox>
                <w10:wrap type="square" anchorx="margin"/>
              </v:shape>
            </w:pict>
          </mc:Fallback>
        </mc:AlternateContent>
      </w:r>
      <w:r w:rsidR="002E628D" w:rsidRPr="003C3F9E">
        <w:rPr>
          <w:rFonts w:ascii="標楷體" w:eastAsia="標楷體" w:hAnsi="標楷體" w:hint="eastAsia"/>
          <w:color w:val="000000"/>
        </w:rPr>
        <w:t>政府為確保國家經濟持續發展，提升國家競爭力，每年均編列鉅額預算，持續推動重大公共建設計畫</w:t>
      </w:r>
      <w:r w:rsidR="002E628D" w:rsidRPr="003C3F9E">
        <w:rPr>
          <w:rFonts w:ascii="標楷體" w:eastAsia="標楷體" w:hAnsi="標楷體" w:hint="eastAsia"/>
          <w:color w:val="000000"/>
          <w:kern w:val="0"/>
          <w:szCs w:val="32"/>
        </w:rPr>
        <w:t>，有助增進國家整體發展及人民生活品質</w:t>
      </w:r>
      <w:r w:rsidR="002E628D" w:rsidRPr="003C3F9E">
        <w:rPr>
          <w:rFonts w:ascii="標楷體" w:eastAsia="標楷體" w:hAnsi="標楷體" w:hint="eastAsia"/>
          <w:color w:val="000000"/>
        </w:rPr>
        <w:t>。11</w:t>
      </w:r>
      <w:r w:rsidR="002E628D">
        <w:rPr>
          <w:rFonts w:ascii="標楷體" w:eastAsia="標楷體" w:hAnsi="標楷體"/>
          <w:color w:val="000000"/>
        </w:rPr>
        <w:t>2</w:t>
      </w:r>
      <w:r w:rsidR="002E628D" w:rsidRPr="003C3F9E">
        <w:rPr>
          <w:rFonts w:ascii="標楷體" w:eastAsia="標楷體" w:hAnsi="標楷體" w:hint="eastAsia"/>
          <w:color w:val="000000"/>
        </w:rPr>
        <w:t>年度行政院公共工程委員會列管之行政院所屬各機關重大公共建設計畫合計2</w:t>
      </w:r>
      <w:r w:rsidR="002E628D">
        <w:rPr>
          <w:rFonts w:ascii="標楷體" w:eastAsia="標楷體" w:hAnsi="標楷體"/>
          <w:color w:val="000000"/>
        </w:rPr>
        <w:t>93</w:t>
      </w:r>
      <w:r w:rsidR="002E628D" w:rsidRPr="003C3F9E">
        <w:rPr>
          <w:rFonts w:ascii="標楷體" w:eastAsia="標楷體" w:hAnsi="標楷體" w:hint="eastAsia"/>
          <w:color w:val="000000"/>
        </w:rPr>
        <w:t>項，年計畫經費</w:t>
      </w:r>
      <w:r w:rsidR="002E628D">
        <w:rPr>
          <w:rFonts w:ascii="標楷體" w:eastAsia="標楷體" w:hAnsi="標楷體" w:hint="eastAsia"/>
          <w:color w:val="000000"/>
        </w:rPr>
        <w:t>5</w:t>
      </w:r>
      <w:r w:rsidR="002E628D" w:rsidRPr="003C3F9E">
        <w:rPr>
          <w:rFonts w:ascii="標楷體" w:eastAsia="標楷體" w:hAnsi="標楷體" w:hint="eastAsia"/>
          <w:color w:val="000000"/>
        </w:rPr>
        <w:t>,3</w:t>
      </w:r>
      <w:r w:rsidR="002E628D">
        <w:rPr>
          <w:rFonts w:ascii="標楷體" w:eastAsia="標楷體" w:hAnsi="標楷體"/>
          <w:color w:val="000000"/>
        </w:rPr>
        <w:t>98</w:t>
      </w:r>
      <w:r w:rsidR="002E628D" w:rsidRPr="003C3F9E">
        <w:rPr>
          <w:rFonts w:ascii="標楷體" w:eastAsia="標楷體" w:hAnsi="標楷體" w:hint="eastAsia"/>
          <w:color w:val="000000"/>
        </w:rPr>
        <w:t>億</w:t>
      </w:r>
      <w:r w:rsidR="002E628D">
        <w:rPr>
          <w:rFonts w:ascii="標楷體" w:eastAsia="標楷體" w:hAnsi="標楷體" w:hint="eastAsia"/>
          <w:color w:val="000000"/>
        </w:rPr>
        <w:t>3</w:t>
      </w:r>
      <w:r w:rsidR="002E628D" w:rsidRPr="003C3F9E">
        <w:rPr>
          <w:rFonts w:ascii="標楷體" w:eastAsia="標楷體" w:hAnsi="標楷體"/>
          <w:color w:val="000000"/>
        </w:rPr>
        <w:t>,</w:t>
      </w:r>
      <w:r w:rsidR="002E628D">
        <w:rPr>
          <w:rFonts w:ascii="標楷體" w:eastAsia="標楷體" w:hAnsi="標楷體"/>
          <w:color w:val="000000"/>
        </w:rPr>
        <w:t>862</w:t>
      </w:r>
      <w:r w:rsidR="002E628D" w:rsidRPr="003C3F9E">
        <w:rPr>
          <w:rFonts w:ascii="標楷體" w:eastAsia="標楷體" w:hAnsi="標楷體" w:hint="eastAsia"/>
          <w:color w:val="000000"/>
        </w:rPr>
        <w:t>萬餘元，年累計執行數</w:t>
      </w:r>
      <w:r w:rsidR="002E628D">
        <w:rPr>
          <w:rFonts w:ascii="標楷體" w:eastAsia="標楷體" w:hAnsi="標楷體" w:hint="eastAsia"/>
          <w:color w:val="000000"/>
        </w:rPr>
        <w:t>5</w:t>
      </w:r>
      <w:r w:rsidR="002E628D" w:rsidRPr="003C3F9E">
        <w:rPr>
          <w:rFonts w:ascii="標楷體" w:eastAsia="標楷體" w:hAnsi="標楷體" w:hint="eastAsia"/>
          <w:color w:val="000000"/>
        </w:rPr>
        <w:t>,2</w:t>
      </w:r>
      <w:r w:rsidR="002E628D">
        <w:rPr>
          <w:rFonts w:ascii="標楷體" w:eastAsia="標楷體" w:hAnsi="標楷體"/>
          <w:color w:val="000000"/>
        </w:rPr>
        <w:t>45</w:t>
      </w:r>
      <w:r w:rsidR="002E628D" w:rsidRPr="003C3F9E">
        <w:rPr>
          <w:rFonts w:ascii="標楷體" w:eastAsia="標楷體" w:hAnsi="標楷體" w:hint="eastAsia"/>
          <w:color w:val="000000"/>
        </w:rPr>
        <w:t>億</w:t>
      </w:r>
      <w:r w:rsidR="002E628D">
        <w:rPr>
          <w:rFonts w:ascii="標楷體" w:eastAsia="標楷體" w:hAnsi="標楷體" w:hint="eastAsia"/>
          <w:color w:val="000000"/>
        </w:rPr>
        <w:t>7</w:t>
      </w:r>
      <w:r w:rsidR="002E628D" w:rsidRPr="003C3F9E">
        <w:rPr>
          <w:rFonts w:ascii="標楷體" w:eastAsia="標楷體" w:hAnsi="標楷體"/>
          <w:color w:val="000000"/>
        </w:rPr>
        <w:t>,</w:t>
      </w:r>
      <w:r w:rsidR="002E628D">
        <w:rPr>
          <w:rFonts w:ascii="標楷體" w:eastAsia="標楷體" w:hAnsi="標楷體"/>
          <w:color w:val="000000"/>
        </w:rPr>
        <w:t>602</w:t>
      </w:r>
      <w:r w:rsidR="002E628D" w:rsidRPr="003C3F9E">
        <w:rPr>
          <w:rFonts w:ascii="標楷體" w:eastAsia="標楷體" w:hAnsi="標楷體" w:hint="eastAsia"/>
          <w:color w:val="000000"/>
        </w:rPr>
        <w:t>萬餘元</w:t>
      </w:r>
      <w:r w:rsidR="002E628D" w:rsidRPr="009D11AD">
        <w:rPr>
          <w:rFonts w:ascii="標楷體" w:eastAsia="標楷體" w:hAnsi="標楷體" w:hint="eastAsia"/>
        </w:rPr>
        <w:t>，執行率97.1</w:t>
      </w:r>
      <w:r w:rsidR="002E628D">
        <w:rPr>
          <w:rFonts w:ascii="標楷體" w:eastAsia="標楷體" w:hAnsi="標楷體"/>
        </w:rPr>
        <w:t>7</w:t>
      </w:r>
      <w:r w:rsidR="002E628D" w:rsidRPr="009D11AD">
        <w:rPr>
          <w:rFonts w:ascii="標楷體" w:eastAsia="標楷體" w:hAnsi="標楷體" w:hint="eastAsia"/>
        </w:rPr>
        <w:t>％，為近5年度（10</w:t>
      </w:r>
      <w:r w:rsidR="002E628D">
        <w:rPr>
          <w:rFonts w:ascii="標楷體" w:eastAsia="標楷體" w:hAnsi="標楷體"/>
        </w:rPr>
        <w:t>8</w:t>
      </w:r>
      <w:r w:rsidR="002E628D" w:rsidRPr="009D11AD">
        <w:rPr>
          <w:rFonts w:ascii="標楷體" w:eastAsia="標楷體" w:hAnsi="標楷體" w:hint="eastAsia"/>
        </w:rPr>
        <w:t>至11</w:t>
      </w:r>
      <w:r w:rsidR="002E628D">
        <w:rPr>
          <w:rFonts w:ascii="標楷體" w:eastAsia="標楷體" w:hAnsi="標楷體"/>
        </w:rPr>
        <w:t>2</w:t>
      </w:r>
      <w:r w:rsidR="002E628D" w:rsidRPr="009D11AD">
        <w:rPr>
          <w:rFonts w:ascii="標楷體" w:eastAsia="標楷體" w:hAnsi="標楷體" w:hint="eastAsia"/>
        </w:rPr>
        <w:t>年度）之次高（</w:t>
      </w:r>
      <w:r w:rsidR="002E628D" w:rsidRPr="00855CF4">
        <w:rPr>
          <w:rFonts w:ascii="標楷體" w:eastAsia="標楷體" w:hAnsi="標楷體" w:hint="eastAsia"/>
        </w:rPr>
        <w:t>圖1</w:t>
      </w:r>
      <w:r w:rsidR="006C02C3" w:rsidRPr="00855CF4">
        <w:rPr>
          <w:rFonts w:ascii="標楷體" w:eastAsia="標楷體" w:hAnsi="標楷體" w:hint="eastAsia"/>
        </w:rPr>
        <w:t>5</w:t>
      </w:r>
      <w:r w:rsidR="002E628D" w:rsidRPr="009D11AD">
        <w:rPr>
          <w:rFonts w:ascii="標楷體" w:eastAsia="標楷體" w:hAnsi="標楷體" w:hint="eastAsia"/>
        </w:rPr>
        <w:t>）。</w:t>
      </w:r>
      <w:r w:rsidR="002E628D" w:rsidRPr="00B75E28">
        <w:rPr>
          <w:rFonts w:ascii="標楷體" w:eastAsia="標楷體" w:hAnsi="標楷體" w:hint="eastAsia"/>
        </w:rPr>
        <w:t>經查行政院所屬各機關重大公共建設計畫執行情形，核有：</w:t>
      </w:r>
      <w:r w:rsidR="002E628D" w:rsidRPr="009D11AD">
        <w:rPr>
          <w:rFonts w:ascii="標楷體" w:eastAsia="標楷體" w:hAnsi="標楷體" w:hint="eastAsia"/>
        </w:rPr>
        <w:t>1.</w:t>
      </w:r>
      <w:r w:rsidR="002E628D" w:rsidRPr="000A0B7C">
        <w:rPr>
          <w:rFonts w:ascii="標楷體" w:eastAsia="標楷體" w:hAnsi="標楷體" w:hint="eastAsia"/>
        </w:rPr>
        <w:t>行政院公共工程委員會</w:t>
      </w:r>
      <w:r w:rsidR="002E628D" w:rsidRPr="00F32A68">
        <w:rPr>
          <w:rFonts w:ascii="標楷體" w:eastAsia="標楷體" w:hAnsi="標楷體" w:hint="eastAsia"/>
        </w:rPr>
        <w:t>為解決國內公共工程流廢標及營造業施工人力不足問題，已陸續採取相關因應措施，惟近期部分工程仍存有招標過程多次流廢標或營造業面臨缺工等困境，</w:t>
      </w:r>
      <w:r w:rsidR="002E628D">
        <w:rPr>
          <w:rFonts w:ascii="標楷體" w:eastAsia="標楷體" w:hAnsi="標楷體" w:hint="eastAsia"/>
        </w:rPr>
        <w:t>亟待督促</w:t>
      </w:r>
      <w:r w:rsidR="002E628D" w:rsidRPr="00F32A68">
        <w:rPr>
          <w:rFonts w:ascii="標楷體" w:eastAsia="標楷體" w:hAnsi="標楷體" w:hint="eastAsia"/>
        </w:rPr>
        <w:t>針對影響工程流廢標癥結，及長期缺工問題，妥擬有效策略，並定期追蹤檢討各項因應措施推動成效，以吸引勞動力加入，帶動國家經濟持續成長</w:t>
      </w:r>
      <w:r w:rsidR="002E628D" w:rsidRPr="009D11AD">
        <w:rPr>
          <w:rFonts w:ascii="標楷體" w:eastAsia="標楷體" w:hAnsi="標楷體" w:hint="eastAsia"/>
        </w:rPr>
        <w:t>；</w:t>
      </w:r>
      <w:r w:rsidR="002E628D" w:rsidRPr="009D11AD">
        <w:rPr>
          <w:rFonts w:ascii="標楷體" w:eastAsia="標楷體" w:hAnsi="標楷體"/>
        </w:rPr>
        <w:t>2</w:t>
      </w:r>
      <w:r w:rsidR="002E628D" w:rsidRPr="009D11AD">
        <w:rPr>
          <w:rFonts w:ascii="標楷體" w:eastAsia="標楷體" w:hAnsi="標楷體" w:hint="eastAsia"/>
        </w:rPr>
        <w:t>.</w:t>
      </w:r>
      <w:r w:rsidR="002E628D" w:rsidRPr="00F32A68">
        <w:rPr>
          <w:rFonts w:ascii="標楷體" w:eastAsia="標楷體" w:hAnsi="標楷體" w:hint="eastAsia"/>
        </w:rPr>
        <w:t>部分公共建設計畫於計畫擬編階段，因與民眾或環保團體等利害關係人溝通未臻周延，致影響計畫推動，</w:t>
      </w:r>
      <w:r w:rsidR="002E628D">
        <w:rPr>
          <w:rFonts w:ascii="標楷體" w:eastAsia="標楷體" w:hAnsi="標楷體" w:hint="eastAsia"/>
        </w:rPr>
        <w:t>亟待</w:t>
      </w:r>
      <w:r w:rsidR="002E628D" w:rsidRPr="00F32A68">
        <w:rPr>
          <w:rFonts w:ascii="標楷體" w:eastAsia="標楷體" w:hAnsi="標楷體" w:hint="eastAsia"/>
        </w:rPr>
        <w:t>督促機關落實現行計畫審編規定，並參採公共建設計畫審議、預警及退場機制規定，強化與民眾或環保團體等利害關係人之溝通作業，以降低計畫執行風險，確保計畫執行順遂</w:t>
      </w:r>
      <w:r w:rsidR="002E628D" w:rsidRPr="009D11AD">
        <w:rPr>
          <w:rFonts w:ascii="標楷體" w:eastAsia="標楷體" w:hAnsi="標楷體" w:hint="eastAsia"/>
        </w:rPr>
        <w:t>；3.</w:t>
      </w:r>
      <w:r w:rsidR="002E628D">
        <w:rPr>
          <w:rFonts w:ascii="標楷體" w:eastAsia="標楷體" w:hAnsi="標楷體" w:hint="eastAsia"/>
        </w:rPr>
        <w:t>國家發展委員會建置之</w:t>
      </w:r>
      <w:r w:rsidR="002E628D" w:rsidRPr="00F32A68">
        <w:rPr>
          <w:rFonts w:ascii="標楷體" w:eastAsia="標楷體" w:hAnsi="標楷體" w:hint="eastAsia"/>
        </w:rPr>
        <w:t>政府計畫管理資訊網計畫標案資料查詢連結功能，迄無法有效介接及整合政府電子採購網招決標資訊及公共工程雲端服務網等系統，</w:t>
      </w:r>
      <w:r w:rsidR="002E628D">
        <w:rPr>
          <w:rFonts w:ascii="標楷體" w:eastAsia="標楷體" w:hAnsi="標楷體" w:hint="eastAsia"/>
        </w:rPr>
        <w:t>亟待</w:t>
      </w:r>
      <w:r w:rsidR="002E628D" w:rsidRPr="00F32A68">
        <w:rPr>
          <w:rFonts w:ascii="標楷體" w:eastAsia="標楷體" w:hAnsi="標楷體" w:hint="eastAsia"/>
        </w:rPr>
        <w:t>督促持續強化公共建設計畫各階段執行資訊整合事宜，以提升計畫管理及執行效能，發揮系統管考之功效</w:t>
      </w:r>
      <w:r w:rsidR="002E628D" w:rsidRPr="00E223CE">
        <w:rPr>
          <w:rFonts w:ascii="標楷體" w:eastAsia="標楷體" w:hAnsi="標楷體" w:hint="eastAsia"/>
        </w:rPr>
        <w:t>；</w:t>
      </w:r>
      <w:r w:rsidR="002E628D" w:rsidRPr="009D11AD">
        <w:rPr>
          <w:rFonts w:ascii="標楷體" w:eastAsia="標楷體" w:hAnsi="標楷體" w:hint="eastAsia"/>
        </w:rPr>
        <w:t>4.</w:t>
      </w:r>
      <w:r w:rsidR="002E628D">
        <w:rPr>
          <w:rFonts w:ascii="標楷體" w:eastAsia="標楷體" w:hAnsi="標楷體" w:hint="eastAsia"/>
        </w:rPr>
        <w:t>國家發展委員會制訂之</w:t>
      </w:r>
      <w:r w:rsidR="002E628D" w:rsidRPr="00F32A68">
        <w:rPr>
          <w:rFonts w:ascii="標楷體" w:eastAsia="標楷體" w:hAnsi="標楷體" w:hint="eastAsia"/>
        </w:rPr>
        <w:t>公共建設計畫經濟效益評估及財務效益評估手冊出版已逾15年，</w:t>
      </w:r>
      <w:r w:rsidR="002E628D">
        <w:rPr>
          <w:rFonts w:ascii="標楷體" w:eastAsia="標楷體" w:hAnsi="標楷體" w:hint="eastAsia"/>
        </w:rPr>
        <w:t>亟待</w:t>
      </w:r>
      <w:r w:rsidR="002E628D" w:rsidRPr="00F32A68">
        <w:rPr>
          <w:rFonts w:ascii="標楷體" w:eastAsia="標楷體" w:hAnsi="標楷體" w:hint="eastAsia"/>
        </w:rPr>
        <w:t>督促檢討修正該手冊內容，俾供各機關遵循參考，以強化計畫經濟及財務效益評估作業</w:t>
      </w:r>
      <w:r w:rsidR="002E628D" w:rsidRPr="00A75A1F">
        <w:rPr>
          <w:rFonts w:ascii="標楷體" w:eastAsia="標楷體" w:hAnsi="標楷體" w:hint="eastAsia"/>
        </w:rPr>
        <w:t>等情事，經函請行政院督促研謀改善。</w:t>
      </w:r>
      <w:r w:rsidR="002E628D" w:rsidRPr="002E628D">
        <w:rPr>
          <w:rFonts w:ascii="標楷體" w:eastAsia="標楷體" w:hAnsi="標楷體" w:hint="eastAsia"/>
          <w:color w:val="000000" w:themeColor="text1"/>
        </w:rPr>
        <w:t>據復：1.行政院公共工程委員會將持續督促各機關妥適編列合理預算、工期及招標文件，並精進公共工程流標檢討機制，以避免多次流標情事發生，另賡續協處解決營</w:t>
      </w:r>
      <w:r w:rsidR="002E628D" w:rsidRPr="002E628D">
        <w:rPr>
          <w:rFonts w:ascii="標楷體" w:eastAsia="標楷體" w:hAnsi="標楷體" w:hint="eastAsia"/>
          <w:color w:val="000000" w:themeColor="text1"/>
        </w:rPr>
        <w:lastRenderedPageBreak/>
        <w:t>造業缺工問題，推動公共工程自動化及預鑄化，持續監督、追蹤及輔導中央目的事業主管機關辦理情形，訂定相關成效指標，以促使營建產業轉型，減輕本國勞動需求壓力；</w:t>
      </w:r>
      <w:r w:rsidR="002E628D" w:rsidRPr="002E628D">
        <w:rPr>
          <w:rFonts w:ascii="標楷體" w:eastAsia="標楷體" w:hAnsi="標楷體"/>
          <w:color w:val="000000" w:themeColor="text1"/>
        </w:rPr>
        <w:t>2</w:t>
      </w:r>
      <w:r w:rsidR="002E628D" w:rsidRPr="002E628D">
        <w:rPr>
          <w:rFonts w:ascii="標楷體" w:eastAsia="標楷體" w:hAnsi="標楷體" w:hint="eastAsia"/>
          <w:color w:val="000000" w:themeColor="text1"/>
        </w:rPr>
        <w:t>.國家發展委員會將持續督促各機關於計畫編擬階段即須落實編審要點及預警機制相關規定，強化與民眾或環保團體等利害關係人之溝通協調，積極進行政策宣導，化解民眾疑慮，以降低計畫執行風險；</w:t>
      </w:r>
      <w:r w:rsidR="002E628D" w:rsidRPr="002E628D">
        <w:rPr>
          <w:rFonts w:ascii="標楷體" w:eastAsia="標楷體" w:hAnsi="標楷體"/>
          <w:color w:val="000000" w:themeColor="text1"/>
        </w:rPr>
        <w:t>3</w:t>
      </w:r>
      <w:r w:rsidR="002E628D" w:rsidRPr="002E628D">
        <w:rPr>
          <w:rFonts w:ascii="標楷體" w:eastAsia="標楷體" w:hAnsi="標楷體" w:hint="eastAsia"/>
          <w:color w:val="000000" w:themeColor="text1"/>
        </w:rPr>
        <w:t>.行政院公共工程委員會為提升計畫管理及執行效能，刻正介接國家發展委員會「行政院政府計畫管理資訊網（GPMnet）」及「政府電子採購網」等系統資料，俟其標案資訊轉入「公共工程雲端服務網」後，將有利於全面瞭解計畫及標案執行情形，發揮系統管考之功效；4.國家發展委員會刻正檢視通案性手冊內容妥適性，將辦理後續修正作業，並挑選具參考價值之案例，供更新彙編內容，預計於113年底完成並對外公布，以供各機關研編計畫參考。</w:t>
      </w:r>
    </w:p>
    <w:p w14:paraId="2A2921A5" w14:textId="4C5BBB95" w:rsidR="00ED695C" w:rsidRDefault="00ED695C" w:rsidP="00091B2C">
      <w:pPr>
        <w:pStyle w:val="affffff1"/>
        <w:spacing w:line="460" w:lineRule="exact"/>
        <w:ind w:firstLineChars="200" w:firstLine="561"/>
        <w:outlineLvl w:val="1"/>
      </w:pPr>
      <w:r w:rsidRPr="005742C8">
        <w:rPr>
          <w:rFonts w:hint="eastAsia"/>
        </w:rPr>
        <w:t>（</w:t>
      </w:r>
      <w:r>
        <w:rPr>
          <w:rFonts w:hint="eastAsia"/>
        </w:rPr>
        <w:t>十</w:t>
      </w:r>
      <w:r w:rsidR="00781889">
        <w:rPr>
          <w:rFonts w:hint="eastAsia"/>
        </w:rPr>
        <w:t>九</w:t>
      </w:r>
      <w:r w:rsidRPr="005742C8">
        <w:rPr>
          <w:rFonts w:hint="eastAsia"/>
        </w:rPr>
        <w:t>）</w:t>
      </w:r>
      <w:r>
        <w:rPr>
          <w:rFonts w:hint="eastAsia"/>
        </w:rPr>
        <w:t xml:space="preserve">　</w:t>
      </w:r>
      <w:r w:rsidR="00B90A95" w:rsidRPr="00B90A95">
        <w:rPr>
          <w:rFonts w:hint="eastAsia"/>
        </w:rPr>
        <w:t>政府推動垃圾焚化底渣處理及公共工程再利用，有助落實資源循環政策，惟間有申報單位於管理系統申報資料仍有諸多缺漏及異常、焚化再生粒料用途使用手冊與施工規範尚須檢討修訂，及未研訂中央機關焚化再生粒料去化數量及績效衡量標準等情事，</w:t>
      </w:r>
      <w:r w:rsidR="00DD5F0B">
        <w:rPr>
          <w:rFonts w:hint="eastAsia"/>
        </w:rPr>
        <w:t>允宜</w:t>
      </w:r>
      <w:r w:rsidR="00B90A95" w:rsidRPr="00B90A95">
        <w:rPr>
          <w:rFonts w:hint="eastAsia"/>
        </w:rPr>
        <w:t>檢討改進，以提升去化成效</w:t>
      </w:r>
      <w:r w:rsidRPr="005742C8">
        <w:rPr>
          <w:rFonts w:hint="eastAsia"/>
        </w:rPr>
        <w:t>。</w:t>
      </w:r>
    </w:p>
    <w:p w14:paraId="2C17B94E" w14:textId="06B7A5DA" w:rsidR="00B90A95" w:rsidRPr="00C90774" w:rsidRDefault="00B90A95">
      <w:pPr>
        <w:widowControl/>
        <w:overflowPunct w:val="0"/>
        <w:spacing w:line="430" w:lineRule="exact"/>
        <w:ind w:firstLineChars="200" w:firstLine="480"/>
        <w:jc w:val="both"/>
        <w:rPr>
          <w:rFonts w:ascii="標楷體" w:eastAsia="標楷體" w:hAnsi="標楷體"/>
          <w:snapToGrid w:val="0"/>
          <w:kern w:val="32"/>
        </w:rPr>
      </w:pPr>
      <w:r w:rsidRPr="00C90774">
        <w:rPr>
          <w:rFonts w:ascii="標楷體" w:eastAsia="標楷體" w:hAnsi="標楷體" w:hint="eastAsia"/>
          <w:snapToGrid w:val="0"/>
          <w:kern w:val="32"/>
        </w:rPr>
        <w:t>我國早期採焚化方式處理家庭垃圾，焚化後殘餘灰渣（包括底渣及飛灰）則多予以掩埋處理。由於各市縣掩埋場日漸飽和，</w:t>
      </w:r>
      <w:r w:rsidR="008F4171">
        <w:rPr>
          <w:rFonts w:ascii="標楷體" w:eastAsia="標楷體" w:hAnsi="標楷體" w:hint="eastAsia"/>
          <w:snapToGrid w:val="0"/>
          <w:kern w:val="32"/>
        </w:rPr>
        <w:t>環境部</w:t>
      </w:r>
      <w:r w:rsidRPr="00C90774">
        <w:rPr>
          <w:rFonts w:ascii="標楷體" w:eastAsia="標楷體" w:hAnsi="標楷體" w:hint="eastAsia"/>
          <w:snapToGrid w:val="0"/>
          <w:kern w:val="32"/>
        </w:rPr>
        <w:t>為解決焚化底渣去化問題，於91年訂定「垃圾焚化廠焚化底灰再利用規定」（已公告停止適用，另於109年重新訂定「垃圾焚化廠焚化底渣再利用管理方式」公告事項），且自104年7月起逐步編訂焚化再生粒料部分用途之使用手冊，以供各單位將底渣處理後產出之再生粒料，運用於基地、路堤、道路填築材料、控制性低強度回填材料（CLSM）等，並藉由引進國外處理技術及改善焚化廠設備效能，期能提升再生粒料品質。另行政院亦責由所屬公共工程委員會（下稱工程會）會同環境部、經濟部、交通部及內政部，於106年7月13日成立「再生粒料運用於公共工程跨部會推動小組」（下稱再生粒料推動小組），定期邀集各市縣政府進行整合協調，以提升焚化底渣再利用率。經查焚化底渣及再生粒料運用於公共工程之推廣及媒合使用成效，核有：</w:t>
      </w:r>
      <w:r w:rsidRPr="00C90774">
        <w:rPr>
          <w:rFonts w:ascii="標楷體" w:eastAsia="標楷體" w:hAnsi="標楷體"/>
          <w:snapToGrid w:val="0"/>
          <w:kern w:val="32"/>
        </w:rPr>
        <w:t>1.</w:t>
      </w:r>
      <w:r w:rsidRPr="00C90774">
        <w:rPr>
          <w:rFonts w:ascii="標楷體" w:eastAsia="標楷體" w:hAnsi="標楷體" w:hint="eastAsia"/>
          <w:snapToGrid w:val="0"/>
          <w:kern w:val="32"/>
        </w:rPr>
        <w:t>環境部編訂焚化底渣再生粒料應用之使用手冊，其中「道路級配粒料底層使用手冊」等3項手冊尚未配合現行焚化再生粒料之環境標準重新辦理修正，且部分焚化再生粒料用途尚乏相關使用手冊；</w:t>
      </w:r>
      <w:r w:rsidRPr="00C90774">
        <w:rPr>
          <w:rFonts w:ascii="標楷體" w:eastAsia="標楷體" w:hAnsi="標楷體"/>
          <w:snapToGrid w:val="0"/>
          <w:kern w:val="32"/>
        </w:rPr>
        <w:t>2.</w:t>
      </w:r>
      <w:r w:rsidRPr="00C90774">
        <w:rPr>
          <w:rFonts w:ascii="標楷體" w:eastAsia="標楷體" w:hAnsi="標楷體" w:hint="eastAsia"/>
          <w:snapToGrid w:val="0"/>
          <w:kern w:val="32"/>
        </w:rPr>
        <w:t>環境部訂定相關工程管制編號申請核發及解除列管規定，惟部分市縣政府環境保護局</w:t>
      </w:r>
      <w:r w:rsidRPr="00BC2940">
        <w:rPr>
          <w:rFonts w:ascii="標楷體" w:eastAsia="標楷體" w:hAnsi="標楷體" w:hint="eastAsia"/>
          <w:snapToGrid w:val="0"/>
          <w:kern w:val="32"/>
        </w:rPr>
        <w:t>已核准</w:t>
      </w:r>
      <w:r w:rsidRPr="004E0E8E">
        <w:rPr>
          <w:rFonts w:ascii="標楷體" w:eastAsia="標楷體" w:hAnsi="標楷體" w:hint="eastAsia"/>
          <w:snapToGrid w:val="0"/>
          <w:kern w:val="32"/>
        </w:rPr>
        <w:t>工程管制編號案件</w:t>
      </w:r>
      <w:r w:rsidR="00E413E4" w:rsidRPr="00E31547">
        <w:rPr>
          <w:rFonts w:ascii="標楷體" w:eastAsia="標楷體" w:hAnsi="標楷體" w:hint="eastAsia"/>
          <w:snapToGrid w:val="0"/>
          <w:color w:val="000000" w:themeColor="text1"/>
          <w:kern w:val="32"/>
        </w:rPr>
        <w:t>，俟供料機關（構）或加工再製機構於焚化再生粒料供應且完成使用後</w:t>
      </w:r>
      <w:r w:rsidRPr="00E31547">
        <w:rPr>
          <w:rFonts w:ascii="標楷體" w:eastAsia="標楷體" w:hAnsi="標楷體" w:hint="eastAsia"/>
          <w:snapToGrid w:val="0"/>
          <w:color w:val="000000" w:themeColor="text1"/>
          <w:kern w:val="32"/>
        </w:rPr>
        <w:t>，</w:t>
      </w:r>
      <w:r w:rsidRPr="00C90774">
        <w:rPr>
          <w:rFonts w:ascii="標楷體" w:eastAsia="標楷體" w:hAnsi="標楷體" w:hint="eastAsia"/>
          <w:snapToGrid w:val="0"/>
          <w:kern w:val="32"/>
        </w:rPr>
        <w:t>未依規定辦理解除列管，致無法有效掌握焚化再生粒料流向；</w:t>
      </w:r>
      <w:r w:rsidRPr="00C90774">
        <w:rPr>
          <w:rFonts w:ascii="標楷體" w:eastAsia="標楷體" w:hAnsi="標楷體"/>
          <w:snapToGrid w:val="0"/>
          <w:kern w:val="32"/>
        </w:rPr>
        <w:t>3.</w:t>
      </w:r>
      <w:r w:rsidRPr="00C90774">
        <w:rPr>
          <w:rFonts w:ascii="標楷體" w:eastAsia="標楷體" w:hAnsi="標楷體" w:hint="eastAsia"/>
        </w:rPr>
        <w:t>環境部</w:t>
      </w:r>
      <w:r w:rsidRPr="00C90774">
        <w:rPr>
          <w:rFonts w:ascii="標楷體" w:eastAsia="標楷體" w:hAnsi="標楷體" w:hint="eastAsia"/>
          <w:snapToGrid w:val="0"/>
          <w:kern w:val="32"/>
        </w:rPr>
        <w:t>建置焚化再生粒料流向管理系統</w:t>
      </w:r>
      <w:r w:rsidR="00C2362F" w:rsidRPr="00C2362F">
        <w:rPr>
          <w:rFonts w:ascii="標楷體" w:eastAsia="標楷體" w:hAnsi="標楷體" w:hint="eastAsia"/>
          <w:snapToGrid w:val="0"/>
          <w:kern w:val="32"/>
        </w:rPr>
        <w:t>（</w:t>
      </w:r>
      <w:r w:rsidRPr="00C90774">
        <w:rPr>
          <w:rFonts w:ascii="標楷體" w:eastAsia="標楷體" w:hAnsi="標楷體" w:hint="eastAsia"/>
          <w:snapToGrid w:val="0"/>
          <w:kern w:val="32"/>
        </w:rPr>
        <w:t>下稱R</w:t>
      </w:r>
      <w:r w:rsidRPr="00C90774">
        <w:rPr>
          <w:rFonts w:ascii="標楷體" w:eastAsia="標楷體" w:hAnsi="標楷體"/>
          <w:snapToGrid w:val="0"/>
          <w:kern w:val="32"/>
        </w:rPr>
        <w:t>AMS</w:t>
      </w:r>
      <w:r w:rsidRPr="00C90774">
        <w:rPr>
          <w:rFonts w:ascii="標楷體" w:eastAsia="標楷體" w:hAnsi="標楷體" w:hint="eastAsia"/>
          <w:snapToGrid w:val="0"/>
          <w:kern w:val="32"/>
        </w:rPr>
        <w:t>系統</w:t>
      </w:r>
      <w:r w:rsidR="006C41C5" w:rsidRPr="006C41C5">
        <w:rPr>
          <w:rFonts w:ascii="標楷體" w:eastAsia="標楷體" w:hAnsi="標楷體" w:hint="eastAsia"/>
          <w:snapToGrid w:val="0"/>
          <w:kern w:val="32"/>
        </w:rPr>
        <w:t>）</w:t>
      </w:r>
      <w:r w:rsidRPr="00C90774">
        <w:rPr>
          <w:rFonts w:ascii="標楷體" w:eastAsia="標楷體" w:hAnsi="標楷體" w:hint="eastAsia"/>
          <w:snapToGrid w:val="0"/>
          <w:kern w:val="32"/>
        </w:rPr>
        <w:t>，以控管底渣及再生粒料之檢測與流向，惟部分申報單位於系統申報（上傳）資料仍有諸多異常情事；</w:t>
      </w:r>
      <w:r w:rsidRPr="00C90774">
        <w:rPr>
          <w:rFonts w:ascii="標楷體" w:eastAsia="標楷體" w:hAnsi="標楷體"/>
          <w:snapToGrid w:val="0"/>
          <w:kern w:val="32"/>
        </w:rPr>
        <w:t>4.</w:t>
      </w:r>
      <w:r w:rsidRPr="00C90774">
        <w:rPr>
          <w:rFonts w:ascii="標楷體" w:eastAsia="標楷體" w:hAnsi="標楷體" w:hint="eastAsia"/>
          <w:snapToGrid w:val="0"/>
          <w:kern w:val="32"/>
        </w:rPr>
        <w:t>工程會配合焚化底渣再生粒料用途及品質規範，修正施工綱要規範，惟現行部分規範並未將焚化</w:t>
      </w:r>
      <w:r w:rsidRPr="00091B2C">
        <w:rPr>
          <w:rFonts w:ascii="標楷體" w:eastAsia="標楷體" w:hAnsi="標楷體" w:hint="eastAsia"/>
          <w:snapToGrid w:val="0"/>
          <w:kern w:val="32"/>
        </w:rPr>
        <w:t>再生粒料納入產品材料範疇；</w:t>
      </w:r>
      <w:r w:rsidRPr="00091B2C">
        <w:rPr>
          <w:rFonts w:ascii="標楷體" w:eastAsia="標楷體" w:hAnsi="標楷體"/>
          <w:snapToGrid w:val="0"/>
          <w:kern w:val="32"/>
        </w:rPr>
        <w:t>5.</w:t>
      </w:r>
      <w:r w:rsidRPr="00091B2C">
        <w:rPr>
          <w:rFonts w:ascii="標楷體" w:eastAsia="標楷體" w:hAnsi="標楷體" w:hint="eastAsia"/>
          <w:snapToGrid w:val="0"/>
          <w:kern w:val="32"/>
        </w:rPr>
        <w:t>工程會按季召開再生粒料推動小組會議，惟因尚乏相關焚化再</w:t>
      </w:r>
      <w:r w:rsidR="00755030">
        <w:rPr>
          <w:rFonts w:hint="eastAsia"/>
          <w:noProof/>
        </w:rPr>
        <w:lastRenderedPageBreak/>
        <mc:AlternateContent>
          <mc:Choice Requires="wps">
            <w:drawing>
              <wp:anchor distT="45720" distB="45720" distL="114300" distR="114300" simplePos="0" relativeHeight="251691008" behindDoc="1" locked="0" layoutInCell="1" allowOverlap="1" wp14:anchorId="5B3C5F32" wp14:editId="6ADE8A87">
                <wp:simplePos x="0" y="0"/>
                <wp:positionH relativeFrom="column">
                  <wp:posOffset>3428365</wp:posOffset>
                </wp:positionH>
                <wp:positionV relativeFrom="paragraph">
                  <wp:posOffset>146685</wp:posOffset>
                </wp:positionV>
                <wp:extent cx="2880360" cy="3665220"/>
                <wp:effectExtent l="0" t="0" r="0" b="0"/>
                <wp:wrapTight wrapText="bothSides">
                  <wp:wrapPolygon edited="0">
                    <wp:start x="0" y="0"/>
                    <wp:lineTo x="0" y="21443"/>
                    <wp:lineTo x="21429" y="21443"/>
                    <wp:lineTo x="21429" y="0"/>
                    <wp:lineTo x="0" y="0"/>
                  </wp:wrapPolygon>
                </wp:wrapTight>
                <wp:docPr id="487" name="文字方塊 4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80360" cy="366522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tbl>
                            <w:tblPr>
                              <w:tblOverlap w:val="never"/>
                              <w:tblW w:w="4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13"/>
                              <w:gridCol w:w="758"/>
                              <w:gridCol w:w="659"/>
                              <w:gridCol w:w="737"/>
                            </w:tblGrid>
                            <w:tr w:rsidR="00A0212B" w14:paraId="76B1A505" w14:textId="77777777" w:rsidTr="00321FC8">
                              <w:trPr>
                                <w:trHeight w:val="529"/>
                              </w:trPr>
                              <w:tc>
                                <w:tcPr>
                                  <w:tcW w:w="4167" w:type="dxa"/>
                                  <w:gridSpan w:val="4"/>
                                  <w:tcBorders>
                                    <w:top w:val="nil"/>
                                    <w:left w:val="nil"/>
                                    <w:bottom w:val="single" w:sz="4" w:space="0" w:color="auto"/>
                                    <w:right w:val="nil"/>
                                  </w:tcBorders>
                                  <w:noWrap/>
                                  <w:vAlign w:val="bottom"/>
                                  <w:hideMark/>
                                </w:tcPr>
                                <w:p w14:paraId="28D7F73C" w14:textId="6E9FCE04" w:rsidR="00A0212B" w:rsidRDefault="00A0212B" w:rsidP="00F56D79">
                                  <w:pPr>
                                    <w:spacing w:line="280" w:lineRule="exact"/>
                                    <w:ind w:leftChars="-3" w:left="786" w:hangingChars="330" w:hanging="793"/>
                                    <w:suppressOverlap/>
                                    <w:jc w:val="both"/>
                                    <w:rPr>
                                      <w:rFonts w:ascii="標楷體" w:eastAsia="標楷體" w:hAnsi="標楷體" w:cs="新細明體"/>
                                      <w:sz w:val="20"/>
                                      <w:szCs w:val="22"/>
                                    </w:rPr>
                                  </w:pPr>
                                  <w:r>
                                    <w:rPr>
                                      <w:rFonts w:ascii="標楷體" w:eastAsia="標楷體" w:hAnsi="標楷體" w:cs="新細明體" w:hint="eastAsia"/>
                                      <w:b/>
                                    </w:rPr>
                                    <w:t>表3</w:t>
                                  </w:r>
                                  <w:r>
                                    <w:rPr>
                                      <w:rFonts w:ascii="標楷體" w:eastAsia="標楷體" w:hAnsi="標楷體" w:cs="新細明體"/>
                                      <w:b/>
                                    </w:rPr>
                                    <w:t>0</w:t>
                                  </w:r>
                                  <w:r>
                                    <w:rPr>
                                      <w:rFonts w:ascii="標楷體" w:eastAsia="標楷體" w:hAnsi="標楷體" w:cs="新細明體" w:hint="eastAsia"/>
                                      <w:b/>
                                    </w:rPr>
                                    <w:t xml:space="preserve">　110至112年度中央機關公共工程使用焚化再生粒料情形</w:t>
                                  </w:r>
                                  <w:r>
                                    <w:rPr>
                                      <w:rFonts w:ascii="標楷體" w:eastAsia="標楷體" w:hAnsi="標楷體" w:cs="新細明體" w:hint="eastAsia"/>
                                      <w:sz w:val="20"/>
                                    </w:rPr>
                                    <w:t xml:space="preserve">　　　</w:t>
                                  </w:r>
                                </w:p>
                                <w:p w14:paraId="00346FCC" w14:textId="4DB42897" w:rsidR="00A0212B" w:rsidRDefault="00A0212B" w:rsidP="00DF537F">
                                  <w:pPr>
                                    <w:spacing w:line="280" w:lineRule="exact"/>
                                    <w:ind w:leftChars="178" w:left="479" w:hangingChars="26" w:hanging="52"/>
                                    <w:suppressOverlap/>
                                    <w:jc w:val="right"/>
                                    <w:rPr>
                                      <w:rFonts w:ascii="標楷體" w:eastAsia="標楷體" w:hAnsi="標楷體" w:cs="新細明體"/>
                                      <w:sz w:val="18"/>
                                      <w:szCs w:val="18"/>
                                    </w:rPr>
                                  </w:pPr>
                                  <w:r w:rsidRPr="007C3F51">
                                    <w:rPr>
                                      <w:rFonts w:ascii="標楷體" w:eastAsia="標楷體" w:hAnsi="標楷體" w:cs="新細明體" w:hint="eastAsia"/>
                                      <w:sz w:val="20"/>
                                      <w:szCs w:val="18"/>
                                    </w:rPr>
                                    <w:t>單位：公噸、</w:t>
                                  </w:r>
                                  <w:r w:rsidR="00DF537F" w:rsidRPr="007C3F51">
                                    <w:rPr>
                                      <w:rFonts w:ascii="標楷體" w:eastAsia="標楷體" w:hAnsi="標楷體" w:cs="新細明體" w:hint="eastAsia"/>
                                      <w:sz w:val="20"/>
                                      <w:szCs w:val="18"/>
                                    </w:rPr>
                                    <w:t>％</w:t>
                                  </w:r>
                                  <w:r w:rsidR="00DF537F">
                                    <w:rPr>
                                      <w:rFonts w:ascii="標楷體" w:eastAsia="標楷體" w:hAnsi="標楷體" w:cs="新細明體" w:hint="eastAsia"/>
                                      <w:sz w:val="20"/>
                                      <w:szCs w:val="18"/>
                                    </w:rPr>
                                    <w:t>、</w:t>
                                  </w:r>
                                  <w:r w:rsidRPr="007C3F51">
                                    <w:rPr>
                                      <w:rFonts w:ascii="標楷體" w:eastAsia="標楷體" w:hAnsi="標楷體" w:cs="新細明體" w:hint="eastAsia"/>
                                      <w:sz w:val="20"/>
                                      <w:szCs w:val="18"/>
                                    </w:rPr>
                                    <w:t>件</w:t>
                                  </w:r>
                                </w:p>
                              </w:tc>
                            </w:tr>
                            <w:tr w:rsidR="00A0212B" w14:paraId="6A914D91" w14:textId="77777777" w:rsidTr="00653EB8">
                              <w:trPr>
                                <w:trHeight w:val="284"/>
                              </w:trPr>
                              <w:tc>
                                <w:tcPr>
                                  <w:tcW w:w="2013" w:type="dxa"/>
                                  <w:vMerge w:val="restart"/>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1814AEB3" w14:textId="77777777" w:rsidR="00A0212B" w:rsidRDefault="00A0212B" w:rsidP="00321FC8">
                                  <w:pPr>
                                    <w:spacing w:line="280" w:lineRule="exact"/>
                                    <w:suppressOverlap/>
                                    <w:jc w:val="distribute"/>
                                    <w:rPr>
                                      <w:rFonts w:ascii="標楷體" w:eastAsia="標楷體" w:hAnsi="標楷體" w:cs="新細明體"/>
                                      <w:sz w:val="20"/>
                                      <w:szCs w:val="22"/>
                                    </w:rPr>
                                  </w:pPr>
                                  <w:r>
                                    <w:rPr>
                                      <w:rFonts w:ascii="標楷體" w:eastAsia="標楷體" w:hAnsi="標楷體" w:cs="新細明體" w:hint="eastAsia"/>
                                      <w:sz w:val="20"/>
                                    </w:rPr>
                                    <w:t>部會別</w:t>
                                  </w:r>
                                </w:p>
                              </w:tc>
                              <w:tc>
                                <w:tcPr>
                                  <w:tcW w:w="1417" w:type="dxa"/>
                                  <w:gridSpan w:val="2"/>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6C7ED0E2" w14:textId="77777777" w:rsidR="00A0212B" w:rsidRDefault="00A0212B" w:rsidP="00321FC8">
                                  <w:pPr>
                                    <w:spacing w:line="280" w:lineRule="exact"/>
                                    <w:suppressOverlap/>
                                    <w:jc w:val="center"/>
                                    <w:rPr>
                                      <w:rFonts w:ascii="標楷體" w:eastAsia="標楷體" w:hAnsi="標楷體" w:cs="新細明體"/>
                                      <w:sz w:val="20"/>
                                    </w:rPr>
                                  </w:pPr>
                                  <w:r>
                                    <w:rPr>
                                      <w:rFonts w:ascii="標楷體" w:eastAsia="標楷體" w:hAnsi="標楷體" w:cs="新細明體" w:hint="eastAsia"/>
                                      <w:sz w:val="20"/>
                                    </w:rPr>
                                    <w:t>使用情形</w:t>
                                  </w:r>
                                </w:p>
                              </w:tc>
                              <w:tc>
                                <w:tcPr>
                                  <w:tcW w:w="737" w:type="dxa"/>
                                  <w:vMerge w:val="restart"/>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58204F5B" w14:textId="77777777" w:rsidR="00A0212B" w:rsidRDefault="00A0212B" w:rsidP="00321FC8">
                                  <w:pPr>
                                    <w:spacing w:line="280" w:lineRule="exact"/>
                                    <w:suppressOverlap/>
                                    <w:jc w:val="center"/>
                                    <w:rPr>
                                      <w:rFonts w:ascii="標楷體" w:eastAsia="標楷體" w:hAnsi="標楷體" w:cs="新細明體"/>
                                      <w:sz w:val="20"/>
                                    </w:rPr>
                                  </w:pPr>
                                  <w:r>
                                    <w:rPr>
                                      <w:rFonts w:ascii="標楷體" w:eastAsia="標楷體" w:hAnsi="標楷體" w:cs="新細明體" w:hint="eastAsia"/>
                                      <w:sz w:val="20"/>
                                    </w:rPr>
                                    <w:t>案件數</w:t>
                                  </w:r>
                                </w:p>
                              </w:tc>
                            </w:tr>
                            <w:tr w:rsidR="00A0212B" w14:paraId="1775CAE4" w14:textId="77777777" w:rsidTr="00653EB8">
                              <w:trPr>
                                <w:trHeight w:val="330"/>
                              </w:trPr>
                              <w:tc>
                                <w:tcPr>
                                  <w:tcW w:w="2013" w:type="dxa"/>
                                  <w:vMerge/>
                                  <w:tcBorders>
                                    <w:top w:val="single" w:sz="4" w:space="0" w:color="auto"/>
                                    <w:left w:val="single" w:sz="4" w:space="0" w:color="auto"/>
                                    <w:bottom w:val="single" w:sz="4" w:space="0" w:color="auto"/>
                                    <w:right w:val="single" w:sz="4" w:space="0" w:color="auto"/>
                                  </w:tcBorders>
                                  <w:vAlign w:val="center"/>
                                  <w:hideMark/>
                                </w:tcPr>
                                <w:p w14:paraId="6359A903" w14:textId="77777777" w:rsidR="00A0212B" w:rsidRDefault="00A0212B" w:rsidP="00321FC8">
                                  <w:pPr>
                                    <w:suppressOverlap/>
                                    <w:rPr>
                                      <w:rFonts w:ascii="標楷體" w:eastAsia="標楷體" w:hAnsi="標楷體" w:cs="新細明體"/>
                                      <w:sz w:val="20"/>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01B5C32B" w14:textId="77777777" w:rsidR="00A0212B" w:rsidRDefault="00A0212B" w:rsidP="00321FC8">
                                  <w:pPr>
                                    <w:spacing w:line="260" w:lineRule="exact"/>
                                    <w:suppressOverlap/>
                                    <w:jc w:val="center"/>
                                    <w:rPr>
                                      <w:rFonts w:ascii="標楷體" w:eastAsia="標楷體" w:hAnsi="標楷體" w:cs="新細明體"/>
                                      <w:sz w:val="20"/>
                                    </w:rPr>
                                  </w:pPr>
                                  <w:r>
                                    <w:rPr>
                                      <w:rFonts w:ascii="標楷體" w:eastAsia="標楷體" w:hAnsi="標楷體" w:cs="新細明體" w:hint="eastAsia"/>
                                      <w:sz w:val="20"/>
                                    </w:rPr>
                                    <w:t>使用量</w:t>
                                  </w:r>
                                </w:p>
                              </w:tc>
                              <w:tc>
                                <w:tcPr>
                                  <w:tcW w:w="7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50CEB64" w14:textId="77777777" w:rsidR="00A0212B" w:rsidRDefault="00A0212B" w:rsidP="00321FC8">
                                  <w:pPr>
                                    <w:spacing w:line="260" w:lineRule="exact"/>
                                    <w:suppressOverlap/>
                                    <w:jc w:val="center"/>
                                    <w:rPr>
                                      <w:rFonts w:ascii="標楷體" w:eastAsia="標楷體" w:hAnsi="標楷體" w:cs="新細明體"/>
                                      <w:sz w:val="20"/>
                                    </w:rPr>
                                  </w:pPr>
                                  <w:r>
                                    <w:rPr>
                                      <w:rFonts w:ascii="標楷體" w:eastAsia="標楷體" w:hAnsi="標楷體" w:cs="新細明體" w:hint="eastAsia"/>
                                      <w:sz w:val="20"/>
                                    </w:rPr>
                                    <w:t>占比</w:t>
                                  </w:r>
                                </w:p>
                              </w:tc>
                              <w:tc>
                                <w:tcPr>
                                  <w:tcW w:w="737" w:type="dxa"/>
                                  <w:vMerge/>
                                  <w:tcBorders>
                                    <w:top w:val="single" w:sz="4" w:space="0" w:color="auto"/>
                                    <w:left w:val="single" w:sz="4" w:space="0" w:color="auto"/>
                                    <w:bottom w:val="single" w:sz="4" w:space="0" w:color="auto"/>
                                    <w:right w:val="single" w:sz="4" w:space="0" w:color="auto"/>
                                  </w:tcBorders>
                                  <w:vAlign w:val="center"/>
                                  <w:hideMark/>
                                </w:tcPr>
                                <w:p w14:paraId="4BAF1998" w14:textId="77777777" w:rsidR="00A0212B" w:rsidRDefault="00A0212B" w:rsidP="00321FC8">
                                  <w:pPr>
                                    <w:suppressOverlap/>
                                    <w:rPr>
                                      <w:rFonts w:ascii="標楷體" w:eastAsia="標楷體" w:hAnsi="標楷體" w:cs="新細明體"/>
                                      <w:sz w:val="20"/>
                                      <w:szCs w:val="22"/>
                                    </w:rPr>
                                  </w:pPr>
                                </w:p>
                              </w:tc>
                            </w:tr>
                            <w:tr w:rsidR="00A0212B" w14:paraId="33472CE2"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1CF54B2C" w14:textId="77777777" w:rsidR="00A0212B" w:rsidRPr="00910255" w:rsidRDefault="00A0212B" w:rsidP="00DF537F">
                                  <w:pPr>
                                    <w:spacing w:line="280" w:lineRule="exact"/>
                                    <w:suppressOverlap/>
                                    <w:jc w:val="distribute"/>
                                    <w:rPr>
                                      <w:rFonts w:ascii="標楷體" w:eastAsia="標楷體" w:hAnsi="標楷體" w:cs="新細明體"/>
                                      <w:b/>
                                      <w:sz w:val="20"/>
                                    </w:rPr>
                                  </w:pPr>
                                  <w:r w:rsidRPr="00910255">
                                    <w:rPr>
                                      <w:rFonts w:ascii="標楷體" w:eastAsia="標楷體" w:hAnsi="標楷體" w:cs="新細明體" w:hint="eastAsia"/>
                                      <w:b/>
                                      <w:sz w:val="20"/>
                                    </w:rPr>
                                    <w:t>合計</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9518F42" w14:textId="77777777" w:rsidR="00A0212B" w:rsidRPr="00910255" w:rsidRDefault="00A0212B" w:rsidP="00321FC8">
                                  <w:pPr>
                                    <w:spacing w:line="280" w:lineRule="exact"/>
                                    <w:suppressOverlap/>
                                    <w:jc w:val="right"/>
                                    <w:rPr>
                                      <w:rFonts w:ascii="標楷體" w:eastAsia="標楷體" w:hAnsi="標楷體" w:cs="新細明體"/>
                                      <w:b/>
                                      <w:sz w:val="20"/>
                                    </w:rPr>
                                  </w:pPr>
                                  <w:r w:rsidRPr="00910255">
                                    <w:rPr>
                                      <w:rFonts w:ascii="標楷體" w:eastAsia="標楷體" w:hAnsi="標楷體" w:cs="新細明體" w:hint="eastAsia"/>
                                      <w:b/>
                                      <w:sz w:val="20"/>
                                    </w:rPr>
                                    <w:t>501,765</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F19A44" w14:textId="77777777" w:rsidR="00A0212B" w:rsidRPr="00910255" w:rsidRDefault="00A0212B" w:rsidP="00321FC8">
                                  <w:pPr>
                                    <w:spacing w:line="280" w:lineRule="exact"/>
                                    <w:suppressOverlap/>
                                    <w:jc w:val="right"/>
                                    <w:rPr>
                                      <w:rFonts w:ascii="標楷體" w:eastAsia="標楷體" w:hAnsi="標楷體" w:cs="新細明體"/>
                                      <w:b/>
                                      <w:sz w:val="20"/>
                                    </w:rPr>
                                  </w:pPr>
                                  <w:r w:rsidRPr="00910255">
                                    <w:rPr>
                                      <w:rFonts w:ascii="標楷體" w:eastAsia="標楷體" w:hAnsi="標楷體" w:cs="新細明體" w:hint="eastAsia"/>
                                      <w:b/>
                                      <w:sz w:val="20"/>
                                    </w:rPr>
                                    <w:t>100.00</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07B7DA87" w14:textId="77777777" w:rsidR="00A0212B" w:rsidRPr="00910255" w:rsidRDefault="00A0212B" w:rsidP="00321FC8">
                                  <w:pPr>
                                    <w:spacing w:line="280" w:lineRule="exact"/>
                                    <w:ind w:rightChars="14" w:right="34"/>
                                    <w:suppressOverlap/>
                                    <w:jc w:val="right"/>
                                    <w:rPr>
                                      <w:rFonts w:ascii="標楷體" w:eastAsia="標楷體" w:hAnsi="標楷體" w:cs="新細明體"/>
                                      <w:b/>
                                      <w:sz w:val="20"/>
                                    </w:rPr>
                                  </w:pPr>
                                  <w:r w:rsidRPr="00910255">
                                    <w:rPr>
                                      <w:rFonts w:ascii="標楷體" w:eastAsia="標楷體" w:hAnsi="標楷體" w:cs="新細明體" w:hint="eastAsia"/>
                                      <w:b/>
                                      <w:sz w:val="20"/>
                                    </w:rPr>
                                    <w:t>6,496</w:t>
                                  </w:r>
                                </w:p>
                              </w:tc>
                            </w:tr>
                            <w:tr w:rsidR="00A0212B" w14:paraId="1B65DBB3"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4C91AAA6"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經濟部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B4C8643"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433,961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C777A8"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86.49</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2C462E2A"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5,261</w:t>
                                  </w:r>
                                </w:p>
                              </w:tc>
                            </w:tr>
                            <w:tr w:rsidR="00A0212B" w14:paraId="0EBE3E67"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2DAA1EB9"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交通部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26957A0"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32,019</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538CB6"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6.38</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7649F80F"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798</w:t>
                                  </w:r>
                                </w:p>
                              </w:tc>
                            </w:tr>
                            <w:tr w:rsidR="00A0212B" w14:paraId="051A39D4"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336CBF13"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內政部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DEB0495"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19,279</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1BA94F"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3.84</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7C3B2C2A"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88</w:t>
                                  </w:r>
                                </w:p>
                              </w:tc>
                            </w:tr>
                            <w:tr w:rsidR="00A0212B" w14:paraId="794EEB96"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5A292326" w14:textId="77777777" w:rsidR="00A0212B" w:rsidRPr="00910255" w:rsidRDefault="00A0212B" w:rsidP="00545E5F">
                                  <w:pPr>
                                    <w:spacing w:line="280" w:lineRule="exact"/>
                                    <w:suppressOverlap/>
                                    <w:jc w:val="distribute"/>
                                    <w:rPr>
                                      <w:rFonts w:ascii="標楷體" w:eastAsia="標楷體" w:hAnsi="標楷體" w:cs="新細明體"/>
                                      <w:sz w:val="20"/>
                                    </w:rPr>
                                  </w:pPr>
                                  <w:r w:rsidRPr="00653EB8">
                                    <w:rPr>
                                      <w:rFonts w:ascii="標楷體" w:eastAsia="標楷體" w:hAnsi="標楷體" w:cs="新細明體" w:hint="eastAsia"/>
                                      <w:sz w:val="20"/>
                                    </w:rPr>
                                    <w:t>國軍退除役官兵輔導委員會</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7365E4A"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16,011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BCC35E4"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3.19</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643C5327"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330</w:t>
                                  </w:r>
                                </w:p>
                              </w:tc>
                            </w:tr>
                            <w:tr w:rsidR="00A0212B" w14:paraId="3DBDC522"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63B0D353"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國防部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1A7FE7B"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300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DA7AAA"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0.06</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7CA0BE9F"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9</w:t>
                                  </w:r>
                                </w:p>
                              </w:tc>
                            </w:tr>
                            <w:tr w:rsidR="00A0212B" w14:paraId="36A65234"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34408E6E" w14:textId="77777777" w:rsidR="00A0212B" w:rsidRPr="00910255" w:rsidRDefault="00A0212B" w:rsidP="00545E5F">
                                  <w:pPr>
                                    <w:spacing w:line="280" w:lineRule="exact"/>
                                    <w:suppressOverlap/>
                                    <w:jc w:val="distribute"/>
                                    <w:rPr>
                                      <w:rFonts w:ascii="標楷體" w:eastAsia="標楷體" w:hAnsi="標楷體" w:cs="新細明體"/>
                                      <w:sz w:val="20"/>
                                    </w:rPr>
                                  </w:pPr>
                                  <w:r w:rsidRPr="00653EB8">
                                    <w:rPr>
                                      <w:rFonts w:ascii="標楷體" w:eastAsia="標楷體" w:hAnsi="標楷體" w:cs="新細明體" w:hint="eastAsia"/>
                                      <w:sz w:val="20"/>
                                    </w:rPr>
                                    <w:t>農業委員會（農業部）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BA4ED13"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127C6F1"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0.03</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1E0811F9"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6</w:t>
                                  </w:r>
                                </w:p>
                              </w:tc>
                            </w:tr>
                            <w:tr w:rsidR="00A0212B" w14:paraId="03F4D0CE"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25AC5914"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教育部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FE212FB"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32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EFF024B"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0.01</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1807F2A8"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2</w:t>
                                  </w:r>
                                </w:p>
                              </w:tc>
                            </w:tr>
                            <w:tr w:rsidR="00A0212B" w14:paraId="339CDB80"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61FB2409" w14:textId="77777777" w:rsidR="00A0212B" w:rsidRPr="00653EB8" w:rsidRDefault="00A0212B" w:rsidP="00545E5F">
                                  <w:pPr>
                                    <w:spacing w:line="280" w:lineRule="exact"/>
                                    <w:suppressOverlap/>
                                    <w:jc w:val="distribute"/>
                                    <w:rPr>
                                      <w:rFonts w:ascii="標楷體" w:eastAsia="標楷體" w:hAnsi="標楷體" w:cs="新細明體"/>
                                      <w:spacing w:val="-4"/>
                                      <w:sz w:val="20"/>
                                    </w:rPr>
                                  </w:pPr>
                                  <w:r w:rsidRPr="00653EB8">
                                    <w:rPr>
                                      <w:rFonts w:ascii="標楷體" w:eastAsia="標楷體" w:hAnsi="標楷體" w:cs="新細明體" w:hint="eastAsia"/>
                                      <w:spacing w:val="-4"/>
                                      <w:sz w:val="20"/>
                                    </w:rPr>
                                    <w:t>國家科學及技術委員會</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AA245C2"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E5B112C"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46AE9BD4"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1</w:t>
                                  </w:r>
                                </w:p>
                              </w:tc>
                            </w:tr>
                            <w:tr w:rsidR="00A0212B" w14:paraId="604FD48B"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239D7BEB" w14:textId="77777777" w:rsidR="00A0212B" w:rsidRPr="00910255" w:rsidRDefault="00A0212B" w:rsidP="00545E5F">
                                  <w:pPr>
                                    <w:spacing w:line="280" w:lineRule="exact"/>
                                    <w:suppressOverlap/>
                                    <w:jc w:val="distribute"/>
                                    <w:rPr>
                                      <w:rFonts w:ascii="標楷體" w:eastAsia="標楷體" w:hAnsi="標楷體" w:cs="新細明體"/>
                                      <w:sz w:val="20"/>
                                    </w:rPr>
                                  </w:pPr>
                                  <w:r w:rsidRPr="00653EB8">
                                    <w:rPr>
                                      <w:rFonts w:ascii="標楷體" w:eastAsia="標楷體" w:hAnsi="標楷體" w:cs="新細明體" w:hint="eastAsia"/>
                                      <w:sz w:val="20"/>
                                    </w:rPr>
                                    <w:t>國家通訊傳播委員會</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BA7A59C"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893734"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40177E29"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1</w:t>
                                  </w:r>
                                </w:p>
                              </w:tc>
                            </w:tr>
                            <w:tr w:rsidR="00A0212B" w14:paraId="3102176A" w14:textId="77777777" w:rsidTr="00321FC8">
                              <w:trPr>
                                <w:trHeight w:val="330"/>
                              </w:trPr>
                              <w:tc>
                                <w:tcPr>
                                  <w:tcW w:w="4167" w:type="dxa"/>
                                  <w:gridSpan w:val="4"/>
                                  <w:tcBorders>
                                    <w:top w:val="single" w:sz="4" w:space="0" w:color="auto"/>
                                    <w:left w:val="nil"/>
                                    <w:bottom w:val="nil"/>
                                    <w:right w:val="nil"/>
                                  </w:tcBorders>
                                  <w:noWrap/>
                                  <w:vAlign w:val="center"/>
                                  <w:hideMark/>
                                </w:tcPr>
                                <w:p w14:paraId="7199B6AE" w14:textId="77777777" w:rsidR="00A0212B" w:rsidRDefault="00A0212B" w:rsidP="00E31547">
                                  <w:pPr>
                                    <w:wordWrap w:val="0"/>
                                    <w:overflowPunct w:val="0"/>
                                    <w:spacing w:line="240" w:lineRule="exact"/>
                                    <w:ind w:left="918" w:rightChars="42" w:right="101" w:hangingChars="510" w:hanging="918"/>
                                    <w:suppressOverlap/>
                                    <w:jc w:val="both"/>
                                    <w:rPr>
                                      <w:rFonts w:ascii="標楷體" w:eastAsia="標楷體" w:hAnsi="標楷體" w:cs="新細明體"/>
                                      <w:sz w:val="20"/>
                                    </w:rPr>
                                  </w:pPr>
                                  <w:r>
                                    <w:rPr>
                                      <w:rFonts w:ascii="標楷體" w:eastAsia="標楷體" w:hAnsi="標楷體" w:cs="新細明體" w:hint="eastAsia"/>
                                      <w:bCs/>
                                      <w:sz w:val="18"/>
                                      <w:szCs w:val="18"/>
                                    </w:rPr>
                                    <w:t>資料來源：整理自</w:t>
                                  </w:r>
                                  <w:r w:rsidRPr="00653EB8">
                                    <w:rPr>
                                      <w:rFonts w:ascii="標楷體" w:eastAsia="標楷體" w:hAnsi="標楷體" w:cs="新細明體" w:hint="eastAsia"/>
                                      <w:bCs/>
                                      <w:sz w:val="18"/>
                                      <w:szCs w:val="18"/>
                                    </w:rPr>
                                    <w:t>環境保護署（環境部）</w:t>
                                  </w:r>
                                  <w:r>
                                    <w:rPr>
                                      <w:rFonts w:ascii="標楷體" w:eastAsia="標楷體" w:hAnsi="標楷體" w:cs="新細明體" w:hint="eastAsia"/>
                                      <w:bCs/>
                                      <w:sz w:val="18"/>
                                      <w:szCs w:val="18"/>
                                    </w:rPr>
                                    <w:t>焚化再生粒料流向管理系統資料。</w:t>
                                  </w:r>
                                </w:p>
                              </w:tc>
                            </w:tr>
                          </w:tbl>
                          <w:p w14:paraId="38490E0E" w14:textId="77777777" w:rsidR="00A0212B" w:rsidRPr="00910255" w:rsidRDefault="00A0212B" w:rsidP="00755030">
                            <w:pPr>
                              <w:rPr>
                                <w:rFonts w:ascii="標楷體" w:eastAsia="標楷體" w:hAnsi="標楷體"/>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B3C5F32" id="文字方塊 487" o:spid="_x0000_s1095" type="#_x0000_t202" style="position:absolute;left:0;text-align:left;margin-left:269.95pt;margin-top:11.55pt;width:226.8pt;height:288.6pt;z-index:-251625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" stroked="f">
                <v:textbox>
                  <w:txbxContent>
                    <w:tbl>
                      <w:tblPr>
                        <w:tblOverlap w:val="never"/>
                        <w:tblW w:w="41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013"/>
                        <w:gridCol w:w="758"/>
                        <w:gridCol w:w="659"/>
                        <w:gridCol w:w="737"/>
                      </w:tblGrid>
                      <w:tr w:rsidR="00A0212B" w14:paraId="76B1A505" w14:textId="77777777" w:rsidTr="00321FC8">
                        <w:trPr>
                          <w:trHeight w:val="529"/>
                        </w:trPr>
                        <w:tc>
                          <w:tcPr>
                            <w:tcW w:w="4167" w:type="dxa"/>
                            <w:gridSpan w:val="4"/>
                            <w:tcBorders>
                              <w:top w:val="nil"/>
                              <w:left w:val="nil"/>
                              <w:bottom w:val="single" w:sz="4" w:space="0" w:color="auto"/>
                              <w:right w:val="nil"/>
                            </w:tcBorders>
                            <w:noWrap/>
                            <w:vAlign w:val="bottom"/>
                            <w:hideMark/>
                          </w:tcPr>
                          <w:p w14:paraId="28D7F73C" w14:textId="6E9FCE04" w:rsidR="00A0212B" w:rsidRDefault="00A0212B" w:rsidP="00F56D79">
                            <w:pPr>
                              <w:spacing w:line="280" w:lineRule="exact"/>
                              <w:ind w:leftChars="-3" w:left="786" w:hangingChars="330" w:hanging="793"/>
                              <w:suppressOverlap/>
                              <w:jc w:val="both"/>
                              <w:rPr>
                                <w:rFonts w:ascii="標楷體" w:eastAsia="標楷體" w:hAnsi="標楷體" w:cs="新細明體"/>
                                <w:sz w:val="20"/>
                                <w:szCs w:val="22"/>
                              </w:rPr>
                            </w:pPr>
                            <w:r>
                              <w:rPr>
                                <w:rFonts w:ascii="標楷體" w:eastAsia="標楷體" w:hAnsi="標楷體" w:cs="新細明體" w:hint="eastAsia"/>
                                <w:b/>
                              </w:rPr>
                              <w:t>表3</w:t>
                            </w:r>
                            <w:r>
                              <w:rPr>
                                <w:rFonts w:ascii="標楷體" w:eastAsia="標楷體" w:hAnsi="標楷體" w:cs="新細明體"/>
                                <w:b/>
                              </w:rPr>
                              <w:t>0</w:t>
                            </w:r>
                            <w:r>
                              <w:rPr>
                                <w:rFonts w:ascii="標楷體" w:eastAsia="標楷體" w:hAnsi="標楷體" w:cs="新細明體" w:hint="eastAsia"/>
                                <w:b/>
                              </w:rPr>
                              <w:t xml:space="preserve">　110至112年度中央機關公共工程使用焚化再生粒料情形</w:t>
                            </w:r>
                            <w:r>
                              <w:rPr>
                                <w:rFonts w:ascii="標楷體" w:eastAsia="標楷體" w:hAnsi="標楷體" w:cs="新細明體" w:hint="eastAsia"/>
                                <w:sz w:val="20"/>
                              </w:rPr>
                              <w:t xml:space="preserve">　　　</w:t>
                            </w:r>
                          </w:p>
                          <w:p w14:paraId="00346FCC" w14:textId="4DB42897" w:rsidR="00A0212B" w:rsidRDefault="00A0212B" w:rsidP="00DF537F">
                            <w:pPr>
                              <w:spacing w:line="280" w:lineRule="exact"/>
                              <w:ind w:leftChars="178" w:left="479" w:hangingChars="26" w:hanging="52"/>
                              <w:suppressOverlap/>
                              <w:jc w:val="right"/>
                              <w:rPr>
                                <w:rFonts w:ascii="標楷體" w:eastAsia="標楷體" w:hAnsi="標楷體" w:cs="新細明體"/>
                                <w:sz w:val="18"/>
                                <w:szCs w:val="18"/>
                              </w:rPr>
                            </w:pPr>
                            <w:r w:rsidRPr="007C3F51">
                              <w:rPr>
                                <w:rFonts w:ascii="標楷體" w:eastAsia="標楷體" w:hAnsi="標楷體" w:cs="新細明體" w:hint="eastAsia"/>
                                <w:sz w:val="20"/>
                                <w:szCs w:val="18"/>
                              </w:rPr>
                              <w:t>單位：公噸、</w:t>
                            </w:r>
                            <w:r w:rsidR="00DF537F" w:rsidRPr="007C3F51">
                              <w:rPr>
                                <w:rFonts w:ascii="標楷體" w:eastAsia="標楷體" w:hAnsi="標楷體" w:cs="新細明體" w:hint="eastAsia"/>
                                <w:sz w:val="20"/>
                                <w:szCs w:val="18"/>
                              </w:rPr>
                              <w:t>％</w:t>
                            </w:r>
                            <w:r w:rsidR="00DF537F">
                              <w:rPr>
                                <w:rFonts w:ascii="標楷體" w:eastAsia="標楷體" w:hAnsi="標楷體" w:cs="新細明體" w:hint="eastAsia"/>
                                <w:sz w:val="20"/>
                                <w:szCs w:val="18"/>
                              </w:rPr>
                              <w:t>、</w:t>
                            </w:r>
                            <w:r w:rsidRPr="007C3F51">
                              <w:rPr>
                                <w:rFonts w:ascii="標楷體" w:eastAsia="標楷體" w:hAnsi="標楷體" w:cs="新細明體" w:hint="eastAsia"/>
                                <w:sz w:val="20"/>
                                <w:szCs w:val="18"/>
                              </w:rPr>
                              <w:t>件</w:t>
                            </w:r>
                          </w:p>
                        </w:tc>
                      </w:tr>
                      <w:tr w:rsidR="00A0212B" w14:paraId="6A914D91" w14:textId="77777777" w:rsidTr="00653EB8">
                        <w:trPr>
                          <w:trHeight w:val="284"/>
                        </w:trPr>
                        <w:tc>
                          <w:tcPr>
                            <w:tcW w:w="2013" w:type="dxa"/>
                            <w:vMerge w:val="restart"/>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1814AEB3" w14:textId="77777777" w:rsidR="00A0212B" w:rsidRDefault="00A0212B" w:rsidP="00321FC8">
                            <w:pPr>
                              <w:spacing w:line="280" w:lineRule="exact"/>
                              <w:suppressOverlap/>
                              <w:jc w:val="distribute"/>
                              <w:rPr>
                                <w:rFonts w:ascii="標楷體" w:eastAsia="標楷體" w:hAnsi="標楷體" w:cs="新細明體"/>
                                <w:sz w:val="20"/>
                                <w:szCs w:val="22"/>
                              </w:rPr>
                            </w:pPr>
                            <w:r>
                              <w:rPr>
                                <w:rFonts w:ascii="標楷體" w:eastAsia="標楷體" w:hAnsi="標楷體" w:cs="新細明體" w:hint="eastAsia"/>
                                <w:sz w:val="20"/>
                              </w:rPr>
                              <w:t>部會別</w:t>
                            </w:r>
                          </w:p>
                        </w:tc>
                        <w:tc>
                          <w:tcPr>
                            <w:tcW w:w="1417" w:type="dxa"/>
                            <w:gridSpan w:val="2"/>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6C7ED0E2" w14:textId="77777777" w:rsidR="00A0212B" w:rsidRDefault="00A0212B" w:rsidP="00321FC8">
                            <w:pPr>
                              <w:spacing w:line="280" w:lineRule="exact"/>
                              <w:suppressOverlap/>
                              <w:jc w:val="center"/>
                              <w:rPr>
                                <w:rFonts w:ascii="標楷體" w:eastAsia="標楷體" w:hAnsi="標楷體" w:cs="新細明體"/>
                                <w:sz w:val="20"/>
                              </w:rPr>
                            </w:pPr>
                            <w:r>
                              <w:rPr>
                                <w:rFonts w:ascii="標楷體" w:eastAsia="標楷體" w:hAnsi="標楷體" w:cs="新細明體" w:hint="eastAsia"/>
                                <w:sz w:val="20"/>
                              </w:rPr>
                              <w:t>使用情形</w:t>
                            </w:r>
                          </w:p>
                        </w:tc>
                        <w:tc>
                          <w:tcPr>
                            <w:tcW w:w="737" w:type="dxa"/>
                            <w:vMerge w:val="restart"/>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58204F5B" w14:textId="77777777" w:rsidR="00A0212B" w:rsidRDefault="00A0212B" w:rsidP="00321FC8">
                            <w:pPr>
                              <w:spacing w:line="280" w:lineRule="exact"/>
                              <w:suppressOverlap/>
                              <w:jc w:val="center"/>
                              <w:rPr>
                                <w:rFonts w:ascii="標楷體" w:eastAsia="標楷體" w:hAnsi="標楷體" w:cs="新細明體"/>
                                <w:sz w:val="20"/>
                              </w:rPr>
                            </w:pPr>
                            <w:r>
                              <w:rPr>
                                <w:rFonts w:ascii="標楷體" w:eastAsia="標楷體" w:hAnsi="標楷體" w:cs="新細明體" w:hint="eastAsia"/>
                                <w:sz w:val="20"/>
                              </w:rPr>
                              <w:t>案件數</w:t>
                            </w:r>
                          </w:p>
                        </w:tc>
                      </w:tr>
                      <w:tr w:rsidR="00A0212B" w14:paraId="1775CAE4" w14:textId="77777777" w:rsidTr="00653EB8">
                        <w:trPr>
                          <w:trHeight w:val="330"/>
                        </w:trPr>
                        <w:tc>
                          <w:tcPr>
                            <w:tcW w:w="2013" w:type="dxa"/>
                            <w:vMerge/>
                            <w:tcBorders>
                              <w:top w:val="single" w:sz="4" w:space="0" w:color="auto"/>
                              <w:left w:val="single" w:sz="4" w:space="0" w:color="auto"/>
                              <w:bottom w:val="single" w:sz="4" w:space="0" w:color="auto"/>
                              <w:right w:val="single" w:sz="4" w:space="0" w:color="auto"/>
                            </w:tcBorders>
                            <w:vAlign w:val="center"/>
                            <w:hideMark/>
                          </w:tcPr>
                          <w:p w14:paraId="6359A903" w14:textId="77777777" w:rsidR="00A0212B" w:rsidRDefault="00A0212B" w:rsidP="00321FC8">
                            <w:pPr>
                              <w:suppressOverlap/>
                              <w:rPr>
                                <w:rFonts w:ascii="標楷體" w:eastAsia="標楷體" w:hAnsi="標楷體" w:cs="新細明體"/>
                                <w:sz w:val="20"/>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E7E6E6"/>
                            <w:noWrap/>
                            <w:vAlign w:val="center"/>
                            <w:hideMark/>
                          </w:tcPr>
                          <w:p w14:paraId="01B5C32B" w14:textId="77777777" w:rsidR="00A0212B" w:rsidRDefault="00A0212B" w:rsidP="00321FC8">
                            <w:pPr>
                              <w:spacing w:line="260" w:lineRule="exact"/>
                              <w:suppressOverlap/>
                              <w:jc w:val="center"/>
                              <w:rPr>
                                <w:rFonts w:ascii="標楷體" w:eastAsia="標楷體" w:hAnsi="標楷體" w:cs="新細明體"/>
                                <w:sz w:val="20"/>
                              </w:rPr>
                            </w:pPr>
                            <w:r>
                              <w:rPr>
                                <w:rFonts w:ascii="標楷體" w:eastAsia="標楷體" w:hAnsi="標楷體" w:cs="新細明體" w:hint="eastAsia"/>
                                <w:sz w:val="20"/>
                              </w:rPr>
                              <w:t>使用量</w:t>
                            </w:r>
                          </w:p>
                        </w:tc>
                        <w:tc>
                          <w:tcPr>
                            <w:tcW w:w="708"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50CEB64" w14:textId="77777777" w:rsidR="00A0212B" w:rsidRDefault="00A0212B" w:rsidP="00321FC8">
                            <w:pPr>
                              <w:spacing w:line="260" w:lineRule="exact"/>
                              <w:suppressOverlap/>
                              <w:jc w:val="center"/>
                              <w:rPr>
                                <w:rFonts w:ascii="標楷體" w:eastAsia="標楷體" w:hAnsi="標楷體" w:cs="新細明體"/>
                                <w:sz w:val="20"/>
                              </w:rPr>
                            </w:pPr>
                            <w:r>
                              <w:rPr>
                                <w:rFonts w:ascii="標楷體" w:eastAsia="標楷體" w:hAnsi="標楷體" w:cs="新細明體" w:hint="eastAsia"/>
                                <w:sz w:val="20"/>
                              </w:rPr>
                              <w:t>占比</w:t>
                            </w:r>
                          </w:p>
                        </w:tc>
                        <w:tc>
                          <w:tcPr>
                            <w:tcW w:w="737" w:type="dxa"/>
                            <w:vMerge/>
                            <w:tcBorders>
                              <w:top w:val="single" w:sz="4" w:space="0" w:color="auto"/>
                              <w:left w:val="single" w:sz="4" w:space="0" w:color="auto"/>
                              <w:bottom w:val="single" w:sz="4" w:space="0" w:color="auto"/>
                              <w:right w:val="single" w:sz="4" w:space="0" w:color="auto"/>
                            </w:tcBorders>
                            <w:vAlign w:val="center"/>
                            <w:hideMark/>
                          </w:tcPr>
                          <w:p w14:paraId="4BAF1998" w14:textId="77777777" w:rsidR="00A0212B" w:rsidRDefault="00A0212B" w:rsidP="00321FC8">
                            <w:pPr>
                              <w:suppressOverlap/>
                              <w:rPr>
                                <w:rFonts w:ascii="標楷體" w:eastAsia="標楷體" w:hAnsi="標楷體" w:cs="新細明體"/>
                                <w:sz w:val="20"/>
                                <w:szCs w:val="22"/>
                              </w:rPr>
                            </w:pPr>
                          </w:p>
                        </w:tc>
                      </w:tr>
                      <w:tr w:rsidR="00A0212B" w14:paraId="33472CE2"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1CF54B2C" w14:textId="77777777" w:rsidR="00A0212B" w:rsidRPr="00910255" w:rsidRDefault="00A0212B" w:rsidP="00DF537F">
                            <w:pPr>
                              <w:spacing w:line="280" w:lineRule="exact"/>
                              <w:suppressOverlap/>
                              <w:jc w:val="distribute"/>
                              <w:rPr>
                                <w:rFonts w:ascii="標楷體" w:eastAsia="標楷體" w:hAnsi="標楷體" w:cs="新細明體"/>
                                <w:b/>
                                <w:sz w:val="20"/>
                              </w:rPr>
                            </w:pPr>
                            <w:r w:rsidRPr="00910255">
                              <w:rPr>
                                <w:rFonts w:ascii="標楷體" w:eastAsia="標楷體" w:hAnsi="標楷體" w:cs="新細明體" w:hint="eastAsia"/>
                                <w:b/>
                                <w:sz w:val="20"/>
                              </w:rPr>
                              <w:t>合計</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9518F42" w14:textId="77777777" w:rsidR="00A0212B" w:rsidRPr="00910255" w:rsidRDefault="00A0212B" w:rsidP="00321FC8">
                            <w:pPr>
                              <w:spacing w:line="280" w:lineRule="exact"/>
                              <w:suppressOverlap/>
                              <w:jc w:val="right"/>
                              <w:rPr>
                                <w:rFonts w:ascii="標楷體" w:eastAsia="標楷體" w:hAnsi="標楷體" w:cs="新細明體"/>
                                <w:b/>
                                <w:sz w:val="20"/>
                              </w:rPr>
                            </w:pPr>
                            <w:r w:rsidRPr="00910255">
                              <w:rPr>
                                <w:rFonts w:ascii="標楷體" w:eastAsia="標楷體" w:hAnsi="標楷體" w:cs="新細明體" w:hint="eastAsia"/>
                                <w:b/>
                                <w:sz w:val="20"/>
                              </w:rPr>
                              <w:t>501,765</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F19A44" w14:textId="77777777" w:rsidR="00A0212B" w:rsidRPr="00910255" w:rsidRDefault="00A0212B" w:rsidP="00321FC8">
                            <w:pPr>
                              <w:spacing w:line="280" w:lineRule="exact"/>
                              <w:suppressOverlap/>
                              <w:jc w:val="right"/>
                              <w:rPr>
                                <w:rFonts w:ascii="標楷體" w:eastAsia="標楷體" w:hAnsi="標楷體" w:cs="新細明體"/>
                                <w:b/>
                                <w:sz w:val="20"/>
                              </w:rPr>
                            </w:pPr>
                            <w:r w:rsidRPr="00910255">
                              <w:rPr>
                                <w:rFonts w:ascii="標楷體" w:eastAsia="標楷體" w:hAnsi="標楷體" w:cs="新細明體" w:hint="eastAsia"/>
                                <w:b/>
                                <w:sz w:val="20"/>
                              </w:rPr>
                              <w:t>100.00</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07B7DA87" w14:textId="77777777" w:rsidR="00A0212B" w:rsidRPr="00910255" w:rsidRDefault="00A0212B" w:rsidP="00321FC8">
                            <w:pPr>
                              <w:spacing w:line="280" w:lineRule="exact"/>
                              <w:ind w:rightChars="14" w:right="34"/>
                              <w:suppressOverlap/>
                              <w:jc w:val="right"/>
                              <w:rPr>
                                <w:rFonts w:ascii="標楷體" w:eastAsia="標楷體" w:hAnsi="標楷體" w:cs="新細明體"/>
                                <w:b/>
                                <w:sz w:val="20"/>
                              </w:rPr>
                            </w:pPr>
                            <w:r w:rsidRPr="00910255">
                              <w:rPr>
                                <w:rFonts w:ascii="標楷體" w:eastAsia="標楷體" w:hAnsi="標楷體" w:cs="新細明體" w:hint="eastAsia"/>
                                <w:b/>
                                <w:sz w:val="20"/>
                              </w:rPr>
                              <w:t>6,496</w:t>
                            </w:r>
                          </w:p>
                        </w:tc>
                      </w:tr>
                      <w:tr w:rsidR="00A0212B" w14:paraId="1B65DBB3"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4C91AAA6"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經濟部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B4C8643"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433,961</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C777A8"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86.49</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2C462E2A"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5,261</w:t>
                            </w:r>
                          </w:p>
                        </w:tc>
                      </w:tr>
                      <w:tr w:rsidR="00A0212B" w14:paraId="0EBE3E67"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2DAA1EB9"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交通部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26957A0"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32,019</w:t>
                            </w:r>
                          </w:p>
                        </w:tc>
                        <w:tc>
                          <w:tcPr>
                            <w:tcW w:w="708" w:type="dxa"/>
                            <w:tcBorders>
                              <w:top w:val="single" w:sz="4" w:space="0" w:color="auto"/>
                              <w:left w:val="single" w:sz="4" w:space="0" w:color="auto"/>
                              <w:bottom w:val="single" w:sz="4" w:space="0" w:color="auto"/>
                              <w:right w:val="single" w:sz="4" w:space="0" w:color="auto"/>
                            </w:tcBorders>
                            <w:vAlign w:val="center"/>
                            <w:hideMark/>
                          </w:tcPr>
                          <w:p w14:paraId="4E538CB6"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6.38</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7649F80F"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798</w:t>
                            </w:r>
                          </w:p>
                        </w:tc>
                      </w:tr>
                      <w:tr w:rsidR="00A0212B" w14:paraId="051A39D4"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336CBF13"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內政部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DEB0495"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19,279</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1BA94F"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3.84</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7C3B2C2A"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88</w:t>
                            </w:r>
                          </w:p>
                        </w:tc>
                      </w:tr>
                      <w:tr w:rsidR="00A0212B" w14:paraId="794EEB96"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5A292326" w14:textId="77777777" w:rsidR="00A0212B" w:rsidRPr="00910255" w:rsidRDefault="00A0212B" w:rsidP="00545E5F">
                            <w:pPr>
                              <w:spacing w:line="280" w:lineRule="exact"/>
                              <w:suppressOverlap/>
                              <w:jc w:val="distribute"/>
                              <w:rPr>
                                <w:rFonts w:ascii="標楷體" w:eastAsia="標楷體" w:hAnsi="標楷體" w:cs="新細明體"/>
                                <w:sz w:val="20"/>
                              </w:rPr>
                            </w:pPr>
                            <w:r w:rsidRPr="00653EB8">
                              <w:rPr>
                                <w:rFonts w:ascii="標楷體" w:eastAsia="標楷體" w:hAnsi="標楷體" w:cs="新細明體" w:hint="eastAsia"/>
                                <w:sz w:val="20"/>
                              </w:rPr>
                              <w:t>國軍退除役官兵輔導委員會</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7365E4A"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16,011</w:t>
                            </w:r>
                          </w:p>
                        </w:tc>
                        <w:tc>
                          <w:tcPr>
                            <w:tcW w:w="708" w:type="dxa"/>
                            <w:tcBorders>
                              <w:top w:val="single" w:sz="4" w:space="0" w:color="auto"/>
                              <w:left w:val="single" w:sz="4" w:space="0" w:color="auto"/>
                              <w:bottom w:val="single" w:sz="4" w:space="0" w:color="auto"/>
                              <w:right w:val="single" w:sz="4" w:space="0" w:color="auto"/>
                            </w:tcBorders>
                            <w:vAlign w:val="center"/>
                            <w:hideMark/>
                          </w:tcPr>
                          <w:p w14:paraId="7BCC35E4"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3.19</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643C5327"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330</w:t>
                            </w:r>
                          </w:p>
                        </w:tc>
                      </w:tr>
                      <w:tr w:rsidR="00A0212B" w14:paraId="3DBDC522"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63B0D353"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國防部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1A7FE7B"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300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DA7AAA"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0.06</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7CA0BE9F"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9</w:t>
                            </w:r>
                          </w:p>
                        </w:tc>
                      </w:tr>
                      <w:tr w:rsidR="00A0212B" w14:paraId="36A65234"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34408E6E" w14:textId="77777777" w:rsidR="00A0212B" w:rsidRPr="00910255" w:rsidRDefault="00A0212B" w:rsidP="00545E5F">
                            <w:pPr>
                              <w:spacing w:line="280" w:lineRule="exact"/>
                              <w:suppressOverlap/>
                              <w:jc w:val="distribute"/>
                              <w:rPr>
                                <w:rFonts w:ascii="標楷體" w:eastAsia="標楷體" w:hAnsi="標楷體" w:cs="新細明體"/>
                                <w:sz w:val="20"/>
                              </w:rPr>
                            </w:pPr>
                            <w:r w:rsidRPr="00653EB8">
                              <w:rPr>
                                <w:rFonts w:ascii="標楷體" w:eastAsia="標楷體" w:hAnsi="標楷體" w:cs="新細明體" w:hint="eastAsia"/>
                                <w:sz w:val="20"/>
                              </w:rPr>
                              <w:t>農業委員會（農業部）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2BA4ED13"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140</w:t>
                            </w:r>
                          </w:p>
                        </w:tc>
                        <w:tc>
                          <w:tcPr>
                            <w:tcW w:w="708" w:type="dxa"/>
                            <w:tcBorders>
                              <w:top w:val="single" w:sz="4" w:space="0" w:color="auto"/>
                              <w:left w:val="single" w:sz="4" w:space="0" w:color="auto"/>
                              <w:bottom w:val="single" w:sz="4" w:space="0" w:color="auto"/>
                              <w:right w:val="single" w:sz="4" w:space="0" w:color="auto"/>
                            </w:tcBorders>
                            <w:vAlign w:val="center"/>
                            <w:hideMark/>
                          </w:tcPr>
                          <w:p w14:paraId="7127C6F1"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0.03</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1E0811F9"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6</w:t>
                            </w:r>
                          </w:p>
                        </w:tc>
                      </w:tr>
                      <w:tr w:rsidR="00A0212B" w14:paraId="03F4D0CE"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25AC5914" w14:textId="77777777" w:rsidR="00A0212B" w:rsidRPr="00910255" w:rsidRDefault="00A0212B" w:rsidP="00545E5F">
                            <w:pPr>
                              <w:spacing w:line="280" w:lineRule="exact"/>
                              <w:suppressOverlap/>
                              <w:jc w:val="distribute"/>
                              <w:rPr>
                                <w:rFonts w:ascii="標楷體" w:eastAsia="標楷體" w:hAnsi="標楷體" w:cs="新細明體"/>
                                <w:sz w:val="20"/>
                              </w:rPr>
                            </w:pPr>
                            <w:r w:rsidRPr="00910255">
                              <w:rPr>
                                <w:rFonts w:ascii="標楷體" w:eastAsia="標楷體" w:hAnsi="標楷體" w:cs="新細明體" w:hint="eastAsia"/>
                                <w:sz w:val="20"/>
                              </w:rPr>
                              <w:t>教育部</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FE212FB"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32</w:t>
                            </w:r>
                          </w:p>
                        </w:tc>
                        <w:tc>
                          <w:tcPr>
                            <w:tcW w:w="708" w:type="dxa"/>
                            <w:tcBorders>
                              <w:top w:val="single" w:sz="4" w:space="0" w:color="auto"/>
                              <w:left w:val="single" w:sz="4" w:space="0" w:color="auto"/>
                              <w:bottom w:val="single" w:sz="4" w:space="0" w:color="auto"/>
                              <w:right w:val="single" w:sz="4" w:space="0" w:color="auto"/>
                            </w:tcBorders>
                            <w:vAlign w:val="center"/>
                            <w:hideMark/>
                          </w:tcPr>
                          <w:p w14:paraId="7EFF024B"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0.01</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1807F2A8"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2</w:t>
                            </w:r>
                          </w:p>
                        </w:tc>
                      </w:tr>
                      <w:tr w:rsidR="00A0212B" w14:paraId="339CDB80"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61FB2409" w14:textId="77777777" w:rsidR="00A0212B" w:rsidRPr="00653EB8" w:rsidRDefault="00A0212B" w:rsidP="00545E5F">
                            <w:pPr>
                              <w:spacing w:line="280" w:lineRule="exact"/>
                              <w:suppressOverlap/>
                              <w:jc w:val="distribute"/>
                              <w:rPr>
                                <w:rFonts w:ascii="標楷體" w:eastAsia="標楷體" w:hAnsi="標楷體" w:cs="新細明體"/>
                                <w:spacing w:val="-4"/>
                                <w:sz w:val="20"/>
                              </w:rPr>
                            </w:pPr>
                            <w:r w:rsidRPr="00653EB8">
                              <w:rPr>
                                <w:rFonts w:ascii="標楷體" w:eastAsia="標楷體" w:hAnsi="標楷體" w:cs="新細明體" w:hint="eastAsia"/>
                                <w:spacing w:val="-4"/>
                                <w:sz w:val="20"/>
                              </w:rPr>
                              <w:t>國家科學及技術委員會</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AA245C2"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13</w:t>
                            </w:r>
                          </w:p>
                        </w:tc>
                        <w:tc>
                          <w:tcPr>
                            <w:tcW w:w="708" w:type="dxa"/>
                            <w:tcBorders>
                              <w:top w:val="single" w:sz="4" w:space="0" w:color="auto"/>
                              <w:left w:val="single" w:sz="4" w:space="0" w:color="auto"/>
                              <w:bottom w:val="single" w:sz="4" w:space="0" w:color="auto"/>
                              <w:right w:val="single" w:sz="4" w:space="0" w:color="auto"/>
                            </w:tcBorders>
                            <w:vAlign w:val="center"/>
                            <w:hideMark/>
                          </w:tcPr>
                          <w:p w14:paraId="3E5B112C"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46AE9BD4"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1</w:t>
                            </w:r>
                          </w:p>
                        </w:tc>
                      </w:tr>
                      <w:tr w:rsidR="00A0212B" w14:paraId="604FD48B" w14:textId="77777777" w:rsidTr="00653EB8">
                        <w:trPr>
                          <w:trHeight w:val="312"/>
                        </w:trPr>
                        <w:tc>
                          <w:tcPr>
                            <w:tcW w:w="2013" w:type="dxa"/>
                            <w:tcBorders>
                              <w:top w:val="single" w:sz="4" w:space="0" w:color="auto"/>
                              <w:left w:val="single" w:sz="4" w:space="0" w:color="auto"/>
                              <w:bottom w:val="single" w:sz="4" w:space="0" w:color="auto"/>
                              <w:right w:val="single" w:sz="4" w:space="0" w:color="auto"/>
                            </w:tcBorders>
                            <w:noWrap/>
                            <w:vAlign w:val="center"/>
                            <w:hideMark/>
                          </w:tcPr>
                          <w:p w14:paraId="239D7BEB" w14:textId="77777777" w:rsidR="00A0212B" w:rsidRPr="00910255" w:rsidRDefault="00A0212B" w:rsidP="00545E5F">
                            <w:pPr>
                              <w:spacing w:line="280" w:lineRule="exact"/>
                              <w:suppressOverlap/>
                              <w:jc w:val="distribute"/>
                              <w:rPr>
                                <w:rFonts w:ascii="標楷體" w:eastAsia="標楷體" w:hAnsi="標楷體" w:cs="新細明體"/>
                                <w:sz w:val="20"/>
                              </w:rPr>
                            </w:pPr>
                            <w:r w:rsidRPr="00653EB8">
                              <w:rPr>
                                <w:rFonts w:ascii="標楷體" w:eastAsia="標楷體" w:hAnsi="標楷體" w:cs="新細明體" w:hint="eastAsia"/>
                                <w:sz w:val="20"/>
                              </w:rPr>
                              <w:t>國家通訊傳播委員會</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6BA7A59C"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cs="新細明體" w:hint="eastAsia"/>
                                <w:sz w:val="20"/>
                              </w:rPr>
                              <w:t>10</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893734" w14:textId="77777777" w:rsidR="00A0212B" w:rsidRPr="00910255" w:rsidRDefault="00A0212B" w:rsidP="00321FC8">
                            <w:pPr>
                              <w:spacing w:line="280" w:lineRule="exact"/>
                              <w:suppressOverlap/>
                              <w:jc w:val="right"/>
                              <w:rPr>
                                <w:rFonts w:ascii="標楷體" w:eastAsia="標楷體" w:hAnsi="標楷體" w:cs="新細明體"/>
                                <w:sz w:val="20"/>
                              </w:rPr>
                            </w:pPr>
                            <w:r w:rsidRPr="00910255">
                              <w:rPr>
                                <w:rFonts w:ascii="標楷體" w:eastAsia="標楷體" w:hAnsi="標楷體" w:hint="eastAsia"/>
                                <w:sz w:val="20"/>
                              </w:rPr>
                              <w:t>－</w:t>
                            </w:r>
                          </w:p>
                        </w:tc>
                        <w:tc>
                          <w:tcPr>
                            <w:tcW w:w="737" w:type="dxa"/>
                            <w:tcBorders>
                              <w:top w:val="single" w:sz="4" w:space="0" w:color="auto"/>
                              <w:left w:val="single" w:sz="4" w:space="0" w:color="auto"/>
                              <w:bottom w:val="single" w:sz="4" w:space="0" w:color="auto"/>
                              <w:right w:val="single" w:sz="4" w:space="0" w:color="auto"/>
                            </w:tcBorders>
                            <w:noWrap/>
                            <w:vAlign w:val="center"/>
                            <w:hideMark/>
                          </w:tcPr>
                          <w:p w14:paraId="40177E29" w14:textId="77777777" w:rsidR="00A0212B" w:rsidRPr="00910255" w:rsidRDefault="00A0212B" w:rsidP="00321FC8">
                            <w:pPr>
                              <w:spacing w:line="280" w:lineRule="exact"/>
                              <w:ind w:rightChars="14" w:right="34"/>
                              <w:suppressOverlap/>
                              <w:jc w:val="right"/>
                              <w:rPr>
                                <w:rFonts w:ascii="標楷體" w:eastAsia="標楷體" w:hAnsi="標楷體" w:cs="新細明體"/>
                                <w:sz w:val="20"/>
                              </w:rPr>
                            </w:pPr>
                            <w:r w:rsidRPr="00910255">
                              <w:rPr>
                                <w:rFonts w:ascii="標楷體" w:eastAsia="標楷體" w:hAnsi="標楷體" w:cs="新細明體" w:hint="eastAsia"/>
                                <w:sz w:val="20"/>
                              </w:rPr>
                              <w:t>1</w:t>
                            </w:r>
                          </w:p>
                        </w:tc>
                      </w:tr>
                      <w:tr w:rsidR="00A0212B" w14:paraId="3102176A" w14:textId="77777777" w:rsidTr="00321FC8">
                        <w:trPr>
                          <w:trHeight w:val="330"/>
                        </w:trPr>
                        <w:tc>
                          <w:tcPr>
                            <w:tcW w:w="4167" w:type="dxa"/>
                            <w:gridSpan w:val="4"/>
                            <w:tcBorders>
                              <w:top w:val="single" w:sz="4" w:space="0" w:color="auto"/>
                              <w:left w:val="nil"/>
                              <w:bottom w:val="nil"/>
                              <w:right w:val="nil"/>
                            </w:tcBorders>
                            <w:noWrap/>
                            <w:vAlign w:val="center"/>
                            <w:hideMark/>
                          </w:tcPr>
                          <w:p w14:paraId="7199B6AE" w14:textId="77777777" w:rsidR="00A0212B" w:rsidRDefault="00A0212B" w:rsidP="00E31547">
                            <w:pPr>
                              <w:wordWrap w:val="0"/>
                              <w:overflowPunct w:val="0"/>
                              <w:spacing w:line="240" w:lineRule="exact"/>
                              <w:ind w:left="918" w:rightChars="42" w:right="101" w:hangingChars="510" w:hanging="918"/>
                              <w:suppressOverlap/>
                              <w:jc w:val="both"/>
                              <w:rPr>
                                <w:rFonts w:ascii="標楷體" w:eastAsia="標楷體" w:hAnsi="標楷體" w:cs="新細明體"/>
                                <w:sz w:val="20"/>
                              </w:rPr>
                            </w:pPr>
                            <w:r>
                              <w:rPr>
                                <w:rFonts w:ascii="標楷體" w:eastAsia="標楷體" w:hAnsi="標楷體" w:cs="新細明體" w:hint="eastAsia"/>
                                <w:bCs/>
                                <w:sz w:val="18"/>
                                <w:szCs w:val="18"/>
                              </w:rPr>
                              <w:t>資料來源：整理自</w:t>
                            </w:r>
                            <w:r w:rsidRPr="00653EB8">
                              <w:rPr>
                                <w:rFonts w:ascii="標楷體" w:eastAsia="標楷體" w:hAnsi="標楷體" w:cs="新細明體" w:hint="eastAsia"/>
                                <w:bCs/>
                                <w:sz w:val="18"/>
                                <w:szCs w:val="18"/>
                              </w:rPr>
                              <w:t>環境保護署（環境部）</w:t>
                            </w:r>
                            <w:r>
                              <w:rPr>
                                <w:rFonts w:ascii="標楷體" w:eastAsia="標楷體" w:hAnsi="標楷體" w:cs="新細明體" w:hint="eastAsia"/>
                                <w:bCs/>
                                <w:sz w:val="18"/>
                                <w:szCs w:val="18"/>
                              </w:rPr>
                              <w:t>焚化再生粒料流向管理系統資料。</w:t>
                            </w:r>
                          </w:p>
                        </w:tc>
                      </w:tr>
                    </w:tbl>
                    <w:p w14:paraId="38490E0E" w14:textId="77777777" w:rsidR="00A0212B" w:rsidRPr="00910255" w:rsidRDefault="00A0212B" w:rsidP="00755030">
                      <w:pPr>
                        <w:rPr>
                          <w:rFonts w:ascii="標楷體" w:eastAsia="標楷體" w:hAnsi="標楷體"/>
                          <w:sz w:val="18"/>
                          <w:szCs w:val="18"/>
                        </w:rPr>
                      </w:pPr>
                    </w:p>
                  </w:txbxContent>
                </v:textbox>
                <w10:wrap type="tight"/>
              </v:shape>
            </w:pict>
          </mc:Fallback>
        </mc:AlternateContent>
      </w:r>
      <w:r w:rsidRPr="00C90774">
        <w:rPr>
          <w:rFonts w:ascii="標楷體" w:eastAsia="標楷體" w:hAnsi="標楷體" w:hint="eastAsia"/>
          <w:snapToGrid w:val="0"/>
          <w:kern w:val="32"/>
        </w:rPr>
        <w:t>生粒料去化目標及績效衡量標準，致部分中央機關使用案件及數量偏低（</w:t>
      </w:r>
      <w:r w:rsidRPr="006678C5">
        <w:rPr>
          <w:rFonts w:ascii="標楷體" w:eastAsia="標楷體" w:hAnsi="標楷體" w:hint="eastAsia"/>
          <w:snapToGrid w:val="0"/>
          <w:kern w:val="32"/>
        </w:rPr>
        <w:t>表</w:t>
      </w:r>
      <w:r w:rsidR="00F56D79" w:rsidRPr="006678C5">
        <w:rPr>
          <w:rFonts w:ascii="標楷體" w:eastAsia="標楷體" w:hAnsi="標楷體" w:hint="eastAsia"/>
          <w:snapToGrid w:val="0"/>
          <w:kern w:val="32"/>
        </w:rPr>
        <w:t>3</w:t>
      </w:r>
      <w:r w:rsidR="001D4056" w:rsidRPr="006678C5">
        <w:rPr>
          <w:rFonts w:ascii="標楷體" w:eastAsia="標楷體" w:hAnsi="標楷體" w:hint="eastAsia"/>
          <w:snapToGrid w:val="0"/>
          <w:kern w:val="32"/>
        </w:rPr>
        <w:t>0</w:t>
      </w:r>
      <w:r w:rsidRPr="00C90774">
        <w:rPr>
          <w:rFonts w:ascii="標楷體" w:eastAsia="標楷體" w:hAnsi="標楷體" w:hint="eastAsia"/>
          <w:snapToGrid w:val="0"/>
          <w:kern w:val="32"/>
        </w:rPr>
        <w:t>）等情事，經函請行政院督促研謀改善。</w:t>
      </w:r>
      <w:r w:rsidRPr="00C90774">
        <w:rPr>
          <w:rFonts w:ascii="標楷體" w:eastAsia="標楷體" w:hAnsi="標楷體" w:cs="細明體" w:hint="eastAsia"/>
        </w:rPr>
        <w:t>據復：1</w:t>
      </w:r>
      <w:r w:rsidRPr="00C90774">
        <w:rPr>
          <w:rFonts w:ascii="標楷體" w:eastAsia="標楷體" w:hAnsi="標楷體" w:cs="細明體"/>
        </w:rPr>
        <w:t>.</w:t>
      </w:r>
      <w:r w:rsidR="00221481">
        <w:rPr>
          <w:rFonts w:ascii="標楷體" w:eastAsia="標楷體" w:hAnsi="標楷體" w:cs="細明體" w:hint="eastAsia"/>
        </w:rPr>
        <w:t>將持續辦理使用手冊之編修作業，</w:t>
      </w:r>
      <w:r w:rsidRPr="00C90774">
        <w:rPr>
          <w:rFonts w:ascii="標楷體" w:eastAsia="標楷體" w:hAnsi="標楷體" w:cs="細明體" w:hint="eastAsia"/>
        </w:rPr>
        <w:t>另有關「低密度再生透水混凝土」等使用手冊（草案），將與第一線執行單位（地方政府）研議後辦理函頒事宜；</w:t>
      </w:r>
      <w:r w:rsidRPr="00C90774">
        <w:rPr>
          <w:rFonts w:ascii="標楷體" w:eastAsia="標楷體" w:hAnsi="標楷體" w:cs="細明體"/>
        </w:rPr>
        <w:t>2.</w:t>
      </w:r>
      <w:r w:rsidRPr="00C90774">
        <w:rPr>
          <w:rFonts w:ascii="標楷體" w:eastAsia="標楷體" w:hAnsi="標楷體" w:cs="細明體" w:hint="eastAsia"/>
        </w:rPr>
        <w:t>針對部分市縣</w:t>
      </w:r>
      <w:r w:rsidR="00221481">
        <w:rPr>
          <w:rFonts w:ascii="標楷體" w:eastAsia="標楷體" w:hAnsi="標楷體" w:cs="細明體" w:hint="eastAsia"/>
        </w:rPr>
        <w:t>政府</w:t>
      </w:r>
      <w:r w:rsidRPr="00C90774">
        <w:rPr>
          <w:rFonts w:ascii="標楷體" w:eastAsia="標楷體" w:hAnsi="標楷體" w:cs="細明體" w:hint="eastAsia"/>
        </w:rPr>
        <w:t>未落實於焚化再生粒料供應且完成使用後完成工程竣工解除列管，環境部環境管理署</w:t>
      </w:r>
      <w:r w:rsidR="00C2362F" w:rsidRPr="00C2362F">
        <w:rPr>
          <w:rFonts w:ascii="標楷體" w:eastAsia="標楷體" w:hAnsi="標楷體" w:cs="細明體" w:hint="eastAsia"/>
        </w:rPr>
        <w:t>（</w:t>
      </w:r>
      <w:r w:rsidRPr="00C90774">
        <w:rPr>
          <w:rFonts w:ascii="標楷體" w:eastAsia="標楷體" w:hAnsi="標楷體" w:cs="細明體" w:hint="eastAsia"/>
        </w:rPr>
        <w:t>下稱環管署</w:t>
      </w:r>
      <w:r w:rsidR="006C41C5" w:rsidRPr="006C41C5">
        <w:rPr>
          <w:rFonts w:ascii="標楷體" w:eastAsia="標楷體" w:hAnsi="標楷體" w:cs="細明體" w:hint="eastAsia"/>
        </w:rPr>
        <w:t>）</w:t>
      </w:r>
      <w:r w:rsidRPr="00C90774">
        <w:rPr>
          <w:rFonts w:ascii="標楷體" w:eastAsia="標楷體" w:hAnsi="標楷體" w:cs="細明體" w:hint="eastAsia"/>
        </w:rPr>
        <w:t>將藉由辦理中央與地方聯繫平台會議，邀集各市縣政府環境保護局進行系統申報及解除列管之作業檢討及教育訓練，輔導地方政府依規定辦理；另評估規劃於RAMS系統建立逾期未解除列管案件之稽核功能；</w:t>
      </w:r>
      <w:r w:rsidRPr="00C90774">
        <w:rPr>
          <w:rFonts w:ascii="標楷體" w:eastAsia="標楷體" w:hAnsi="標楷體" w:cs="細明體"/>
        </w:rPr>
        <w:t>3.</w:t>
      </w:r>
      <w:r w:rsidRPr="00C90774">
        <w:rPr>
          <w:rFonts w:ascii="標楷體" w:eastAsia="標楷體" w:hAnsi="標楷體" w:cs="細明體" w:hint="eastAsia"/>
        </w:rPr>
        <w:t>環管署將藉由辦理中央與地方聯繫平台會議，邀集相關單位進行系統申報之作業檢討及教育訓練；另持續透過「焚化再生粒料再利用管理評鑑計畫」之評鑑制度，將申報異常行為列入</w:t>
      </w:r>
      <w:r w:rsidRPr="004D7C92">
        <w:rPr>
          <w:rFonts w:ascii="標楷體" w:eastAsia="標楷體" w:hAnsi="標楷體" w:cs="細明體" w:hint="eastAsia"/>
          <w:spacing w:val="-4"/>
        </w:rPr>
        <w:t>關鍵績效指標，並進行查核；</w:t>
      </w:r>
      <w:r w:rsidRPr="004D7C92">
        <w:rPr>
          <w:rFonts w:ascii="標楷體" w:eastAsia="標楷體" w:hAnsi="標楷體" w:cs="細明體"/>
          <w:spacing w:val="-4"/>
        </w:rPr>
        <w:t>4.</w:t>
      </w:r>
      <w:r w:rsidRPr="004D7C92">
        <w:rPr>
          <w:rFonts w:ascii="標楷體" w:eastAsia="標楷體" w:hAnsi="標楷體" w:cs="細明體" w:hint="eastAsia"/>
          <w:spacing w:val="-4"/>
        </w:rPr>
        <w:t>後續將辦理「第</w:t>
      </w:r>
      <w:r w:rsidRPr="004D7C92">
        <w:rPr>
          <w:rFonts w:ascii="標楷體" w:eastAsia="標楷體" w:hAnsi="標楷體" w:cs="細明體"/>
          <w:spacing w:val="-4"/>
        </w:rPr>
        <w:t>02741章瀝青混凝土之一般要求」及「第02742章瀝青混凝土鋪面」2章施工綱要規範編修審查作業，將焚化再生粒料納入產品材料使用範疇；5.</w:t>
      </w:r>
      <w:r w:rsidRPr="004D7C92">
        <w:rPr>
          <w:rFonts w:ascii="標楷體" w:eastAsia="標楷體" w:hAnsi="標楷體" w:cs="細明體" w:hint="eastAsia"/>
          <w:spacing w:val="-4"/>
        </w:rPr>
        <w:t>將持續列管及協調相關工程主管部會落實使用焚化再生粒料，達成循環經濟及環境永續之政策。</w:t>
      </w:r>
    </w:p>
    <w:p w14:paraId="5DB16658" w14:textId="103D041B" w:rsidR="00F15171" w:rsidRPr="00BC2940" w:rsidRDefault="00F15171" w:rsidP="00F15171">
      <w:pPr>
        <w:pStyle w:val="affffff1"/>
        <w:spacing w:beforeLines="20" w:before="72" w:line="430" w:lineRule="exact"/>
        <w:ind w:firstLineChars="200" w:firstLine="561"/>
        <w:outlineLvl w:val="1"/>
      </w:pPr>
      <w:r w:rsidRPr="00E31547">
        <w:rPr>
          <w:rStyle w:val="-0"/>
          <w:rFonts w:hint="eastAsia"/>
          <w:sz w:val="28"/>
          <w:szCs w:val="28"/>
        </w:rPr>
        <w:t xml:space="preserve">（二十）　</w:t>
      </w:r>
      <w:r w:rsidRPr="004D7C92">
        <w:rPr>
          <w:rStyle w:val="-0"/>
          <w:rFonts w:hint="eastAsia"/>
          <w:spacing w:val="4"/>
          <w:sz w:val="28"/>
          <w:szCs w:val="28"/>
        </w:rPr>
        <w:t>政府推動營建事業廢棄物再利用，有助減少違法棄置，及促進資源有效利用，惟部分營建事業廢棄物清運車輛超重問題嚴重，執法取締量能有限，且交通部函釋得不適用砂石專用車輛亦未盡合理，</w:t>
      </w:r>
      <w:r w:rsidR="005E51F8">
        <w:rPr>
          <w:rStyle w:val="-0"/>
          <w:rFonts w:hint="eastAsia"/>
          <w:spacing w:val="4"/>
          <w:sz w:val="28"/>
          <w:szCs w:val="28"/>
        </w:rPr>
        <w:t>允宜督促</w:t>
      </w:r>
      <w:r w:rsidRPr="004D7C92">
        <w:rPr>
          <w:rStyle w:val="-0"/>
          <w:rFonts w:hint="eastAsia"/>
          <w:spacing w:val="4"/>
          <w:sz w:val="28"/>
          <w:szCs w:val="28"/>
        </w:rPr>
        <w:t>相關權責機關建立車輛管制與超載通報機制，及研商道路交通管理處罰條例對砂石土方定義之法律明確性。</w:t>
      </w:r>
    </w:p>
    <w:p w14:paraId="79B0364D" w14:textId="77777777" w:rsidR="00F15171" w:rsidRDefault="00F15171" w:rsidP="00F15171">
      <w:pPr>
        <w:pStyle w:val="-"/>
        <w:spacing w:line="430" w:lineRule="exact"/>
        <w:ind w:firstLine="480"/>
        <w:jc w:val="both"/>
      </w:pPr>
      <w:r w:rsidRPr="001C2BBE">
        <w:rPr>
          <w:rFonts w:hint="eastAsia"/>
        </w:rPr>
        <w:t>環境部為有效掌握事業廢棄物清理流向，建置事業廢棄物申報及管理資訊系統，以電子聯單管制，搭配清運車輛GPS全球定位系統，藉以掌握事業廢棄物清運數量及軌跡，避免發生違法傾倒情形。交通部於112年7月28日交路字第1120021466號函，請內政部警政署轉知各警察機關，廢棄物產生源隨車證明文件載明廢棄物種類為土木或建築物廢棄物混合物（D-0599）、營建混合物（R-0503）等營建廢棄物，得不適用道路交通管理處罰條例（下稱道交條例）第29條之1規定使用砂石專用車在案。然而，營建事業廢棄物清運車輛存有超載問題，不僅影響交通安全，且行經道路橋梁時，容易損害橋梁結構安全及加速劣化，及導致道路鋪面龜裂與車轍，甚至使路面下方排水箱涵或自來水管線產生破損等。經查政府管制營建事業廢棄物清運車輛超</w:t>
      </w:r>
      <w:r w:rsidRPr="00091B2C">
        <w:rPr>
          <w:rFonts w:hint="eastAsia"/>
        </w:rPr>
        <w:t>載情形，核有下列事項：</w:t>
      </w:r>
    </w:p>
    <w:p w14:paraId="78201D3B" w14:textId="3A1E8B36" w:rsidR="00F15171" w:rsidRPr="001C2BBE" w:rsidRDefault="00755030" w:rsidP="00F15171">
      <w:pPr>
        <w:pStyle w:val="2-2"/>
        <w:spacing w:line="430" w:lineRule="exact"/>
        <w:jc w:val="both"/>
      </w:pPr>
      <w:r>
        <w:rPr>
          <w:noProof/>
          <w:snapToGrid/>
        </w:rPr>
        <w:lastRenderedPageBreak/>
        <mc:AlternateContent>
          <mc:Choice Requires="wps">
            <w:drawing>
              <wp:anchor distT="45720" distB="45720" distL="114300" distR="114300" simplePos="0" relativeHeight="251671552" behindDoc="1" locked="0" layoutInCell="1" allowOverlap="1" wp14:anchorId="7E731473" wp14:editId="76755D8B">
                <wp:simplePos x="0" y="0"/>
                <wp:positionH relativeFrom="column">
                  <wp:posOffset>1064260</wp:posOffset>
                </wp:positionH>
                <wp:positionV relativeFrom="paragraph">
                  <wp:posOffset>2800985</wp:posOffset>
                </wp:positionV>
                <wp:extent cx="5236845" cy="3481070"/>
                <wp:effectExtent l="0" t="0" r="1905" b="5080"/>
                <wp:wrapTight wrapText="bothSides">
                  <wp:wrapPolygon edited="0">
                    <wp:start x="0" y="0"/>
                    <wp:lineTo x="0" y="21513"/>
                    <wp:lineTo x="21529" y="21513"/>
                    <wp:lineTo x="21529" y="0"/>
                    <wp:lineTo x="0" y="0"/>
                  </wp:wrapPolygon>
                </wp:wrapTight>
                <wp:docPr id="90" name="文字方塊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6845" cy="348107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D07366E" w14:textId="1887F621" w:rsidR="00A0212B" w:rsidRPr="0033693A" w:rsidRDefault="00A0212B" w:rsidP="00BA058C">
                            <w:pPr>
                              <w:jc w:val="center"/>
                              <w:rPr>
                                <w:rFonts w:ascii="標楷體" w:eastAsia="標楷體" w:hAnsi="標楷體"/>
                                <w:b/>
                              </w:rPr>
                            </w:pPr>
                            <w:r w:rsidRPr="0033693A">
                              <w:rPr>
                                <w:rFonts w:ascii="標楷體" w:eastAsia="標楷體" w:hAnsi="標楷體" w:hint="eastAsia"/>
                                <w:b/>
                              </w:rPr>
                              <w:t>表</w:t>
                            </w:r>
                            <w:r>
                              <w:rPr>
                                <w:rFonts w:ascii="標楷體" w:eastAsia="標楷體" w:hAnsi="標楷體"/>
                                <w:b/>
                              </w:rPr>
                              <w:t>31</w:t>
                            </w:r>
                            <w:r w:rsidRPr="0033693A">
                              <w:rPr>
                                <w:rFonts w:ascii="標楷體" w:eastAsia="標楷體" w:hAnsi="標楷體" w:hint="eastAsia"/>
                                <w:b/>
                              </w:rPr>
                              <w:t xml:space="preserve">　305輛廢棄物（R</w:t>
                            </w:r>
                            <w:r w:rsidR="009A3D64" w:rsidRPr="0064256E">
                              <w:rPr>
                                <w:rFonts w:ascii="標楷體" w:eastAsia="標楷體" w:hAnsi="標楷體" w:hint="eastAsia"/>
                                <w:b/>
                              </w:rPr>
                              <w:t>-</w:t>
                            </w:r>
                            <w:r w:rsidRPr="0033693A">
                              <w:rPr>
                                <w:rFonts w:ascii="標楷體" w:eastAsia="標楷體" w:hAnsi="標楷體" w:hint="eastAsia"/>
                                <w:b/>
                              </w:rPr>
                              <w:t>0503、D</w:t>
                            </w:r>
                            <w:r w:rsidR="009A3D64" w:rsidRPr="0064256E">
                              <w:rPr>
                                <w:rFonts w:ascii="標楷體" w:eastAsia="標楷體" w:hAnsi="標楷體" w:hint="eastAsia"/>
                                <w:b/>
                              </w:rPr>
                              <w:t>-</w:t>
                            </w:r>
                            <w:r w:rsidRPr="0033693A">
                              <w:rPr>
                                <w:rFonts w:ascii="標楷體" w:eastAsia="標楷體" w:hAnsi="標楷體" w:hint="eastAsia"/>
                                <w:b/>
                              </w:rPr>
                              <w:t>0599）清運車輛超重情形</w:t>
                            </w:r>
                          </w:p>
                          <w:p w14:paraId="58C00183" w14:textId="77777777" w:rsidR="00A0212B" w:rsidRPr="004E3BE0" w:rsidRDefault="00A0212B" w:rsidP="00093D28">
                            <w:pPr>
                              <w:overflowPunct w:val="0"/>
                              <w:adjustRightInd w:val="0"/>
                              <w:snapToGrid w:val="0"/>
                              <w:ind w:leftChars="-22" w:left="189" w:rightChars="50" w:right="120" w:hangingChars="121" w:hanging="242"/>
                              <w:jc w:val="right"/>
                              <w:rPr>
                                <w:rFonts w:ascii="標楷體" w:eastAsia="標楷體" w:hAnsi="標楷體"/>
                                <w:b/>
                                <w:sz w:val="28"/>
                                <w:szCs w:val="32"/>
                              </w:rPr>
                            </w:pPr>
                            <w:r w:rsidRPr="004E3BE0">
                              <w:rPr>
                                <w:rFonts w:ascii="標楷體" w:eastAsia="標楷體" w:hAnsi="標楷體" w:hint="eastAsia"/>
                                <w:sz w:val="20"/>
                              </w:rPr>
                              <w:t>單位：輛次、％</w:t>
                            </w:r>
                          </w:p>
                          <w:tbl>
                            <w:tblPr>
                              <w:tblW w:w="7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23"/>
                              <w:gridCol w:w="1060"/>
                              <w:gridCol w:w="1083"/>
                              <w:gridCol w:w="1184"/>
                              <w:gridCol w:w="1087"/>
                              <w:gridCol w:w="1189"/>
                              <w:gridCol w:w="1417"/>
                            </w:tblGrid>
                            <w:tr w:rsidR="00A0212B" w:rsidRPr="009549A8" w14:paraId="018DE99E" w14:textId="77777777" w:rsidTr="00F56D79">
                              <w:trPr>
                                <w:trHeight w:val="243"/>
                                <w:tblHeader/>
                                <w:jc w:val="center"/>
                              </w:trPr>
                              <w:tc>
                                <w:tcPr>
                                  <w:tcW w:w="723" w:type="dxa"/>
                                  <w:vMerge w:val="restart"/>
                                  <w:shd w:val="clear" w:color="auto" w:fill="auto"/>
                                  <w:noWrap/>
                                  <w:vAlign w:val="center"/>
                                  <w:hideMark/>
                                </w:tcPr>
                                <w:p w14:paraId="5906D97A"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年度</w:t>
                                  </w:r>
                                </w:p>
                              </w:tc>
                              <w:tc>
                                <w:tcPr>
                                  <w:tcW w:w="1060" w:type="dxa"/>
                                  <w:vMerge w:val="restart"/>
                                  <w:shd w:val="clear" w:color="auto" w:fill="auto"/>
                                  <w:noWrap/>
                                  <w:vAlign w:val="center"/>
                                  <w:hideMark/>
                                </w:tcPr>
                                <w:p w14:paraId="76D203D2" w14:textId="4E8BDE4F" w:rsidR="00A0212B" w:rsidRPr="009549A8" w:rsidRDefault="00A0212B" w:rsidP="00561F2C">
                                  <w:pPr>
                                    <w:jc w:val="center"/>
                                    <w:rPr>
                                      <w:rFonts w:ascii="標楷體" w:eastAsia="標楷體" w:hAnsi="標楷體" w:cs="新細明體"/>
                                      <w:color w:val="000000"/>
                                      <w:sz w:val="20"/>
                                    </w:rPr>
                                  </w:pPr>
                                  <w:r>
                                    <w:rPr>
                                      <w:rFonts w:ascii="標楷體" w:eastAsia="標楷體" w:hAnsi="標楷體" w:cs="新細明體" w:hint="eastAsia"/>
                                      <w:color w:val="000000"/>
                                      <w:sz w:val="20"/>
                                    </w:rPr>
                                    <w:t>項目</w:t>
                                  </w:r>
                                </w:p>
                              </w:tc>
                              <w:tc>
                                <w:tcPr>
                                  <w:tcW w:w="1083" w:type="dxa"/>
                                  <w:vMerge w:val="restart"/>
                                  <w:vAlign w:val="center"/>
                                </w:tcPr>
                                <w:p w14:paraId="71E97BB5" w14:textId="77777777" w:rsidR="00A0212B" w:rsidRPr="00E31547" w:rsidRDefault="00A0212B" w:rsidP="00561F2C">
                                  <w:pPr>
                                    <w:jc w:val="center"/>
                                    <w:rPr>
                                      <w:rFonts w:ascii="標楷體" w:eastAsia="標楷體" w:hAnsi="標楷體" w:cs="新細明體"/>
                                      <w:color w:val="000000"/>
                                      <w:sz w:val="20"/>
                                    </w:rPr>
                                  </w:pPr>
                                  <w:r w:rsidRPr="00E31547">
                                    <w:rPr>
                                      <w:rFonts w:ascii="標楷體" w:eastAsia="標楷體" w:hAnsi="標楷體" w:cs="新細明體" w:hint="eastAsia"/>
                                      <w:color w:val="000000"/>
                                      <w:sz w:val="20"/>
                                    </w:rPr>
                                    <w:t>合計</w:t>
                                  </w:r>
                                </w:p>
                              </w:tc>
                              <w:tc>
                                <w:tcPr>
                                  <w:tcW w:w="4877" w:type="dxa"/>
                                  <w:gridSpan w:val="4"/>
                                  <w:shd w:val="clear" w:color="auto" w:fill="auto"/>
                                  <w:noWrap/>
                                  <w:vAlign w:val="center"/>
                                </w:tcPr>
                                <w:p w14:paraId="253BC8AA" w14:textId="2D5584CA" w:rsidR="00A0212B" w:rsidRPr="009549A8" w:rsidRDefault="00A0212B">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(車重+申報重量</w:t>
                                  </w:r>
                                  <w:r w:rsidRPr="009549A8">
                                    <w:rPr>
                                      <w:rFonts w:ascii="標楷體" w:eastAsia="標楷體" w:hAnsi="標楷體" w:cs="新細明體"/>
                                      <w:color w:val="000000"/>
                                      <w:sz w:val="20"/>
                                    </w:rPr>
                                    <w:t>)</w:t>
                                  </w:r>
                                  <w:r>
                                    <w:rPr>
                                      <w:rFonts w:ascii="標楷體" w:eastAsia="標楷體" w:hAnsi="標楷體" w:cs="新細明體" w:hint="eastAsia"/>
                                      <w:color w:val="000000"/>
                                      <w:sz w:val="20"/>
                                    </w:rPr>
                                    <w:t>與</w:t>
                                  </w:r>
                                  <w:r w:rsidRPr="009549A8">
                                    <w:rPr>
                                      <w:rFonts w:ascii="標楷體" w:eastAsia="標楷體" w:hAnsi="標楷體" w:cs="新細明體" w:hint="eastAsia"/>
                                      <w:color w:val="000000"/>
                                      <w:sz w:val="20"/>
                                    </w:rPr>
                                    <w:t>核定總聯結重量</w:t>
                                  </w:r>
                                  <w:r>
                                    <w:rPr>
                                      <w:rFonts w:ascii="標楷體" w:eastAsia="標楷體" w:hAnsi="標楷體" w:cs="新細明體" w:hint="eastAsia"/>
                                      <w:color w:val="000000"/>
                                      <w:sz w:val="20"/>
                                    </w:rPr>
                                    <w:t>比較</w:t>
                                  </w:r>
                                </w:p>
                              </w:tc>
                            </w:tr>
                            <w:tr w:rsidR="00A0212B" w:rsidRPr="009549A8" w14:paraId="66C1B423" w14:textId="77777777" w:rsidTr="00E31547">
                              <w:trPr>
                                <w:trHeight w:val="246"/>
                                <w:tblHeader/>
                                <w:jc w:val="center"/>
                              </w:trPr>
                              <w:tc>
                                <w:tcPr>
                                  <w:tcW w:w="723" w:type="dxa"/>
                                  <w:vMerge/>
                                  <w:shd w:val="clear" w:color="auto" w:fill="auto"/>
                                  <w:noWrap/>
                                  <w:vAlign w:val="center"/>
                                </w:tcPr>
                                <w:p w14:paraId="3C480D4B" w14:textId="77777777" w:rsidR="00A0212B" w:rsidRPr="009549A8" w:rsidRDefault="00A0212B" w:rsidP="00561F2C">
                                  <w:pPr>
                                    <w:jc w:val="center"/>
                                    <w:rPr>
                                      <w:rFonts w:ascii="標楷體" w:eastAsia="標楷體" w:hAnsi="標楷體" w:cs="新細明體"/>
                                      <w:color w:val="000000"/>
                                      <w:sz w:val="20"/>
                                    </w:rPr>
                                  </w:pPr>
                                </w:p>
                              </w:tc>
                              <w:tc>
                                <w:tcPr>
                                  <w:tcW w:w="1060" w:type="dxa"/>
                                  <w:vMerge/>
                                  <w:shd w:val="clear" w:color="auto" w:fill="auto"/>
                                  <w:noWrap/>
                                  <w:vAlign w:val="center"/>
                                </w:tcPr>
                                <w:p w14:paraId="3332C73F" w14:textId="77777777" w:rsidR="00A0212B" w:rsidRPr="009549A8" w:rsidRDefault="00A0212B" w:rsidP="00561F2C">
                                  <w:pPr>
                                    <w:jc w:val="center"/>
                                    <w:rPr>
                                      <w:rFonts w:ascii="標楷體" w:eastAsia="標楷體" w:hAnsi="標楷體" w:cs="新細明體"/>
                                      <w:color w:val="000000"/>
                                      <w:sz w:val="20"/>
                                    </w:rPr>
                                  </w:pPr>
                                </w:p>
                              </w:tc>
                              <w:tc>
                                <w:tcPr>
                                  <w:tcW w:w="1083" w:type="dxa"/>
                                  <w:vMerge/>
                                  <w:vAlign w:val="center"/>
                                </w:tcPr>
                                <w:p w14:paraId="3E128864" w14:textId="77777777" w:rsidR="00A0212B" w:rsidRPr="0033693A" w:rsidRDefault="00A0212B" w:rsidP="00561F2C">
                                  <w:pPr>
                                    <w:jc w:val="center"/>
                                    <w:rPr>
                                      <w:rFonts w:ascii="標楷體" w:eastAsia="標楷體" w:hAnsi="標楷體" w:cs="新細明體"/>
                                      <w:b/>
                                      <w:color w:val="000000"/>
                                      <w:sz w:val="20"/>
                                    </w:rPr>
                                  </w:pPr>
                                </w:p>
                              </w:tc>
                              <w:tc>
                                <w:tcPr>
                                  <w:tcW w:w="1184" w:type="dxa"/>
                                  <w:vMerge w:val="restart"/>
                                  <w:tcBorders>
                                    <w:right w:val="single" w:sz="4" w:space="0" w:color="auto"/>
                                  </w:tcBorders>
                                  <w:shd w:val="clear" w:color="auto" w:fill="auto"/>
                                  <w:noWrap/>
                                  <w:vAlign w:val="center"/>
                                </w:tcPr>
                                <w:p w14:paraId="68072943"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未超重</w:t>
                                  </w:r>
                                </w:p>
                              </w:tc>
                              <w:tc>
                                <w:tcPr>
                                  <w:tcW w:w="1087" w:type="dxa"/>
                                  <w:vMerge w:val="restart"/>
                                  <w:tcBorders>
                                    <w:top w:val="single" w:sz="4" w:space="0" w:color="auto"/>
                                    <w:left w:val="single" w:sz="4" w:space="0" w:color="auto"/>
                                    <w:right w:val="nil"/>
                                  </w:tcBorders>
                                  <w:shd w:val="clear" w:color="auto" w:fill="auto"/>
                                  <w:noWrap/>
                                  <w:vAlign w:val="center"/>
                                </w:tcPr>
                                <w:p w14:paraId="058CE350"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超重</w:t>
                                  </w:r>
                                </w:p>
                              </w:tc>
                              <w:tc>
                                <w:tcPr>
                                  <w:tcW w:w="2606" w:type="dxa"/>
                                  <w:gridSpan w:val="2"/>
                                  <w:tcBorders>
                                    <w:top w:val="nil"/>
                                    <w:left w:val="nil"/>
                                    <w:bottom w:val="nil"/>
                                    <w:right w:val="single" w:sz="4" w:space="0" w:color="000000"/>
                                  </w:tcBorders>
                                  <w:shd w:val="clear" w:color="auto" w:fill="auto"/>
                                  <w:vAlign w:val="center"/>
                                </w:tcPr>
                                <w:p w14:paraId="75C6CD5F" w14:textId="3A1CFFC4" w:rsidR="00A0212B" w:rsidRPr="009549A8" w:rsidRDefault="00A0212B" w:rsidP="00561F2C">
                                  <w:pPr>
                                    <w:jc w:val="center"/>
                                    <w:rPr>
                                      <w:rFonts w:ascii="標楷體" w:eastAsia="標楷體" w:hAnsi="標楷體" w:cs="新細明體"/>
                                      <w:color w:val="000000"/>
                                      <w:sz w:val="20"/>
                                    </w:rPr>
                                  </w:pPr>
                                </w:p>
                              </w:tc>
                            </w:tr>
                            <w:tr w:rsidR="00A0212B" w:rsidRPr="009549A8" w14:paraId="6B4FF49B" w14:textId="77777777" w:rsidTr="00E31547">
                              <w:trPr>
                                <w:trHeight w:val="296"/>
                                <w:tblHeader/>
                                <w:jc w:val="center"/>
                              </w:trPr>
                              <w:tc>
                                <w:tcPr>
                                  <w:tcW w:w="723" w:type="dxa"/>
                                  <w:vMerge/>
                                  <w:shd w:val="clear" w:color="auto" w:fill="auto"/>
                                  <w:noWrap/>
                                  <w:vAlign w:val="center"/>
                                </w:tcPr>
                                <w:p w14:paraId="3028A205" w14:textId="77777777" w:rsidR="00A0212B" w:rsidRPr="009549A8" w:rsidRDefault="00A0212B" w:rsidP="00561F2C">
                                  <w:pPr>
                                    <w:jc w:val="center"/>
                                    <w:rPr>
                                      <w:rFonts w:ascii="標楷體" w:eastAsia="標楷體" w:hAnsi="標楷體" w:cs="新細明體"/>
                                      <w:color w:val="000000"/>
                                      <w:sz w:val="20"/>
                                    </w:rPr>
                                  </w:pPr>
                                </w:p>
                              </w:tc>
                              <w:tc>
                                <w:tcPr>
                                  <w:tcW w:w="1060" w:type="dxa"/>
                                  <w:vMerge/>
                                  <w:shd w:val="clear" w:color="auto" w:fill="auto"/>
                                  <w:noWrap/>
                                  <w:vAlign w:val="center"/>
                                </w:tcPr>
                                <w:p w14:paraId="21DC6499" w14:textId="77777777" w:rsidR="00A0212B" w:rsidRPr="009549A8" w:rsidRDefault="00A0212B" w:rsidP="00561F2C">
                                  <w:pPr>
                                    <w:jc w:val="center"/>
                                    <w:rPr>
                                      <w:rFonts w:ascii="標楷體" w:eastAsia="標楷體" w:hAnsi="標楷體" w:cs="新細明體"/>
                                      <w:color w:val="000000"/>
                                      <w:sz w:val="20"/>
                                    </w:rPr>
                                  </w:pPr>
                                </w:p>
                              </w:tc>
                              <w:tc>
                                <w:tcPr>
                                  <w:tcW w:w="1083" w:type="dxa"/>
                                  <w:vMerge/>
                                  <w:vAlign w:val="center"/>
                                </w:tcPr>
                                <w:p w14:paraId="1F0BFFB3" w14:textId="77777777" w:rsidR="00A0212B" w:rsidRPr="0033693A" w:rsidRDefault="00A0212B" w:rsidP="00561F2C">
                                  <w:pPr>
                                    <w:jc w:val="center"/>
                                    <w:rPr>
                                      <w:rFonts w:ascii="標楷體" w:eastAsia="標楷體" w:hAnsi="標楷體" w:cs="新細明體"/>
                                      <w:b/>
                                      <w:color w:val="000000"/>
                                      <w:sz w:val="20"/>
                                    </w:rPr>
                                  </w:pPr>
                                </w:p>
                              </w:tc>
                              <w:tc>
                                <w:tcPr>
                                  <w:tcW w:w="1184" w:type="dxa"/>
                                  <w:vMerge/>
                                  <w:tcBorders>
                                    <w:right w:val="single" w:sz="4" w:space="0" w:color="auto"/>
                                  </w:tcBorders>
                                  <w:shd w:val="clear" w:color="auto" w:fill="auto"/>
                                  <w:noWrap/>
                                  <w:vAlign w:val="center"/>
                                </w:tcPr>
                                <w:p w14:paraId="2A5D3FC2" w14:textId="77777777" w:rsidR="00A0212B" w:rsidRPr="009549A8" w:rsidRDefault="00A0212B" w:rsidP="00561F2C">
                                  <w:pPr>
                                    <w:jc w:val="center"/>
                                    <w:rPr>
                                      <w:rFonts w:ascii="標楷體" w:eastAsia="標楷體" w:hAnsi="標楷體" w:cs="新細明體"/>
                                      <w:color w:val="000000"/>
                                      <w:sz w:val="20"/>
                                    </w:rPr>
                                  </w:pPr>
                                </w:p>
                              </w:tc>
                              <w:tc>
                                <w:tcPr>
                                  <w:tcW w:w="1087" w:type="dxa"/>
                                  <w:vMerge/>
                                  <w:tcBorders>
                                    <w:left w:val="single" w:sz="4" w:space="0" w:color="auto"/>
                                    <w:bottom w:val="single" w:sz="4" w:space="0" w:color="auto"/>
                                    <w:right w:val="single" w:sz="4" w:space="0" w:color="auto"/>
                                  </w:tcBorders>
                                  <w:shd w:val="clear" w:color="auto" w:fill="auto"/>
                                  <w:noWrap/>
                                  <w:vAlign w:val="center"/>
                                </w:tcPr>
                                <w:p w14:paraId="5663C520" w14:textId="77777777" w:rsidR="00A0212B" w:rsidRPr="009549A8" w:rsidRDefault="00A0212B" w:rsidP="00E31547">
                                  <w:pPr>
                                    <w:rPr>
                                      <w:rFonts w:ascii="標楷體" w:eastAsia="標楷體" w:hAnsi="標楷體" w:cs="新細明體"/>
                                      <w:color w:val="000000"/>
                                      <w:sz w:val="20"/>
                                    </w:rPr>
                                  </w:pPr>
                                </w:p>
                              </w:tc>
                              <w:tc>
                                <w:tcPr>
                                  <w:tcW w:w="1189" w:type="dxa"/>
                                  <w:tcBorders>
                                    <w:left w:val="single" w:sz="4" w:space="0" w:color="auto"/>
                                  </w:tcBorders>
                                  <w:shd w:val="clear" w:color="auto" w:fill="auto"/>
                                  <w:vAlign w:val="center"/>
                                </w:tcPr>
                                <w:p w14:paraId="4C8E39AF" w14:textId="615B0D6F" w:rsidR="00A0212B" w:rsidRPr="009549A8" w:rsidRDefault="00A0212B" w:rsidP="00561F2C">
                                  <w:pPr>
                                    <w:jc w:val="center"/>
                                    <w:rPr>
                                      <w:rFonts w:ascii="標楷體" w:eastAsia="標楷體" w:hAnsi="標楷體" w:cs="新細明體"/>
                                      <w:color w:val="000000"/>
                                      <w:sz w:val="20"/>
                                    </w:rPr>
                                  </w:pPr>
                                  <w:r>
                                    <w:rPr>
                                      <w:rFonts w:ascii="標楷體" w:eastAsia="標楷體" w:hAnsi="標楷體" w:cs="新細明體" w:hint="eastAsia"/>
                                      <w:color w:val="000000"/>
                                      <w:sz w:val="20"/>
                                    </w:rPr>
                                    <w:t>未逾</w:t>
                                  </w:r>
                                  <w:r w:rsidRPr="009549A8">
                                    <w:rPr>
                                      <w:rFonts w:ascii="標楷體" w:eastAsia="標楷體" w:hAnsi="標楷體" w:cs="新細明體" w:hint="eastAsia"/>
                                      <w:color w:val="000000"/>
                                      <w:sz w:val="20"/>
                                    </w:rPr>
                                    <w:t>10％</w:t>
                                  </w:r>
                                </w:p>
                              </w:tc>
                              <w:tc>
                                <w:tcPr>
                                  <w:tcW w:w="1417" w:type="dxa"/>
                                  <w:vAlign w:val="center"/>
                                </w:tcPr>
                                <w:p w14:paraId="0747DF58"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逾10％</w:t>
                                  </w:r>
                                </w:p>
                              </w:tc>
                            </w:tr>
                            <w:tr w:rsidR="00A0212B" w:rsidRPr="009549A8" w14:paraId="6FB3F6DC" w14:textId="77777777" w:rsidTr="00E31547">
                              <w:trPr>
                                <w:trHeight w:val="300"/>
                                <w:jc w:val="center"/>
                              </w:trPr>
                              <w:tc>
                                <w:tcPr>
                                  <w:tcW w:w="723" w:type="dxa"/>
                                  <w:vMerge w:val="restart"/>
                                  <w:shd w:val="clear" w:color="auto" w:fill="auto"/>
                                  <w:noWrap/>
                                  <w:vAlign w:val="center"/>
                                </w:tcPr>
                                <w:p w14:paraId="7567BCA4" w14:textId="77777777" w:rsidR="00A0212B" w:rsidRPr="00C86990" w:rsidRDefault="00A0212B" w:rsidP="00561F2C">
                                  <w:pPr>
                                    <w:jc w:val="center"/>
                                    <w:rPr>
                                      <w:rFonts w:ascii="標楷體" w:eastAsia="標楷體" w:hAnsi="標楷體" w:cs="新細明體"/>
                                      <w:b/>
                                      <w:color w:val="000000"/>
                                      <w:sz w:val="20"/>
                                    </w:rPr>
                                  </w:pPr>
                                  <w:r w:rsidRPr="00C86990">
                                    <w:rPr>
                                      <w:rFonts w:ascii="標楷體" w:eastAsia="標楷體" w:hAnsi="標楷體" w:cs="新細明體" w:hint="eastAsia"/>
                                      <w:b/>
                                      <w:color w:val="000000"/>
                                      <w:sz w:val="20"/>
                                    </w:rPr>
                                    <w:t>合計</w:t>
                                  </w:r>
                                </w:p>
                              </w:tc>
                              <w:tc>
                                <w:tcPr>
                                  <w:tcW w:w="1060" w:type="dxa"/>
                                  <w:shd w:val="clear" w:color="auto" w:fill="auto"/>
                                  <w:noWrap/>
                                  <w:vAlign w:val="center"/>
                                </w:tcPr>
                                <w:p w14:paraId="27BCD3CB" w14:textId="77777777" w:rsidR="00A0212B" w:rsidRPr="00C86990" w:rsidRDefault="00A0212B" w:rsidP="00561F2C">
                                  <w:pPr>
                                    <w:jc w:val="center"/>
                                    <w:rPr>
                                      <w:rFonts w:ascii="標楷體" w:eastAsia="標楷體" w:hAnsi="標楷體" w:cs="新細明體"/>
                                      <w:b/>
                                      <w:color w:val="000000"/>
                                      <w:sz w:val="20"/>
                                    </w:rPr>
                                  </w:pPr>
                                  <w:r w:rsidRPr="00C86990">
                                    <w:rPr>
                                      <w:rFonts w:ascii="標楷體" w:eastAsia="標楷體" w:hAnsi="標楷體" w:cs="新細明體" w:hint="eastAsia"/>
                                      <w:b/>
                                      <w:color w:val="000000"/>
                                      <w:sz w:val="20"/>
                                    </w:rPr>
                                    <w:t>輛次</w:t>
                                  </w:r>
                                </w:p>
                              </w:tc>
                              <w:tc>
                                <w:tcPr>
                                  <w:tcW w:w="1083" w:type="dxa"/>
                                  <w:shd w:val="clear" w:color="auto" w:fill="auto"/>
                                  <w:vAlign w:val="bottom"/>
                                </w:tcPr>
                                <w:p w14:paraId="1215E219"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36,581</w:t>
                                  </w:r>
                                </w:p>
                              </w:tc>
                              <w:tc>
                                <w:tcPr>
                                  <w:tcW w:w="1184" w:type="dxa"/>
                                  <w:shd w:val="clear" w:color="auto" w:fill="auto"/>
                                  <w:noWrap/>
                                  <w:vAlign w:val="bottom"/>
                                </w:tcPr>
                                <w:p w14:paraId="6C8F9A44"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11,129</w:t>
                                  </w:r>
                                </w:p>
                              </w:tc>
                              <w:tc>
                                <w:tcPr>
                                  <w:tcW w:w="1087" w:type="dxa"/>
                                  <w:tcBorders>
                                    <w:top w:val="single" w:sz="4" w:space="0" w:color="auto"/>
                                  </w:tcBorders>
                                  <w:shd w:val="clear" w:color="auto" w:fill="auto"/>
                                  <w:noWrap/>
                                  <w:vAlign w:val="bottom"/>
                                </w:tcPr>
                                <w:p w14:paraId="5C1E23F4"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25,452</w:t>
                                  </w:r>
                                </w:p>
                              </w:tc>
                              <w:tc>
                                <w:tcPr>
                                  <w:tcW w:w="1189" w:type="dxa"/>
                                  <w:shd w:val="clear" w:color="auto" w:fill="auto"/>
                                  <w:vAlign w:val="bottom"/>
                                </w:tcPr>
                                <w:p w14:paraId="0B562E39"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4,728</w:t>
                                  </w:r>
                                </w:p>
                              </w:tc>
                              <w:tc>
                                <w:tcPr>
                                  <w:tcW w:w="1417" w:type="dxa"/>
                                  <w:shd w:val="clear" w:color="auto" w:fill="auto"/>
                                  <w:vAlign w:val="bottom"/>
                                </w:tcPr>
                                <w:p w14:paraId="0437E760"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20,724</w:t>
                                  </w:r>
                                </w:p>
                              </w:tc>
                            </w:tr>
                            <w:tr w:rsidR="00A0212B" w:rsidRPr="009549A8" w14:paraId="110962CB" w14:textId="77777777" w:rsidTr="00E31547">
                              <w:trPr>
                                <w:trHeight w:val="300"/>
                                <w:jc w:val="center"/>
                              </w:trPr>
                              <w:tc>
                                <w:tcPr>
                                  <w:tcW w:w="723" w:type="dxa"/>
                                  <w:vMerge/>
                                  <w:shd w:val="clear" w:color="auto" w:fill="auto"/>
                                  <w:noWrap/>
                                  <w:vAlign w:val="center"/>
                                </w:tcPr>
                                <w:p w14:paraId="66123D79" w14:textId="77777777" w:rsidR="00A0212B" w:rsidRPr="00C86990" w:rsidRDefault="00A0212B" w:rsidP="00561F2C">
                                  <w:pPr>
                                    <w:jc w:val="center"/>
                                    <w:rPr>
                                      <w:rFonts w:ascii="標楷體" w:eastAsia="標楷體" w:hAnsi="標楷體" w:cs="新細明體"/>
                                      <w:b/>
                                      <w:color w:val="000000"/>
                                      <w:sz w:val="20"/>
                                    </w:rPr>
                                  </w:pPr>
                                </w:p>
                              </w:tc>
                              <w:tc>
                                <w:tcPr>
                                  <w:tcW w:w="1060" w:type="dxa"/>
                                  <w:shd w:val="clear" w:color="auto" w:fill="auto"/>
                                  <w:noWrap/>
                                  <w:vAlign w:val="center"/>
                                </w:tcPr>
                                <w:p w14:paraId="64CD25FE" w14:textId="77777777" w:rsidR="00A0212B" w:rsidRPr="00C86990" w:rsidRDefault="00A0212B" w:rsidP="00561F2C">
                                  <w:pPr>
                                    <w:jc w:val="center"/>
                                    <w:rPr>
                                      <w:rFonts w:ascii="標楷體" w:eastAsia="標楷體" w:hAnsi="標楷體" w:cs="新細明體"/>
                                      <w:b/>
                                      <w:color w:val="000000"/>
                                      <w:sz w:val="20"/>
                                    </w:rPr>
                                  </w:pPr>
                                  <w:r w:rsidRPr="00C86990">
                                    <w:rPr>
                                      <w:rFonts w:ascii="標楷體" w:eastAsia="標楷體" w:hAnsi="標楷體" w:cs="新細明體" w:hint="eastAsia"/>
                                      <w:b/>
                                      <w:color w:val="000000"/>
                                      <w:sz w:val="20"/>
                                    </w:rPr>
                                    <w:t>百分比</w:t>
                                  </w:r>
                                </w:p>
                              </w:tc>
                              <w:tc>
                                <w:tcPr>
                                  <w:tcW w:w="1083" w:type="dxa"/>
                                  <w:shd w:val="clear" w:color="auto" w:fill="auto"/>
                                  <w:vAlign w:val="bottom"/>
                                </w:tcPr>
                                <w:p w14:paraId="2D3775B7"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100.00</w:t>
                                  </w:r>
                                </w:p>
                              </w:tc>
                              <w:tc>
                                <w:tcPr>
                                  <w:tcW w:w="1184" w:type="dxa"/>
                                  <w:shd w:val="clear" w:color="auto" w:fill="auto"/>
                                  <w:noWrap/>
                                  <w:vAlign w:val="bottom"/>
                                </w:tcPr>
                                <w:p w14:paraId="43ABAB4C"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30.42</w:t>
                                  </w:r>
                                </w:p>
                              </w:tc>
                              <w:tc>
                                <w:tcPr>
                                  <w:tcW w:w="1087" w:type="dxa"/>
                                  <w:shd w:val="clear" w:color="auto" w:fill="auto"/>
                                  <w:noWrap/>
                                  <w:vAlign w:val="bottom"/>
                                </w:tcPr>
                                <w:p w14:paraId="2BD756D5"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69.58</w:t>
                                  </w:r>
                                </w:p>
                              </w:tc>
                              <w:tc>
                                <w:tcPr>
                                  <w:tcW w:w="1189" w:type="dxa"/>
                                  <w:shd w:val="clear" w:color="auto" w:fill="auto"/>
                                  <w:vAlign w:val="bottom"/>
                                </w:tcPr>
                                <w:p w14:paraId="7F2AE325"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12.92</w:t>
                                  </w:r>
                                </w:p>
                              </w:tc>
                              <w:tc>
                                <w:tcPr>
                                  <w:tcW w:w="1417" w:type="dxa"/>
                                  <w:shd w:val="clear" w:color="auto" w:fill="auto"/>
                                  <w:vAlign w:val="bottom"/>
                                </w:tcPr>
                                <w:p w14:paraId="2B59045E"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56.65</w:t>
                                  </w:r>
                                </w:p>
                              </w:tc>
                            </w:tr>
                            <w:tr w:rsidR="00A0212B" w:rsidRPr="009549A8" w14:paraId="7176C1C5" w14:textId="77777777" w:rsidTr="00E31547">
                              <w:trPr>
                                <w:trHeight w:val="300"/>
                                <w:jc w:val="center"/>
                              </w:trPr>
                              <w:tc>
                                <w:tcPr>
                                  <w:tcW w:w="723" w:type="dxa"/>
                                  <w:vMerge w:val="restart"/>
                                  <w:shd w:val="clear" w:color="auto" w:fill="auto"/>
                                  <w:noWrap/>
                                  <w:vAlign w:val="center"/>
                                  <w:hideMark/>
                                </w:tcPr>
                                <w:p w14:paraId="301FB4A7"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109</w:t>
                                  </w:r>
                                </w:p>
                              </w:tc>
                              <w:tc>
                                <w:tcPr>
                                  <w:tcW w:w="1060" w:type="dxa"/>
                                  <w:shd w:val="clear" w:color="auto" w:fill="auto"/>
                                  <w:noWrap/>
                                  <w:vAlign w:val="center"/>
                                  <w:hideMark/>
                                </w:tcPr>
                                <w:p w14:paraId="4B623944"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輛次</w:t>
                                  </w:r>
                                </w:p>
                              </w:tc>
                              <w:tc>
                                <w:tcPr>
                                  <w:tcW w:w="1083" w:type="dxa"/>
                                  <w:shd w:val="clear" w:color="auto" w:fill="auto"/>
                                  <w:vAlign w:val="bottom"/>
                                </w:tcPr>
                                <w:p w14:paraId="123BD44D"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11,342</w:t>
                                  </w:r>
                                </w:p>
                              </w:tc>
                              <w:tc>
                                <w:tcPr>
                                  <w:tcW w:w="1184" w:type="dxa"/>
                                  <w:shd w:val="clear" w:color="auto" w:fill="auto"/>
                                  <w:noWrap/>
                                  <w:vAlign w:val="bottom"/>
                                </w:tcPr>
                                <w:p w14:paraId="1C4C4559"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2,530</w:t>
                                  </w:r>
                                </w:p>
                              </w:tc>
                              <w:tc>
                                <w:tcPr>
                                  <w:tcW w:w="1087" w:type="dxa"/>
                                  <w:shd w:val="clear" w:color="auto" w:fill="auto"/>
                                  <w:noWrap/>
                                  <w:vAlign w:val="bottom"/>
                                </w:tcPr>
                                <w:p w14:paraId="350D23BA"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8,812</w:t>
                                  </w:r>
                                </w:p>
                              </w:tc>
                              <w:tc>
                                <w:tcPr>
                                  <w:tcW w:w="1189" w:type="dxa"/>
                                  <w:shd w:val="clear" w:color="auto" w:fill="auto"/>
                                  <w:vAlign w:val="bottom"/>
                                </w:tcPr>
                                <w:p w14:paraId="5420597B"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1,555</w:t>
                                  </w:r>
                                </w:p>
                              </w:tc>
                              <w:tc>
                                <w:tcPr>
                                  <w:tcW w:w="1417" w:type="dxa"/>
                                  <w:shd w:val="clear" w:color="auto" w:fill="auto"/>
                                  <w:vAlign w:val="bottom"/>
                                </w:tcPr>
                                <w:p w14:paraId="7815A563"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7,257</w:t>
                                  </w:r>
                                </w:p>
                              </w:tc>
                            </w:tr>
                            <w:tr w:rsidR="00A0212B" w:rsidRPr="009549A8" w14:paraId="29275D02" w14:textId="77777777" w:rsidTr="00E31547">
                              <w:trPr>
                                <w:trHeight w:val="300"/>
                                <w:jc w:val="center"/>
                              </w:trPr>
                              <w:tc>
                                <w:tcPr>
                                  <w:tcW w:w="723" w:type="dxa"/>
                                  <w:vMerge/>
                                  <w:vAlign w:val="center"/>
                                  <w:hideMark/>
                                </w:tcPr>
                                <w:p w14:paraId="73F497AD" w14:textId="77777777" w:rsidR="00A0212B" w:rsidRPr="009549A8" w:rsidRDefault="00A0212B" w:rsidP="00561F2C">
                                  <w:pPr>
                                    <w:rPr>
                                      <w:rFonts w:ascii="標楷體" w:eastAsia="標楷體" w:hAnsi="標楷體" w:cs="新細明體"/>
                                      <w:color w:val="000000"/>
                                      <w:sz w:val="20"/>
                                    </w:rPr>
                                  </w:pPr>
                                </w:p>
                              </w:tc>
                              <w:tc>
                                <w:tcPr>
                                  <w:tcW w:w="1060" w:type="dxa"/>
                                  <w:shd w:val="clear" w:color="auto" w:fill="auto"/>
                                  <w:noWrap/>
                                  <w:vAlign w:val="center"/>
                                  <w:hideMark/>
                                </w:tcPr>
                                <w:p w14:paraId="096BC475"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百分比</w:t>
                                  </w:r>
                                </w:p>
                              </w:tc>
                              <w:tc>
                                <w:tcPr>
                                  <w:tcW w:w="1083" w:type="dxa"/>
                                  <w:shd w:val="clear" w:color="auto" w:fill="auto"/>
                                  <w:vAlign w:val="bottom"/>
                                </w:tcPr>
                                <w:p w14:paraId="065C72AE"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100.00</w:t>
                                  </w:r>
                                </w:p>
                              </w:tc>
                              <w:tc>
                                <w:tcPr>
                                  <w:tcW w:w="1184" w:type="dxa"/>
                                  <w:shd w:val="clear" w:color="auto" w:fill="auto"/>
                                  <w:noWrap/>
                                  <w:vAlign w:val="bottom"/>
                                </w:tcPr>
                                <w:p w14:paraId="23A83D34"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22.31</w:t>
                                  </w:r>
                                </w:p>
                              </w:tc>
                              <w:tc>
                                <w:tcPr>
                                  <w:tcW w:w="1087" w:type="dxa"/>
                                  <w:shd w:val="clear" w:color="auto" w:fill="auto"/>
                                  <w:noWrap/>
                                  <w:vAlign w:val="bottom"/>
                                </w:tcPr>
                                <w:p w14:paraId="0840AC04"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77.69</w:t>
                                  </w:r>
                                </w:p>
                              </w:tc>
                              <w:tc>
                                <w:tcPr>
                                  <w:tcW w:w="1189" w:type="dxa"/>
                                  <w:shd w:val="clear" w:color="auto" w:fill="auto"/>
                                  <w:vAlign w:val="bottom"/>
                                </w:tcPr>
                                <w:p w14:paraId="3413CACE"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13.71</w:t>
                                  </w:r>
                                </w:p>
                              </w:tc>
                              <w:tc>
                                <w:tcPr>
                                  <w:tcW w:w="1417" w:type="dxa"/>
                                  <w:shd w:val="clear" w:color="auto" w:fill="auto"/>
                                  <w:vAlign w:val="bottom"/>
                                </w:tcPr>
                                <w:p w14:paraId="765800E6"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63.98</w:t>
                                  </w:r>
                                </w:p>
                              </w:tc>
                            </w:tr>
                            <w:tr w:rsidR="00A0212B" w:rsidRPr="009549A8" w14:paraId="4834137E" w14:textId="77777777" w:rsidTr="00E31547">
                              <w:trPr>
                                <w:trHeight w:val="300"/>
                                <w:jc w:val="center"/>
                              </w:trPr>
                              <w:tc>
                                <w:tcPr>
                                  <w:tcW w:w="723" w:type="dxa"/>
                                  <w:vMerge w:val="restart"/>
                                  <w:shd w:val="clear" w:color="auto" w:fill="auto"/>
                                  <w:noWrap/>
                                  <w:vAlign w:val="center"/>
                                  <w:hideMark/>
                                </w:tcPr>
                                <w:p w14:paraId="6627ED77"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110</w:t>
                                  </w:r>
                                </w:p>
                              </w:tc>
                              <w:tc>
                                <w:tcPr>
                                  <w:tcW w:w="1060" w:type="dxa"/>
                                  <w:shd w:val="clear" w:color="auto" w:fill="auto"/>
                                  <w:noWrap/>
                                  <w:vAlign w:val="center"/>
                                  <w:hideMark/>
                                </w:tcPr>
                                <w:p w14:paraId="24CDE2F9"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輛次</w:t>
                                  </w:r>
                                </w:p>
                              </w:tc>
                              <w:tc>
                                <w:tcPr>
                                  <w:tcW w:w="1083" w:type="dxa"/>
                                  <w:shd w:val="clear" w:color="auto" w:fill="auto"/>
                                  <w:vAlign w:val="bottom"/>
                                </w:tcPr>
                                <w:p w14:paraId="09891DC9"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14,640</w:t>
                                  </w:r>
                                </w:p>
                              </w:tc>
                              <w:tc>
                                <w:tcPr>
                                  <w:tcW w:w="1184" w:type="dxa"/>
                                  <w:shd w:val="clear" w:color="auto" w:fill="auto"/>
                                  <w:noWrap/>
                                  <w:vAlign w:val="bottom"/>
                                </w:tcPr>
                                <w:p w14:paraId="6C486BC1"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4,109</w:t>
                                  </w:r>
                                </w:p>
                              </w:tc>
                              <w:tc>
                                <w:tcPr>
                                  <w:tcW w:w="1087" w:type="dxa"/>
                                  <w:shd w:val="clear" w:color="auto" w:fill="auto"/>
                                  <w:noWrap/>
                                  <w:vAlign w:val="bottom"/>
                                </w:tcPr>
                                <w:p w14:paraId="315AACBF"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10,531</w:t>
                                  </w:r>
                                </w:p>
                              </w:tc>
                              <w:tc>
                                <w:tcPr>
                                  <w:tcW w:w="1189" w:type="dxa"/>
                                  <w:shd w:val="clear" w:color="auto" w:fill="auto"/>
                                  <w:vAlign w:val="bottom"/>
                                </w:tcPr>
                                <w:p w14:paraId="7EA1E8EF"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1,983</w:t>
                                  </w:r>
                                </w:p>
                              </w:tc>
                              <w:tc>
                                <w:tcPr>
                                  <w:tcW w:w="1417" w:type="dxa"/>
                                  <w:shd w:val="clear" w:color="auto" w:fill="auto"/>
                                  <w:vAlign w:val="bottom"/>
                                </w:tcPr>
                                <w:p w14:paraId="247218F4"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8,548</w:t>
                                  </w:r>
                                </w:p>
                              </w:tc>
                            </w:tr>
                            <w:tr w:rsidR="00A0212B" w:rsidRPr="009549A8" w14:paraId="09A88800" w14:textId="77777777" w:rsidTr="00E31547">
                              <w:trPr>
                                <w:trHeight w:val="300"/>
                                <w:jc w:val="center"/>
                              </w:trPr>
                              <w:tc>
                                <w:tcPr>
                                  <w:tcW w:w="723" w:type="dxa"/>
                                  <w:vMerge/>
                                  <w:vAlign w:val="center"/>
                                  <w:hideMark/>
                                </w:tcPr>
                                <w:p w14:paraId="10DCB439" w14:textId="77777777" w:rsidR="00A0212B" w:rsidRPr="009549A8" w:rsidRDefault="00A0212B" w:rsidP="00561F2C">
                                  <w:pPr>
                                    <w:rPr>
                                      <w:rFonts w:ascii="標楷體" w:eastAsia="標楷體" w:hAnsi="標楷體" w:cs="新細明體"/>
                                      <w:color w:val="000000"/>
                                      <w:sz w:val="20"/>
                                    </w:rPr>
                                  </w:pPr>
                                </w:p>
                              </w:tc>
                              <w:tc>
                                <w:tcPr>
                                  <w:tcW w:w="1060" w:type="dxa"/>
                                  <w:shd w:val="clear" w:color="auto" w:fill="auto"/>
                                  <w:noWrap/>
                                  <w:vAlign w:val="center"/>
                                  <w:hideMark/>
                                </w:tcPr>
                                <w:p w14:paraId="7DFAB450"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百分比</w:t>
                                  </w:r>
                                </w:p>
                              </w:tc>
                              <w:tc>
                                <w:tcPr>
                                  <w:tcW w:w="1083" w:type="dxa"/>
                                  <w:shd w:val="clear" w:color="auto" w:fill="auto"/>
                                  <w:vAlign w:val="bottom"/>
                                </w:tcPr>
                                <w:p w14:paraId="15E45774"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100.00</w:t>
                                  </w:r>
                                </w:p>
                              </w:tc>
                              <w:tc>
                                <w:tcPr>
                                  <w:tcW w:w="1184" w:type="dxa"/>
                                  <w:shd w:val="clear" w:color="auto" w:fill="auto"/>
                                  <w:noWrap/>
                                  <w:vAlign w:val="bottom"/>
                                </w:tcPr>
                                <w:p w14:paraId="73FBB050"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28.07</w:t>
                                  </w:r>
                                </w:p>
                              </w:tc>
                              <w:tc>
                                <w:tcPr>
                                  <w:tcW w:w="1087" w:type="dxa"/>
                                  <w:shd w:val="clear" w:color="auto" w:fill="auto"/>
                                  <w:noWrap/>
                                  <w:vAlign w:val="bottom"/>
                                </w:tcPr>
                                <w:p w14:paraId="19A7EF97"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71.93</w:t>
                                  </w:r>
                                </w:p>
                              </w:tc>
                              <w:tc>
                                <w:tcPr>
                                  <w:tcW w:w="1189" w:type="dxa"/>
                                  <w:shd w:val="clear" w:color="auto" w:fill="auto"/>
                                  <w:vAlign w:val="bottom"/>
                                </w:tcPr>
                                <w:p w14:paraId="5A9F3784"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13.55</w:t>
                                  </w:r>
                                </w:p>
                              </w:tc>
                              <w:tc>
                                <w:tcPr>
                                  <w:tcW w:w="1417" w:type="dxa"/>
                                  <w:shd w:val="clear" w:color="auto" w:fill="auto"/>
                                  <w:vAlign w:val="bottom"/>
                                </w:tcPr>
                                <w:p w14:paraId="29219D9E"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58.39</w:t>
                                  </w:r>
                                </w:p>
                              </w:tc>
                            </w:tr>
                            <w:tr w:rsidR="00A0212B" w:rsidRPr="009549A8" w14:paraId="4B0B4C07" w14:textId="77777777" w:rsidTr="00E31547">
                              <w:trPr>
                                <w:trHeight w:val="300"/>
                                <w:jc w:val="center"/>
                              </w:trPr>
                              <w:tc>
                                <w:tcPr>
                                  <w:tcW w:w="723" w:type="dxa"/>
                                  <w:vMerge w:val="restart"/>
                                  <w:shd w:val="clear" w:color="auto" w:fill="auto"/>
                                  <w:noWrap/>
                                  <w:vAlign w:val="center"/>
                                  <w:hideMark/>
                                </w:tcPr>
                                <w:p w14:paraId="2176140F"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111</w:t>
                                  </w:r>
                                </w:p>
                              </w:tc>
                              <w:tc>
                                <w:tcPr>
                                  <w:tcW w:w="1060" w:type="dxa"/>
                                  <w:shd w:val="clear" w:color="auto" w:fill="auto"/>
                                  <w:noWrap/>
                                  <w:vAlign w:val="center"/>
                                  <w:hideMark/>
                                </w:tcPr>
                                <w:p w14:paraId="49EC55CC"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輛次</w:t>
                                  </w:r>
                                </w:p>
                              </w:tc>
                              <w:tc>
                                <w:tcPr>
                                  <w:tcW w:w="1083" w:type="dxa"/>
                                  <w:shd w:val="clear" w:color="auto" w:fill="auto"/>
                                  <w:vAlign w:val="bottom"/>
                                </w:tcPr>
                                <w:p w14:paraId="0AA43E7E"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10,599</w:t>
                                  </w:r>
                                </w:p>
                              </w:tc>
                              <w:tc>
                                <w:tcPr>
                                  <w:tcW w:w="1184" w:type="dxa"/>
                                  <w:shd w:val="clear" w:color="auto" w:fill="auto"/>
                                  <w:noWrap/>
                                  <w:vAlign w:val="bottom"/>
                                </w:tcPr>
                                <w:p w14:paraId="59FE10E8"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4,490</w:t>
                                  </w:r>
                                </w:p>
                              </w:tc>
                              <w:tc>
                                <w:tcPr>
                                  <w:tcW w:w="1087" w:type="dxa"/>
                                  <w:shd w:val="clear" w:color="auto" w:fill="auto"/>
                                  <w:noWrap/>
                                  <w:vAlign w:val="bottom"/>
                                </w:tcPr>
                                <w:p w14:paraId="02DB89C6"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6,109</w:t>
                                  </w:r>
                                </w:p>
                              </w:tc>
                              <w:tc>
                                <w:tcPr>
                                  <w:tcW w:w="1189" w:type="dxa"/>
                                  <w:shd w:val="clear" w:color="auto" w:fill="auto"/>
                                  <w:vAlign w:val="bottom"/>
                                </w:tcPr>
                                <w:p w14:paraId="3B411D37"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1,190</w:t>
                                  </w:r>
                                </w:p>
                              </w:tc>
                              <w:tc>
                                <w:tcPr>
                                  <w:tcW w:w="1417" w:type="dxa"/>
                                  <w:shd w:val="clear" w:color="auto" w:fill="auto"/>
                                  <w:vAlign w:val="bottom"/>
                                </w:tcPr>
                                <w:p w14:paraId="4C0A87DF"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4,919</w:t>
                                  </w:r>
                                </w:p>
                              </w:tc>
                            </w:tr>
                            <w:tr w:rsidR="00A0212B" w:rsidRPr="009549A8" w14:paraId="0070FC36" w14:textId="77777777" w:rsidTr="00E31547">
                              <w:trPr>
                                <w:trHeight w:val="300"/>
                                <w:jc w:val="center"/>
                              </w:trPr>
                              <w:tc>
                                <w:tcPr>
                                  <w:tcW w:w="723" w:type="dxa"/>
                                  <w:vMerge/>
                                  <w:vAlign w:val="center"/>
                                  <w:hideMark/>
                                </w:tcPr>
                                <w:p w14:paraId="0B709677" w14:textId="77777777" w:rsidR="00A0212B" w:rsidRPr="009549A8" w:rsidRDefault="00A0212B" w:rsidP="00561F2C">
                                  <w:pPr>
                                    <w:rPr>
                                      <w:rFonts w:ascii="標楷體" w:eastAsia="標楷體" w:hAnsi="標楷體" w:cs="新細明體"/>
                                      <w:color w:val="000000"/>
                                      <w:sz w:val="20"/>
                                    </w:rPr>
                                  </w:pPr>
                                </w:p>
                              </w:tc>
                              <w:tc>
                                <w:tcPr>
                                  <w:tcW w:w="1060" w:type="dxa"/>
                                  <w:shd w:val="clear" w:color="auto" w:fill="auto"/>
                                  <w:noWrap/>
                                  <w:vAlign w:val="center"/>
                                  <w:hideMark/>
                                </w:tcPr>
                                <w:p w14:paraId="7949189C"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百分比</w:t>
                                  </w:r>
                                </w:p>
                              </w:tc>
                              <w:tc>
                                <w:tcPr>
                                  <w:tcW w:w="1083" w:type="dxa"/>
                                  <w:shd w:val="clear" w:color="auto" w:fill="auto"/>
                                  <w:vAlign w:val="bottom"/>
                                </w:tcPr>
                                <w:p w14:paraId="04422085"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100.00</w:t>
                                  </w:r>
                                </w:p>
                              </w:tc>
                              <w:tc>
                                <w:tcPr>
                                  <w:tcW w:w="1184" w:type="dxa"/>
                                  <w:shd w:val="clear" w:color="auto" w:fill="auto"/>
                                  <w:noWrap/>
                                  <w:vAlign w:val="bottom"/>
                                </w:tcPr>
                                <w:p w14:paraId="77E64DED"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42.36</w:t>
                                  </w:r>
                                </w:p>
                              </w:tc>
                              <w:tc>
                                <w:tcPr>
                                  <w:tcW w:w="1087" w:type="dxa"/>
                                  <w:shd w:val="clear" w:color="auto" w:fill="auto"/>
                                  <w:noWrap/>
                                  <w:vAlign w:val="bottom"/>
                                </w:tcPr>
                                <w:p w14:paraId="59488577"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57.64</w:t>
                                  </w:r>
                                </w:p>
                              </w:tc>
                              <w:tc>
                                <w:tcPr>
                                  <w:tcW w:w="1189" w:type="dxa"/>
                                  <w:shd w:val="clear" w:color="auto" w:fill="auto"/>
                                  <w:vAlign w:val="bottom"/>
                                </w:tcPr>
                                <w:p w14:paraId="4E35168C"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11.23</w:t>
                                  </w:r>
                                </w:p>
                              </w:tc>
                              <w:tc>
                                <w:tcPr>
                                  <w:tcW w:w="1417" w:type="dxa"/>
                                  <w:shd w:val="clear" w:color="auto" w:fill="auto"/>
                                  <w:vAlign w:val="bottom"/>
                                </w:tcPr>
                                <w:p w14:paraId="65AEDD69"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46.41</w:t>
                                  </w:r>
                                </w:p>
                              </w:tc>
                            </w:tr>
                          </w:tbl>
                          <w:p w14:paraId="098848C9" w14:textId="77777777" w:rsidR="00A0212B" w:rsidRPr="00561F2C" w:rsidRDefault="00A0212B" w:rsidP="00BA058C">
                            <w:pPr>
                              <w:overflowPunct w:val="0"/>
                              <w:adjustRightInd w:val="0"/>
                              <w:snapToGrid w:val="0"/>
                              <w:ind w:leftChars="83" w:left="707" w:rightChars="63" w:right="151" w:hangingChars="282" w:hanging="508"/>
                              <w:jc w:val="both"/>
                              <w:rPr>
                                <w:rFonts w:ascii="標楷體" w:eastAsia="標楷體" w:hAnsi="標楷體"/>
                                <w:snapToGrid w:val="0"/>
                                <w:spacing w:val="-4"/>
                                <w:sz w:val="18"/>
                                <w:szCs w:val="32"/>
                              </w:rPr>
                            </w:pPr>
                            <w:r w:rsidRPr="009549A8">
                              <w:rPr>
                                <w:rFonts w:ascii="標楷體" w:eastAsia="標楷體" w:hAnsi="標楷體" w:hint="eastAsia"/>
                                <w:snapToGrid w:val="0"/>
                                <w:sz w:val="18"/>
                                <w:szCs w:val="32"/>
                              </w:rPr>
                              <w:t>註：1.違反道路交通管理事件統一裁罰基準及處理細則第12條第1項第13款規定：「行為人有下列情形之一，而未嚴重危害交通安全、秩序，且情節輕微，以不舉發為適當者，交通勤務</w:t>
                            </w:r>
                            <w:r w:rsidRPr="00561F2C">
                              <w:rPr>
                                <w:rFonts w:ascii="標楷體" w:eastAsia="標楷體" w:hAnsi="標楷體" w:hint="eastAsia"/>
                                <w:snapToGrid w:val="0"/>
                                <w:spacing w:val="-4"/>
                                <w:sz w:val="18"/>
                                <w:szCs w:val="32"/>
                              </w:rPr>
                              <w:t>警察或依法令執行交通稽查任務人員得對其施以勸導，免予舉發：十三、駕駛汽車裝載貨物超過核定之總重量或總聯結重量，未逾10％。」另交通部104年1月14日交路字第1030416686號函釋，前開規定並非容許汽車裝載貨物得有超載且未逾核定總重量10％之情形。</w:t>
                            </w:r>
                          </w:p>
                          <w:p w14:paraId="4C5CFE18" w14:textId="3A5B9EF7" w:rsidR="00A0212B" w:rsidRPr="005269CB" w:rsidRDefault="00A0212B" w:rsidP="00A65D33">
                            <w:pPr>
                              <w:overflowPunct w:val="0"/>
                              <w:adjustRightInd w:val="0"/>
                              <w:snapToGrid w:val="0"/>
                              <w:ind w:leftChars="79" w:left="698" w:rightChars="63" w:right="151" w:hangingChars="282" w:hanging="508"/>
                              <w:jc w:val="both"/>
                              <w:rPr>
                                <w:rFonts w:ascii="標楷體" w:eastAsia="標楷體" w:hAnsi="標楷體"/>
                                <w:snapToGrid w:val="0"/>
                                <w:sz w:val="18"/>
                                <w:szCs w:val="32"/>
                              </w:rPr>
                            </w:pPr>
                            <w:r w:rsidRPr="009549A8">
                              <w:rPr>
                                <w:rFonts w:ascii="標楷體" w:eastAsia="標楷體" w:hAnsi="標楷體" w:hint="eastAsia"/>
                                <w:snapToGrid w:val="0"/>
                                <w:sz w:val="18"/>
                                <w:szCs w:val="32"/>
                              </w:rPr>
                              <w:t xml:space="preserve">　　2.資料來源：整理自</w:t>
                            </w:r>
                            <w:r w:rsidR="00EC3ACE">
                              <w:rPr>
                                <w:rFonts w:ascii="標楷體" w:eastAsia="標楷體" w:hAnsi="標楷體" w:hint="eastAsia"/>
                                <w:snapToGrid w:val="0"/>
                                <w:sz w:val="18"/>
                                <w:szCs w:val="32"/>
                              </w:rPr>
                              <w:t>環境部</w:t>
                            </w:r>
                            <w:r w:rsidRPr="009549A8">
                              <w:rPr>
                                <w:rFonts w:ascii="標楷體" w:eastAsia="標楷體" w:hAnsi="標楷體" w:hint="eastAsia"/>
                                <w:snapToGrid w:val="0"/>
                                <w:sz w:val="18"/>
                                <w:szCs w:val="32"/>
                              </w:rPr>
                              <w:t>及</w:t>
                            </w:r>
                            <w:r>
                              <w:rPr>
                                <w:rFonts w:ascii="標楷體" w:eastAsia="標楷體" w:hAnsi="標楷體" w:hint="eastAsia"/>
                                <w:snapToGrid w:val="0"/>
                                <w:sz w:val="18"/>
                                <w:szCs w:val="32"/>
                              </w:rPr>
                              <w:t>交通部</w:t>
                            </w:r>
                            <w:r w:rsidRPr="009549A8">
                              <w:rPr>
                                <w:rFonts w:ascii="標楷體" w:eastAsia="標楷體" w:hAnsi="標楷體" w:hint="eastAsia"/>
                                <w:snapToGrid w:val="0"/>
                                <w:sz w:val="18"/>
                                <w:szCs w:val="32"/>
                              </w:rPr>
                              <w:t>公路局提供資料。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731473" id="文字方塊 90" o:spid="_x0000_s1096" type="#_x0000_t202" style="position:absolute;left:0;text-align:left;margin-left:83.8pt;margin-top:220.55pt;width:412.35pt;height:274.1pt;z-index:-251644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" stroked="f">
                <v:textbox>
                  <w:txbxContent>
                    <w:p w14:paraId="3D07366E" w14:textId="1887F621" w:rsidR="00A0212B" w:rsidRPr="0033693A" w:rsidRDefault="00A0212B" w:rsidP="00BA058C">
                      <w:pPr>
                        <w:jc w:val="center"/>
                        <w:rPr>
                          <w:rFonts w:ascii="標楷體" w:eastAsia="標楷體" w:hAnsi="標楷體"/>
                          <w:b/>
                        </w:rPr>
                      </w:pPr>
                      <w:r w:rsidRPr="0033693A">
                        <w:rPr>
                          <w:rFonts w:ascii="標楷體" w:eastAsia="標楷體" w:hAnsi="標楷體" w:hint="eastAsia"/>
                          <w:b/>
                        </w:rPr>
                        <w:t>表</w:t>
                      </w:r>
                      <w:r>
                        <w:rPr>
                          <w:rFonts w:ascii="標楷體" w:eastAsia="標楷體" w:hAnsi="標楷體"/>
                          <w:b/>
                        </w:rPr>
                        <w:t>31</w:t>
                      </w:r>
                      <w:r w:rsidRPr="0033693A">
                        <w:rPr>
                          <w:rFonts w:ascii="標楷體" w:eastAsia="標楷體" w:hAnsi="標楷體" w:hint="eastAsia"/>
                          <w:b/>
                        </w:rPr>
                        <w:t xml:space="preserve">　305輛廢棄物（R</w:t>
                      </w:r>
                      <w:r w:rsidR="009A3D64" w:rsidRPr="0064256E">
                        <w:rPr>
                          <w:rFonts w:ascii="標楷體" w:eastAsia="標楷體" w:hAnsi="標楷體" w:hint="eastAsia"/>
                          <w:b/>
                        </w:rPr>
                        <w:t>-</w:t>
                      </w:r>
                      <w:r w:rsidRPr="0033693A">
                        <w:rPr>
                          <w:rFonts w:ascii="標楷體" w:eastAsia="標楷體" w:hAnsi="標楷體" w:hint="eastAsia"/>
                          <w:b/>
                        </w:rPr>
                        <w:t>0503、D</w:t>
                      </w:r>
                      <w:r w:rsidR="009A3D64" w:rsidRPr="0064256E">
                        <w:rPr>
                          <w:rFonts w:ascii="標楷體" w:eastAsia="標楷體" w:hAnsi="標楷體" w:hint="eastAsia"/>
                          <w:b/>
                        </w:rPr>
                        <w:t>-</w:t>
                      </w:r>
                      <w:r w:rsidRPr="0033693A">
                        <w:rPr>
                          <w:rFonts w:ascii="標楷體" w:eastAsia="標楷體" w:hAnsi="標楷體" w:hint="eastAsia"/>
                          <w:b/>
                        </w:rPr>
                        <w:t>0599）清運車輛超重情形</w:t>
                      </w:r>
                    </w:p>
                    <w:p w14:paraId="58C00183" w14:textId="77777777" w:rsidR="00A0212B" w:rsidRPr="004E3BE0" w:rsidRDefault="00A0212B" w:rsidP="00093D28">
                      <w:pPr>
                        <w:overflowPunct w:val="0"/>
                        <w:adjustRightInd w:val="0"/>
                        <w:snapToGrid w:val="0"/>
                        <w:ind w:leftChars="-22" w:left="189" w:rightChars="50" w:right="120" w:hangingChars="121" w:hanging="242"/>
                        <w:jc w:val="right"/>
                        <w:rPr>
                          <w:rFonts w:ascii="標楷體" w:eastAsia="標楷體" w:hAnsi="標楷體"/>
                          <w:b/>
                          <w:sz w:val="28"/>
                          <w:szCs w:val="32"/>
                        </w:rPr>
                      </w:pPr>
                      <w:r w:rsidRPr="004E3BE0">
                        <w:rPr>
                          <w:rFonts w:ascii="標楷體" w:eastAsia="標楷體" w:hAnsi="標楷體" w:hint="eastAsia"/>
                          <w:sz w:val="20"/>
                        </w:rPr>
                        <w:t>單位：輛次、％</w:t>
                      </w:r>
                    </w:p>
                    <w:tbl>
                      <w:tblPr>
                        <w:tblW w:w="7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23"/>
                        <w:gridCol w:w="1060"/>
                        <w:gridCol w:w="1083"/>
                        <w:gridCol w:w="1184"/>
                        <w:gridCol w:w="1087"/>
                        <w:gridCol w:w="1189"/>
                        <w:gridCol w:w="1417"/>
                      </w:tblGrid>
                      <w:tr w:rsidR="00A0212B" w:rsidRPr="009549A8" w14:paraId="018DE99E" w14:textId="77777777" w:rsidTr="00F56D79">
                        <w:trPr>
                          <w:trHeight w:val="243"/>
                          <w:tblHeader/>
                          <w:jc w:val="center"/>
                        </w:trPr>
                        <w:tc>
                          <w:tcPr>
                            <w:tcW w:w="723" w:type="dxa"/>
                            <w:vMerge w:val="restart"/>
                            <w:shd w:val="clear" w:color="auto" w:fill="auto"/>
                            <w:noWrap/>
                            <w:vAlign w:val="center"/>
                            <w:hideMark/>
                          </w:tcPr>
                          <w:p w14:paraId="5906D97A"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年度</w:t>
                            </w:r>
                          </w:p>
                        </w:tc>
                        <w:tc>
                          <w:tcPr>
                            <w:tcW w:w="1060" w:type="dxa"/>
                            <w:vMerge w:val="restart"/>
                            <w:shd w:val="clear" w:color="auto" w:fill="auto"/>
                            <w:noWrap/>
                            <w:vAlign w:val="center"/>
                            <w:hideMark/>
                          </w:tcPr>
                          <w:p w14:paraId="76D203D2" w14:textId="4E8BDE4F" w:rsidR="00A0212B" w:rsidRPr="009549A8" w:rsidRDefault="00A0212B" w:rsidP="00561F2C">
                            <w:pPr>
                              <w:jc w:val="center"/>
                              <w:rPr>
                                <w:rFonts w:ascii="標楷體" w:eastAsia="標楷體" w:hAnsi="標楷體" w:cs="新細明體"/>
                                <w:color w:val="000000"/>
                                <w:sz w:val="20"/>
                              </w:rPr>
                            </w:pPr>
                            <w:r>
                              <w:rPr>
                                <w:rFonts w:ascii="標楷體" w:eastAsia="標楷體" w:hAnsi="標楷體" w:cs="新細明體" w:hint="eastAsia"/>
                                <w:color w:val="000000"/>
                                <w:sz w:val="20"/>
                              </w:rPr>
                              <w:t>項目</w:t>
                            </w:r>
                          </w:p>
                        </w:tc>
                        <w:tc>
                          <w:tcPr>
                            <w:tcW w:w="1083" w:type="dxa"/>
                            <w:vMerge w:val="restart"/>
                            <w:vAlign w:val="center"/>
                          </w:tcPr>
                          <w:p w14:paraId="71E97BB5" w14:textId="77777777" w:rsidR="00A0212B" w:rsidRPr="00E31547" w:rsidRDefault="00A0212B" w:rsidP="00561F2C">
                            <w:pPr>
                              <w:jc w:val="center"/>
                              <w:rPr>
                                <w:rFonts w:ascii="標楷體" w:eastAsia="標楷體" w:hAnsi="標楷體" w:cs="新細明體"/>
                                <w:color w:val="000000"/>
                                <w:sz w:val="20"/>
                              </w:rPr>
                            </w:pPr>
                            <w:r w:rsidRPr="00E31547">
                              <w:rPr>
                                <w:rFonts w:ascii="標楷體" w:eastAsia="標楷體" w:hAnsi="標楷體" w:cs="新細明體" w:hint="eastAsia"/>
                                <w:color w:val="000000"/>
                                <w:sz w:val="20"/>
                              </w:rPr>
                              <w:t>合計</w:t>
                            </w:r>
                          </w:p>
                        </w:tc>
                        <w:tc>
                          <w:tcPr>
                            <w:tcW w:w="4877" w:type="dxa"/>
                            <w:gridSpan w:val="4"/>
                            <w:shd w:val="clear" w:color="auto" w:fill="auto"/>
                            <w:noWrap/>
                            <w:vAlign w:val="center"/>
                          </w:tcPr>
                          <w:p w14:paraId="253BC8AA" w14:textId="2D5584CA" w:rsidR="00A0212B" w:rsidRPr="009549A8" w:rsidRDefault="00A0212B">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(車重+申報重量</w:t>
                            </w:r>
                            <w:r w:rsidRPr="009549A8">
                              <w:rPr>
                                <w:rFonts w:ascii="標楷體" w:eastAsia="標楷體" w:hAnsi="標楷體" w:cs="新細明體"/>
                                <w:color w:val="000000"/>
                                <w:sz w:val="20"/>
                              </w:rPr>
                              <w:t>)</w:t>
                            </w:r>
                            <w:r>
                              <w:rPr>
                                <w:rFonts w:ascii="標楷體" w:eastAsia="標楷體" w:hAnsi="標楷體" w:cs="新細明體" w:hint="eastAsia"/>
                                <w:color w:val="000000"/>
                                <w:sz w:val="20"/>
                              </w:rPr>
                              <w:t>與</w:t>
                            </w:r>
                            <w:r w:rsidRPr="009549A8">
                              <w:rPr>
                                <w:rFonts w:ascii="標楷體" w:eastAsia="標楷體" w:hAnsi="標楷體" w:cs="新細明體" w:hint="eastAsia"/>
                                <w:color w:val="000000"/>
                                <w:sz w:val="20"/>
                              </w:rPr>
                              <w:t>核定總聯結重量</w:t>
                            </w:r>
                            <w:r>
                              <w:rPr>
                                <w:rFonts w:ascii="標楷體" w:eastAsia="標楷體" w:hAnsi="標楷體" w:cs="新細明體" w:hint="eastAsia"/>
                                <w:color w:val="000000"/>
                                <w:sz w:val="20"/>
                              </w:rPr>
                              <w:t>比較</w:t>
                            </w:r>
                          </w:p>
                        </w:tc>
                      </w:tr>
                      <w:tr w:rsidR="00A0212B" w:rsidRPr="009549A8" w14:paraId="66C1B423" w14:textId="77777777" w:rsidTr="00E31547">
                        <w:trPr>
                          <w:trHeight w:val="246"/>
                          <w:tblHeader/>
                          <w:jc w:val="center"/>
                        </w:trPr>
                        <w:tc>
                          <w:tcPr>
                            <w:tcW w:w="723" w:type="dxa"/>
                            <w:vMerge/>
                            <w:shd w:val="clear" w:color="auto" w:fill="auto"/>
                            <w:noWrap/>
                            <w:vAlign w:val="center"/>
                          </w:tcPr>
                          <w:p w14:paraId="3C480D4B" w14:textId="77777777" w:rsidR="00A0212B" w:rsidRPr="009549A8" w:rsidRDefault="00A0212B" w:rsidP="00561F2C">
                            <w:pPr>
                              <w:jc w:val="center"/>
                              <w:rPr>
                                <w:rFonts w:ascii="標楷體" w:eastAsia="標楷體" w:hAnsi="標楷體" w:cs="新細明體"/>
                                <w:color w:val="000000"/>
                                <w:sz w:val="20"/>
                              </w:rPr>
                            </w:pPr>
                          </w:p>
                        </w:tc>
                        <w:tc>
                          <w:tcPr>
                            <w:tcW w:w="1060" w:type="dxa"/>
                            <w:vMerge/>
                            <w:shd w:val="clear" w:color="auto" w:fill="auto"/>
                            <w:noWrap/>
                            <w:vAlign w:val="center"/>
                          </w:tcPr>
                          <w:p w14:paraId="3332C73F" w14:textId="77777777" w:rsidR="00A0212B" w:rsidRPr="009549A8" w:rsidRDefault="00A0212B" w:rsidP="00561F2C">
                            <w:pPr>
                              <w:jc w:val="center"/>
                              <w:rPr>
                                <w:rFonts w:ascii="標楷體" w:eastAsia="標楷體" w:hAnsi="標楷體" w:cs="新細明體"/>
                                <w:color w:val="000000"/>
                                <w:sz w:val="20"/>
                              </w:rPr>
                            </w:pPr>
                          </w:p>
                        </w:tc>
                        <w:tc>
                          <w:tcPr>
                            <w:tcW w:w="1083" w:type="dxa"/>
                            <w:vMerge/>
                            <w:vAlign w:val="center"/>
                          </w:tcPr>
                          <w:p w14:paraId="3E128864" w14:textId="77777777" w:rsidR="00A0212B" w:rsidRPr="0033693A" w:rsidRDefault="00A0212B" w:rsidP="00561F2C">
                            <w:pPr>
                              <w:jc w:val="center"/>
                              <w:rPr>
                                <w:rFonts w:ascii="標楷體" w:eastAsia="標楷體" w:hAnsi="標楷體" w:cs="新細明體"/>
                                <w:b/>
                                <w:color w:val="000000"/>
                                <w:sz w:val="20"/>
                              </w:rPr>
                            </w:pPr>
                          </w:p>
                        </w:tc>
                        <w:tc>
                          <w:tcPr>
                            <w:tcW w:w="1184" w:type="dxa"/>
                            <w:vMerge w:val="restart"/>
                            <w:tcBorders>
                              <w:right w:val="single" w:sz="4" w:space="0" w:color="auto"/>
                            </w:tcBorders>
                            <w:shd w:val="clear" w:color="auto" w:fill="auto"/>
                            <w:noWrap/>
                            <w:vAlign w:val="center"/>
                          </w:tcPr>
                          <w:p w14:paraId="68072943"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未超重</w:t>
                            </w:r>
                          </w:p>
                        </w:tc>
                        <w:tc>
                          <w:tcPr>
                            <w:tcW w:w="1087" w:type="dxa"/>
                            <w:vMerge w:val="restart"/>
                            <w:tcBorders>
                              <w:top w:val="single" w:sz="4" w:space="0" w:color="auto"/>
                              <w:left w:val="single" w:sz="4" w:space="0" w:color="auto"/>
                              <w:right w:val="nil"/>
                            </w:tcBorders>
                            <w:shd w:val="clear" w:color="auto" w:fill="auto"/>
                            <w:noWrap/>
                            <w:vAlign w:val="center"/>
                          </w:tcPr>
                          <w:p w14:paraId="058CE350"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超重</w:t>
                            </w:r>
                          </w:p>
                        </w:tc>
                        <w:tc>
                          <w:tcPr>
                            <w:tcW w:w="2606" w:type="dxa"/>
                            <w:gridSpan w:val="2"/>
                            <w:tcBorders>
                              <w:top w:val="nil"/>
                              <w:left w:val="nil"/>
                              <w:bottom w:val="nil"/>
                              <w:right w:val="single" w:sz="4" w:space="0" w:color="000000"/>
                            </w:tcBorders>
                            <w:shd w:val="clear" w:color="auto" w:fill="auto"/>
                            <w:vAlign w:val="center"/>
                          </w:tcPr>
                          <w:p w14:paraId="75C6CD5F" w14:textId="3A1CFFC4" w:rsidR="00A0212B" w:rsidRPr="009549A8" w:rsidRDefault="00A0212B" w:rsidP="00561F2C">
                            <w:pPr>
                              <w:jc w:val="center"/>
                              <w:rPr>
                                <w:rFonts w:ascii="標楷體" w:eastAsia="標楷體" w:hAnsi="標楷體" w:cs="新細明體"/>
                                <w:color w:val="000000"/>
                                <w:sz w:val="20"/>
                              </w:rPr>
                            </w:pPr>
                          </w:p>
                        </w:tc>
                      </w:tr>
                      <w:tr w:rsidR="00A0212B" w:rsidRPr="009549A8" w14:paraId="6B4FF49B" w14:textId="77777777" w:rsidTr="00E31547">
                        <w:trPr>
                          <w:trHeight w:val="296"/>
                          <w:tblHeader/>
                          <w:jc w:val="center"/>
                        </w:trPr>
                        <w:tc>
                          <w:tcPr>
                            <w:tcW w:w="723" w:type="dxa"/>
                            <w:vMerge/>
                            <w:shd w:val="clear" w:color="auto" w:fill="auto"/>
                            <w:noWrap/>
                            <w:vAlign w:val="center"/>
                          </w:tcPr>
                          <w:p w14:paraId="3028A205" w14:textId="77777777" w:rsidR="00A0212B" w:rsidRPr="009549A8" w:rsidRDefault="00A0212B" w:rsidP="00561F2C">
                            <w:pPr>
                              <w:jc w:val="center"/>
                              <w:rPr>
                                <w:rFonts w:ascii="標楷體" w:eastAsia="標楷體" w:hAnsi="標楷體" w:cs="新細明體"/>
                                <w:color w:val="000000"/>
                                <w:sz w:val="20"/>
                              </w:rPr>
                            </w:pPr>
                          </w:p>
                        </w:tc>
                        <w:tc>
                          <w:tcPr>
                            <w:tcW w:w="1060" w:type="dxa"/>
                            <w:vMerge/>
                            <w:shd w:val="clear" w:color="auto" w:fill="auto"/>
                            <w:noWrap/>
                            <w:vAlign w:val="center"/>
                          </w:tcPr>
                          <w:p w14:paraId="21DC6499" w14:textId="77777777" w:rsidR="00A0212B" w:rsidRPr="009549A8" w:rsidRDefault="00A0212B" w:rsidP="00561F2C">
                            <w:pPr>
                              <w:jc w:val="center"/>
                              <w:rPr>
                                <w:rFonts w:ascii="標楷體" w:eastAsia="標楷體" w:hAnsi="標楷體" w:cs="新細明體"/>
                                <w:color w:val="000000"/>
                                <w:sz w:val="20"/>
                              </w:rPr>
                            </w:pPr>
                          </w:p>
                        </w:tc>
                        <w:tc>
                          <w:tcPr>
                            <w:tcW w:w="1083" w:type="dxa"/>
                            <w:vMerge/>
                            <w:vAlign w:val="center"/>
                          </w:tcPr>
                          <w:p w14:paraId="1F0BFFB3" w14:textId="77777777" w:rsidR="00A0212B" w:rsidRPr="0033693A" w:rsidRDefault="00A0212B" w:rsidP="00561F2C">
                            <w:pPr>
                              <w:jc w:val="center"/>
                              <w:rPr>
                                <w:rFonts w:ascii="標楷體" w:eastAsia="標楷體" w:hAnsi="標楷體" w:cs="新細明體"/>
                                <w:b/>
                                <w:color w:val="000000"/>
                                <w:sz w:val="20"/>
                              </w:rPr>
                            </w:pPr>
                          </w:p>
                        </w:tc>
                        <w:tc>
                          <w:tcPr>
                            <w:tcW w:w="1184" w:type="dxa"/>
                            <w:vMerge/>
                            <w:tcBorders>
                              <w:right w:val="single" w:sz="4" w:space="0" w:color="auto"/>
                            </w:tcBorders>
                            <w:shd w:val="clear" w:color="auto" w:fill="auto"/>
                            <w:noWrap/>
                            <w:vAlign w:val="center"/>
                          </w:tcPr>
                          <w:p w14:paraId="2A5D3FC2" w14:textId="77777777" w:rsidR="00A0212B" w:rsidRPr="009549A8" w:rsidRDefault="00A0212B" w:rsidP="00561F2C">
                            <w:pPr>
                              <w:jc w:val="center"/>
                              <w:rPr>
                                <w:rFonts w:ascii="標楷體" w:eastAsia="標楷體" w:hAnsi="標楷體" w:cs="新細明體"/>
                                <w:color w:val="000000"/>
                                <w:sz w:val="20"/>
                              </w:rPr>
                            </w:pPr>
                          </w:p>
                        </w:tc>
                        <w:tc>
                          <w:tcPr>
                            <w:tcW w:w="1087" w:type="dxa"/>
                            <w:vMerge/>
                            <w:tcBorders>
                              <w:left w:val="single" w:sz="4" w:space="0" w:color="auto"/>
                              <w:bottom w:val="single" w:sz="4" w:space="0" w:color="auto"/>
                              <w:right w:val="single" w:sz="4" w:space="0" w:color="auto"/>
                            </w:tcBorders>
                            <w:shd w:val="clear" w:color="auto" w:fill="auto"/>
                            <w:noWrap/>
                            <w:vAlign w:val="center"/>
                          </w:tcPr>
                          <w:p w14:paraId="5663C520" w14:textId="77777777" w:rsidR="00A0212B" w:rsidRPr="009549A8" w:rsidRDefault="00A0212B" w:rsidP="00E31547">
                            <w:pPr>
                              <w:rPr>
                                <w:rFonts w:ascii="標楷體" w:eastAsia="標楷體" w:hAnsi="標楷體" w:cs="新細明體"/>
                                <w:color w:val="000000"/>
                                <w:sz w:val="20"/>
                              </w:rPr>
                            </w:pPr>
                          </w:p>
                        </w:tc>
                        <w:tc>
                          <w:tcPr>
                            <w:tcW w:w="1189" w:type="dxa"/>
                            <w:tcBorders>
                              <w:left w:val="single" w:sz="4" w:space="0" w:color="auto"/>
                            </w:tcBorders>
                            <w:shd w:val="clear" w:color="auto" w:fill="auto"/>
                            <w:vAlign w:val="center"/>
                          </w:tcPr>
                          <w:p w14:paraId="4C8E39AF" w14:textId="615B0D6F" w:rsidR="00A0212B" w:rsidRPr="009549A8" w:rsidRDefault="00A0212B" w:rsidP="00561F2C">
                            <w:pPr>
                              <w:jc w:val="center"/>
                              <w:rPr>
                                <w:rFonts w:ascii="標楷體" w:eastAsia="標楷體" w:hAnsi="標楷體" w:cs="新細明體"/>
                                <w:color w:val="000000"/>
                                <w:sz w:val="20"/>
                              </w:rPr>
                            </w:pPr>
                            <w:r>
                              <w:rPr>
                                <w:rFonts w:ascii="標楷體" w:eastAsia="標楷體" w:hAnsi="標楷體" w:cs="新細明體" w:hint="eastAsia"/>
                                <w:color w:val="000000"/>
                                <w:sz w:val="20"/>
                              </w:rPr>
                              <w:t>未逾</w:t>
                            </w:r>
                            <w:r w:rsidRPr="009549A8">
                              <w:rPr>
                                <w:rFonts w:ascii="標楷體" w:eastAsia="標楷體" w:hAnsi="標楷體" w:cs="新細明體" w:hint="eastAsia"/>
                                <w:color w:val="000000"/>
                                <w:sz w:val="20"/>
                              </w:rPr>
                              <w:t>10％</w:t>
                            </w:r>
                          </w:p>
                        </w:tc>
                        <w:tc>
                          <w:tcPr>
                            <w:tcW w:w="1417" w:type="dxa"/>
                            <w:vAlign w:val="center"/>
                          </w:tcPr>
                          <w:p w14:paraId="0747DF58"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逾10％</w:t>
                            </w:r>
                          </w:p>
                        </w:tc>
                      </w:tr>
                      <w:tr w:rsidR="00A0212B" w:rsidRPr="009549A8" w14:paraId="6FB3F6DC" w14:textId="77777777" w:rsidTr="00E31547">
                        <w:trPr>
                          <w:trHeight w:val="300"/>
                          <w:jc w:val="center"/>
                        </w:trPr>
                        <w:tc>
                          <w:tcPr>
                            <w:tcW w:w="723" w:type="dxa"/>
                            <w:vMerge w:val="restart"/>
                            <w:shd w:val="clear" w:color="auto" w:fill="auto"/>
                            <w:noWrap/>
                            <w:vAlign w:val="center"/>
                          </w:tcPr>
                          <w:p w14:paraId="7567BCA4" w14:textId="77777777" w:rsidR="00A0212B" w:rsidRPr="00C86990" w:rsidRDefault="00A0212B" w:rsidP="00561F2C">
                            <w:pPr>
                              <w:jc w:val="center"/>
                              <w:rPr>
                                <w:rFonts w:ascii="標楷體" w:eastAsia="標楷體" w:hAnsi="標楷體" w:cs="新細明體"/>
                                <w:b/>
                                <w:color w:val="000000"/>
                                <w:sz w:val="20"/>
                              </w:rPr>
                            </w:pPr>
                            <w:r w:rsidRPr="00C86990">
                              <w:rPr>
                                <w:rFonts w:ascii="標楷體" w:eastAsia="標楷體" w:hAnsi="標楷體" w:cs="新細明體" w:hint="eastAsia"/>
                                <w:b/>
                                <w:color w:val="000000"/>
                                <w:sz w:val="20"/>
                              </w:rPr>
                              <w:t>合計</w:t>
                            </w:r>
                          </w:p>
                        </w:tc>
                        <w:tc>
                          <w:tcPr>
                            <w:tcW w:w="1060" w:type="dxa"/>
                            <w:shd w:val="clear" w:color="auto" w:fill="auto"/>
                            <w:noWrap/>
                            <w:vAlign w:val="center"/>
                          </w:tcPr>
                          <w:p w14:paraId="27BCD3CB" w14:textId="77777777" w:rsidR="00A0212B" w:rsidRPr="00C86990" w:rsidRDefault="00A0212B" w:rsidP="00561F2C">
                            <w:pPr>
                              <w:jc w:val="center"/>
                              <w:rPr>
                                <w:rFonts w:ascii="標楷體" w:eastAsia="標楷體" w:hAnsi="標楷體" w:cs="新細明體"/>
                                <w:b/>
                                <w:color w:val="000000"/>
                                <w:sz w:val="20"/>
                              </w:rPr>
                            </w:pPr>
                            <w:r w:rsidRPr="00C86990">
                              <w:rPr>
                                <w:rFonts w:ascii="標楷體" w:eastAsia="標楷體" w:hAnsi="標楷體" w:cs="新細明體" w:hint="eastAsia"/>
                                <w:b/>
                                <w:color w:val="000000"/>
                                <w:sz w:val="20"/>
                              </w:rPr>
                              <w:t>輛次</w:t>
                            </w:r>
                          </w:p>
                        </w:tc>
                        <w:tc>
                          <w:tcPr>
                            <w:tcW w:w="1083" w:type="dxa"/>
                            <w:shd w:val="clear" w:color="auto" w:fill="auto"/>
                            <w:vAlign w:val="bottom"/>
                          </w:tcPr>
                          <w:p w14:paraId="1215E219"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36,581</w:t>
                            </w:r>
                          </w:p>
                        </w:tc>
                        <w:tc>
                          <w:tcPr>
                            <w:tcW w:w="1184" w:type="dxa"/>
                            <w:shd w:val="clear" w:color="auto" w:fill="auto"/>
                            <w:noWrap/>
                            <w:vAlign w:val="bottom"/>
                          </w:tcPr>
                          <w:p w14:paraId="6C8F9A44"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11,129</w:t>
                            </w:r>
                          </w:p>
                        </w:tc>
                        <w:tc>
                          <w:tcPr>
                            <w:tcW w:w="1087" w:type="dxa"/>
                            <w:tcBorders>
                              <w:top w:val="single" w:sz="4" w:space="0" w:color="auto"/>
                            </w:tcBorders>
                            <w:shd w:val="clear" w:color="auto" w:fill="auto"/>
                            <w:noWrap/>
                            <w:vAlign w:val="bottom"/>
                          </w:tcPr>
                          <w:p w14:paraId="5C1E23F4"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25,452</w:t>
                            </w:r>
                          </w:p>
                        </w:tc>
                        <w:tc>
                          <w:tcPr>
                            <w:tcW w:w="1189" w:type="dxa"/>
                            <w:shd w:val="clear" w:color="auto" w:fill="auto"/>
                            <w:vAlign w:val="bottom"/>
                          </w:tcPr>
                          <w:p w14:paraId="0B562E39"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4,728</w:t>
                            </w:r>
                          </w:p>
                        </w:tc>
                        <w:tc>
                          <w:tcPr>
                            <w:tcW w:w="1417" w:type="dxa"/>
                            <w:shd w:val="clear" w:color="auto" w:fill="auto"/>
                            <w:vAlign w:val="bottom"/>
                          </w:tcPr>
                          <w:p w14:paraId="0437E760"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20,724</w:t>
                            </w:r>
                          </w:p>
                        </w:tc>
                      </w:tr>
                      <w:tr w:rsidR="00A0212B" w:rsidRPr="009549A8" w14:paraId="110962CB" w14:textId="77777777" w:rsidTr="00E31547">
                        <w:trPr>
                          <w:trHeight w:val="300"/>
                          <w:jc w:val="center"/>
                        </w:trPr>
                        <w:tc>
                          <w:tcPr>
                            <w:tcW w:w="723" w:type="dxa"/>
                            <w:vMerge/>
                            <w:shd w:val="clear" w:color="auto" w:fill="auto"/>
                            <w:noWrap/>
                            <w:vAlign w:val="center"/>
                          </w:tcPr>
                          <w:p w14:paraId="66123D79" w14:textId="77777777" w:rsidR="00A0212B" w:rsidRPr="00C86990" w:rsidRDefault="00A0212B" w:rsidP="00561F2C">
                            <w:pPr>
                              <w:jc w:val="center"/>
                              <w:rPr>
                                <w:rFonts w:ascii="標楷體" w:eastAsia="標楷體" w:hAnsi="標楷體" w:cs="新細明體"/>
                                <w:b/>
                                <w:color w:val="000000"/>
                                <w:sz w:val="20"/>
                              </w:rPr>
                            </w:pPr>
                          </w:p>
                        </w:tc>
                        <w:tc>
                          <w:tcPr>
                            <w:tcW w:w="1060" w:type="dxa"/>
                            <w:shd w:val="clear" w:color="auto" w:fill="auto"/>
                            <w:noWrap/>
                            <w:vAlign w:val="center"/>
                          </w:tcPr>
                          <w:p w14:paraId="64CD25FE" w14:textId="77777777" w:rsidR="00A0212B" w:rsidRPr="00C86990" w:rsidRDefault="00A0212B" w:rsidP="00561F2C">
                            <w:pPr>
                              <w:jc w:val="center"/>
                              <w:rPr>
                                <w:rFonts w:ascii="標楷體" w:eastAsia="標楷體" w:hAnsi="標楷體" w:cs="新細明體"/>
                                <w:b/>
                                <w:color w:val="000000"/>
                                <w:sz w:val="20"/>
                              </w:rPr>
                            </w:pPr>
                            <w:r w:rsidRPr="00C86990">
                              <w:rPr>
                                <w:rFonts w:ascii="標楷體" w:eastAsia="標楷體" w:hAnsi="標楷體" w:cs="新細明體" w:hint="eastAsia"/>
                                <w:b/>
                                <w:color w:val="000000"/>
                                <w:sz w:val="20"/>
                              </w:rPr>
                              <w:t>百分比</w:t>
                            </w:r>
                          </w:p>
                        </w:tc>
                        <w:tc>
                          <w:tcPr>
                            <w:tcW w:w="1083" w:type="dxa"/>
                            <w:shd w:val="clear" w:color="auto" w:fill="auto"/>
                            <w:vAlign w:val="bottom"/>
                          </w:tcPr>
                          <w:p w14:paraId="2D3775B7"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100.00</w:t>
                            </w:r>
                          </w:p>
                        </w:tc>
                        <w:tc>
                          <w:tcPr>
                            <w:tcW w:w="1184" w:type="dxa"/>
                            <w:shd w:val="clear" w:color="auto" w:fill="auto"/>
                            <w:noWrap/>
                            <w:vAlign w:val="bottom"/>
                          </w:tcPr>
                          <w:p w14:paraId="43ABAB4C"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30.42</w:t>
                            </w:r>
                          </w:p>
                        </w:tc>
                        <w:tc>
                          <w:tcPr>
                            <w:tcW w:w="1087" w:type="dxa"/>
                            <w:shd w:val="clear" w:color="auto" w:fill="auto"/>
                            <w:noWrap/>
                            <w:vAlign w:val="bottom"/>
                          </w:tcPr>
                          <w:p w14:paraId="2BD756D5"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69.58</w:t>
                            </w:r>
                          </w:p>
                        </w:tc>
                        <w:tc>
                          <w:tcPr>
                            <w:tcW w:w="1189" w:type="dxa"/>
                            <w:shd w:val="clear" w:color="auto" w:fill="auto"/>
                            <w:vAlign w:val="bottom"/>
                          </w:tcPr>
                          <w:p w14:paraId="7F2AE325"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12.92</w:t>
                            </w:r>
                          </w:p>
                        </w:tc>
                        <w:tc>
                          <w:tcPr>
                            <w:tcW w:w="1417" w:type="dxa"/>
                            <w:shd w:val="clear" w:color="auto" w:fill="auto"/>
                            <w:vAlign w:val="bottom"/>
                          </w:tcPr>
                          <w:p w14:paraId="2B59045E" w14:textId="77777777" w:rsidR="00A0212B" w:rsidRPr="00C86990" w:rsidRDefault="00A0212B" w:rsidP="00561F2C">
                            <w:pPr>
                              <w:jc w:val="right"/>
                              <w:rPr>
                                <w:rFonts w:ascii="標楷體" w:eastAsia="標楷體" w:hAnsi="標楷體"/>
                                <w:b/>
                                <w:color w:val="000000"/>
                                <w:sz w:val="20"/>
                              </w:rPr>
                            </w:pPr>
                            <w:r w:rsidRPr="00C86990">
                              <w:rPr>
                                <w:rFonts w:ascii="標楷體" w:eastAsia="標楷體" w:hAnsi="標楷體" w:hint="eastAsia"/>
                                <w:b/>
                                <w:color w:val="000000"/>
                                <w:sz w:val="20"/>
                              </w:rPr>
                              <w:t>56.65</w:t>
                            </w:r>
                          </w:p>
                        </w:tc>
                      </w:tr>
                      <w:tr w:rsidR="00A0212B" w:rsidRPr="009549A8" w14:paraId="7176C1C5" w14:textId="77777777" w:rsidTr="00E31547">
                        <w:trPr>
                          <w:trHeight w:val="300"/>
                          <w:jc w:val="center"/>
                        </w:trPr>
                        <w:tc>
                          <w:tcPr>
                            <w:tcW w:w="723" w:type="dxa"/>
                            <w:vMerge w:val="restart"/>
                            <w:shd w:val="clear" w:color="auto" w:fill="auto"/>
                            <w:noWrap/>
                            <w:vAlign w:val="center"/>
                            <w:hideMark/>
                          </w:tcPr>
                          <w:p w14:paraId="301FB4A7"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109</w:t>
                            </w:r>
                          </w:p>
                        </w:tc>
                        <w:tc>
                          <w:tcPr>
                            <w:tcW w:w="1060" w:type="dxa"/>
                            <w:shd w:val="clear" w:color="auto" w:fill="auto"/>
                            <w:noWrap/>
                            <w:vAlign w:val="center"/>
                            <w:hideMark/>
                          </w:tcPr>
                          <w:p w14:paraId="4B623944"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輛次</w:t>
                            </w:r>
                          </w:p>
                        </w:tc>
                        <w:tc>
                          <w:tcPr>
                            <w:tcW w:w="1083" w:type="dxa"/>
                            <w:shd w:val="clear" w:color="auto" w:fill="auto"/>
                            <w:vAlign w:val="bottom"/>
                          </w:tcPr>
                          <w:p w14:paraId="123BD44D"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11,342</w:t>
                            </w:r>
                          </w:p>
                        </w:tc>
                        <w:tc>
                          <w:tcPr>
                            <w:tcW w:w="1184" w:type="dxa"/>
                            <w:shd w:val="clear" w:color="auto" w:fill="auto"/>
                            <w:noWrap/>
                            <w:vAlign w:val="bottom"/>
                          </w:tcPr>
                          <w:p w14:paraId="1C4C4559"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2,530</w:t>
                            </w:r>
                          </w:p>
                        </w:tc>
                        <w:tc>
                          <w:tcPr>
                            <w:tcW w:w="1087" w:type="dxa"/>
                            <w:shd w:val="clear" w:color="auto" w:fill="auto"/>
                            <w:noWrap/>
                            <w:vAlign w:val="bottom"/>
                          </w:tcPr>
                          <w:p w14:paraId="350D23BA"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8,812</w:t>
                            </w:r>
                          </w:p>
                        </w:tc>
                        <w:tc>
                          <w:tcPr>
                            <w:tcW w:w="1189" w:type="dxa"/>
                            <w:shd w:val="clear" w:color="auto" w:fill="auto"/>
                            <w:vAlign w:val="bottom"/>
                          </w:tcPr>
                          <w:p w14:paraId="5420597B"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1,555</w:t>
                            </w:r>
                          </w:p>
                        </w:tc>
                        <w:tc>
                          <w:tcPr>
                            <w:tcW w:w="1417" w:type="dxa"/>
                            <w:shd w:val="clear" w:color="auto" w:fill="auto"/>
                            <w:vAlign w:val="bottom"/>
                          </w:tcPr>
                          <w:p w14:paraId="7815A563"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7,257</w:t>
                            </w:r>
                          </w:p>
                        </w:tc>
                      </w:tr>
                      <w:tr w:rsidR="00A0212B" w:rsidRPr="009549A8" w14:paraId="29275D02" w14:textId="77777777" w:rsidTr="00E31547">
                        <w:trPr>
                          <w:trHeight w:val="300"/>
                          <w:jc w:val="center"/>
                        </w:trPr>
                        <w:tc>
                          <w:tcPr>
                            <w:tcW w:w="723" w:type="dxa"/>
                            <w:vMerge/>
                            <w:vAlign w:val="center"/>
                            <w:hideMark/>
                          </w:tcPr>
                          <w:p w14:paraId="73F497AD" w14:textId="77777777" w:rsidR="00A0212B" w:rsidRPr="009549A8" w:rsidRDefault="00A0212B" w:rsidP="00561F2C">
                            <w:pPr>
                              <w:rPr>
                                <w:rFonts w:ascii="標楷體" w:eastAsia="標楷體" w:hAnsi="標楷體" w:cs="新細明體"/>
                                <w:color w:val="000000"/>
                                <w:sz w:val="20"/>
                              </w:rPr>
                            </w:pPr>
                          </w:p>
                        </w:tc>
                        <w:tc>
                          <w:tcPr>
                            <w:tcW w:w="1060" w:type="dxa"/>
                            <w:shd w:val="clear" w:color="auto" w:fill="auto"/>
                            <w:noWrap/>
                            <w:vAlign w:val="center"/>
                            <w:hideMark/>
                          </w:tcPr>
                          <w:p w14:paraId="096BC475"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百分比</w:t>
                            </w:r>
                          </w:p>
                        </w:tc>
                        <w:tc>
                          <w:tcPr>
                            <w:tcW w:w="1083" w:type="dxa"/>
                            <w:shd w:val="clear" w:color="auto" w:fill="auto"/>
                            <w:vAlign w:val="bottom"/>
                          </w:tcPr>
                          <w:p w14:paraId="065C72AE"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100.00</w:t>
                            </w:r>
                          </w:p>
                        </w:tc>
                        <w:tc>
                          <w:tcPr>
                            <w:tcW w:w="1184" w:type="dxa"/>
                            <w:shd w:val="clear" w:color="auto" w:fill="auto"/>
                            <w:noWrap/>
                            <w:vAlign w:val="bottom"/>
                          </w:tcPr>
                          <w:p w14:paraId="23A83D34"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22.31</w:t>
                            </w:r>
                          </w:p>
                        </w:tc>
                        <w:tc>
                          <w:tcPr>
                            <w:tcW w:w="1087" w:type="dxa"/>
                            <w:shd w:val="clear" w:color="auto" w:fill="auto"/>
                            <w:noWrap/>
                            <w:vAlign w:val="bottom"/>
                          </w:tcPr>
                          <w:p w14:paraId="0840AC04"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77.69</w:t>
                            </w:r>
                          </w:p>
                        </w:tc>
                        <w:tc>
                          <w:tcPr>
                            <w:tcW w:w="1189" w:type="dxa"/>
                            <w:shd w:val="clear" w:color="auto" w:fill="auto"/>
                            <w:vAlign w:val="bottom"/>
                          </w:tcPr>
                          <w:p w14:paraId="3413CACE"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13.71</w:t>
                            </w:r>
                          </w:p>
                        </w:tc>
                        <w:tc>
                          <w:tcPr>
                            <w:tcW w:w="1417" w:type="dxa"/>
                            <w:shd w:val="clear" w:color="auto" w:fill="auto"/>
                            <w:vAlign w:val="bottom"/>
                          </w:tcPr>
                          <w:p w14:paraId="765800E6"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63.98</w:t>
                            </w:r>
                          </w:p>
                        </w:tc>
                      </w:tr>
                      <w:tr w:rsidR="00A0212B" w:rsidRPr="009549A8" w14:paraId="4834137E" w14:textId="77777777" w:rsidTr="00E31547">
                        <w:trPr>
                          <w:trHeight w:val="300"/>
                          <w:jc w:val="center"/>
                        </w:trPr>
                        <w:tc>
                          <w:tcPr>
                            <w:tcW w:w="723" w:type="dxa"/>
                            <w:vMerge w:val="restart"/>
                            <w:shd w:val="clear" w:color="auto" w:fill="auto"/>
                            <w:noWrap/>
                            <w:vAlign w:val="center"/>
                            <w:hideMark/>
                          </w:tcPr>
                          <w:p w14:paraId="6627ED77"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110</w:t>
                            </w:r>
                          </w:p>
                        </w:tc>
                        <w:tc>
                          <w:tcPr>
                            <w:tcW w:w="1060" w:type="dxa"/>
                            <w:shd w:val="clear" w:color="auto" w:fill="auto"/>
                            <w:noWrap/>
                            <w:vAlign w:val="center"/>
                            <w:hideMark/>
                          </w:tcPr>
                          <w:p w14:paraId="24CDE2F9"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輛次</w:t>
                            </w:r>
                          </w:p>
                        </w:tc>
                        <w:tc>
                          <w:tcPr>
                            <w:tcW w:w="1083" w:type="dxa"/>
                            <w:shd w:val="clear" w:color="auto" w:fill="auto"/>
                            <w:vAlign w:val="bottom"/>
                          </w:tcPr>
                          <w:p w14:paraId="09891DC9"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14,640</w:t>
                            </w:r>
                          </w:p>
                        </w:tc>
                        <w:tc>
                          <w:tcPr>
                            <w:tcW w:w="1184" w:type="dxa"/>
                            <w:shd w:val="clear" w:color="auto" w:fill="auto"/>
                            <w:noWrap/>
                            <w:vAlign w:val="bottom"/>
                          </w:tcPr>
                          <w:p w14:paraId="6C486BC1"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4,109</w:t>
                            </w:r>
                          </w:p>
                        </w:tc>
                        <w:tc>
                          <w:tcPr>
                            <w:tcW w:w="1087" w:type="dxa"/>
                            <w:shd w:val="clear" w:color="auto" w:fill="auto"/>
                            <w:noWrap/>
                            <w:vAlign w:val="bottom"/>
                          </w:tcPr>
                          <w:p w14:paraId="315AACBF"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10,531</w:t>
                            </w:r>
                          </w:p>
                        </w:tc>
                        <w:tc>
                          <w:tcPr>
                            <w:tcW w:w="1189" w:type="dxa"/>
                            <w:shd w:val="clear" w:color="auto" w:fill="auto"/>
                            <w:vAlign w:val="bottom"/>
                          </w:tcPr>
                          <w:p w14:paraId="7EA1E8EF"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1,983</w:t>
                            </w:r>
                          </w:p>
                        </w:tc>
                        <w:tc>
                          <w:tcPr>
                            <w:tcW w:w="1417" w:type="dxa"/>
                            <w:shd w:val="clear" w:color="auto" w:fill="auto"/>
                            <w:vAlign w:val="bottom"/>
                          </w:tcPr>
                          <w:p w14:paraId="247218F4"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8,548</w:t>
                            </w:r>
                          </w:p>
                        </w:tc>
                      </w:tr>
                      <w:tr w:rsidR="00A0212B" w:rsidRPr="009549A8" w14:paraId="09A88800" w14:textId="77777777" w:rsidTr="00E31547">
                        <w:trPr>
                          <w:trHeight w:val="300"/>
                          <w:jc w:val="center"/>
                        </w:trPr>
                        <w:tc>
                          <w:tcPr>
                            <w:tcW w:w="723" w:type="dxa"/>
                            <w:vMerge/>
                            <w:vAlign w:val="center"/>
                            <w:hideMark/>
                          </w:tcPr>
                          <w:p w14:paraId="10DCB439" w14:textId="77777777" w:rsidR="00A0212B" w:rsidRPr="009549A8" w:rsidRDefault="00A0212B" w:rsidP="00561F2C">
                            <w:pPr>
                              <w:rPr>
                                <w:rFonts w:ascii="標楷體" w:eastAsia="標楷體" w:hAnsi="標楷體" w:cs="新細明體"/>
                                <w:color w:val="000000"/>
                                <w:sz w:val="20"/>
                              </w:rPr>
                            </w:pPr>
                          </w:p>
                        </w:tc>
                        <w:tc>
                          <w:tcPr>
                            <w:tcW w:w="1060" w:type="dxa"/>
                            <w:shd w:val="clear" w:color="auto" w:fill="auto"/>
                            <w:noWrap/>
                            <w:vAlign w:val="center"/>
                            <w:hideMark/>
                          </w:tcPr>
                          <w:p w14:paraId="7DFAB450"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百分比</w:t>
                            </w:r>
                          </w:p>
                        </w:tc>
                        <w:tc>
                          <w:tcPr>
                            <w:tcW w:w="1083" w:type="dxa"/>
                            <w:shd w:val="clear" w:color="auto" w:fill="auto"/>
                            <w:vAlign w:val="bottom"/>
                          </w:tcPr>
                          <w:p w14:paraId="15E45774"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100.00</w:t>
                            </w:r>
                          </w:p>
                        </w:tc>
                        <w:tc>
                          <w:tcPr>
                            <w:tcW w:w="1184" w:type="dxa"/>
                            <w:shd w:val="clear" w:color="auto" w:fill="auto"/>
                            <w:noWrap/>
                            <w:vAlign w:val="bottom"/>
                          </w:tcPr>
                          <w:p w14:paraId="73FBB050"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28.07</w:t>
                            </w:r>
                          </w:p>
                        </w:tc>
                        <w:tc>
                          <w:tcPr>
                            <w:tcW w:w="1087" w:type="dxa"/>
                            <w:shd w:val="clear" w:color="auto" w:fill="auto"/>
                            <w:noWrap/>
                            <w:vAlign w:val="bottom"/>
                          </w:tcPr>
                          <w:p w14:paraId="19A7EF97"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71.93</w:t>
                            </w:r>
                          </w:p>
                        </w:tc>
                        <w:tc>
                          <w:tcPr>
                            <w:tcW w:w="1189" w:type="dxa"/>
                            <w:shd w:val="clear" w:color="auto" w:fill="auto"/>
                            <w:vAlign w:val="bottom"/>
                          </w:tcPr>
                          <w:p w14:paraId="5A9F3784"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13.55</w:t>
                            </w:r>
                          </w:p>
                        </w:tc>
                        <w:tc>
                          <w:tcPr>
                            <w:tcW w:w="1417" w:type="dxa"/>
                            <w:shd w:val="clear" w:color="auto" w:fill="auto"/>
                            <w:vAlign w:val="bottom"/>
                          </w:tcPr>
                          <w:p w14:paraId="29219D9E"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58.39</w:t>
                            </w:r>
                          </w:p>
                        </w:tc>
                      </w:tr>
                      <w:tr w:rsidR="00A0212B" w:rsidRPr="009549A8" w14:paraId="4B0B4C07" w14:textId="77777777" w:rsidTr="00E31547">
                        <w:trPr>
                          <w:trHeight w:val="300"/>
                          <w:jc w:val="center"/>
                        </w:trPr>
                        <w:tc>
                          <w:tcPr>
                            <w:tcW w:w="723" w:type="dxa"/>
                            <w:vMerge w:val="restart"/>
                            <w:shd w:val="clear" w:color="auto" w:fill="auto"/>
                            <w:noWrap/>
                            <w:vAlign w:val="center"/>
                            <w:hideMark/>
                          </w:tcPr>
                          <w:p w14:paraId="2176140F"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111</w:t>
                            </w:r>
                          </w:p>
                        </w:tc>
                        <w:tc>
                          <w:tcPr>
                            <w:tcW w:w="1060" w:type="dxa"/>
                            <w:shd w:val="clear" w:color="auto" w:fill="auto"/>
                            <w:noWrap/>
                            <w:vAlign w:val="center"/>
                            <w:hideMark/>
                          </w:tcPr>
                          <w:p w14:paraId="49EC55CC"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輛次</w:t>
                            </w:r>
                          </w:p>
                        </w:tc>
                        <w:tc>
                          <w:tcPr>
                            <w:tcW w:w="1083" w:type="dxa"/>
                            <w:shd w:val="clear" w:color="auto" w:fill="auto"/>
                            <w:vAlign w:val="bottom"/>
                          </w:tcPr>
                          <w:p w14:paraId="0AA43E7E"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10,599</w:t>
                            </w:r>
                          </w:p>
                        </w:tc>
                        <w:tc>
                          <w:tcPr>
                            <w:tcW w:w="1184" w:type="dxa"/>
                            <w:shd w:val="clear" w:color="auto" w:fill="auto"/>
                            <w:noWrap/>
                            <w:vAlign w:val="bottom"/>
                          </w:tcPr>
                          <w:p w14:paraId="59FE10E8"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4,490</w:t>
                            </w:r>
                          </w:p>
                        </w:tc>
                        <w:tc>
                          <w:tcPr>
                            <w:tcW w:w="1087" w:type="dxa"/>
                            <w:shd w:val="clear" w:color="auto" w:fill="auto"/>
                            <w:noWrap/>
                            <w:vAlign w:val="bottom"/>
                          </w:tcPr>
                          <w:p w14:paraId="02DB89C6"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6,109</w:t>
                            </w:r>
                          </w:p>
                        </w:tc>
                        <w:tc>
                          <w:tcPr>
                            <w:tcW w:w="1189" w:type="dxa"/>
                            <w:shd w:val="clear" w:color="auto" w:fill="auto"/>
                            <w:vAlign w:val="bottom"/>
                          </w:tcPr>
                          <w:p w14:paraId="3B411D37"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1,190</w:t>
                            </w:r>
                          </w:p>
                        </w:tc>
                        <w:tc>
                          <w:tcPr>
                            <w:tcW w:w="1417" w:type="dxa"/>
                            <w:shd w:val="clear" w:color="auto" w:fill="auto"/>
                            <w:vAlign w:val="bottom"/>
                          </w:tcPr>
                          <w:p w14:paraId="4C0A87DF"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4,919</w:t>
                            </w:r>
                          </w:p>
                        </w:tc>
                      </w:tr>
                      <w:tr w:rsidR="00A0212B" w:rsidRPr="009549A8" w14:paraId="0070FC36" w14:textId="77777777" w:rsidTr="00E31547">
                        <w:trPr>
                          <w:trHeight w:val="300"/>
                          <w:jc w:val="center"/>
                        </w:trPr>
                        <w:tc>
                          <w:tcPr>
                            <w:tcW w:w="723" w:type="dxa"/>
                            <w:vMerge/>
                            <w:vAlign w:val="center"/>
                            <w:hideMark/>
                          </w:tcPr>
                          <w:p w14:paraId="0B709677" w14:textId="77777777" w:rsidR="00A0212B" w:rsidRPr="009549A8" w:rsidRDefault="00A0212B" w:rsidP="00561F2C">
                            <w:pPr>
                              <w:rPr>
                                <w:rFonts w:ascii="標楷體" w:eastAsia="標楷體" w:hAnsi="標楷體" w:cs="新細明體"/>
                                <w:color w:val="000000"/>
                                <w:sz w:val="20"/>
                              </w:rPr>
                            </w:pPr>
                          </w:p>
                        </w:tc>
                        <w:tc>
                          <w:tcPr>
                            <w:tcW w:w="1060" w:type="dxa"/>
                            <w:shd w:val="clear" w:color="auto" w:fill="auto"/>
                            <w:noWrap/>
                            <w:vAlign w:val="center"/>
                            <w:hideMark/>
                          </w:tcPr>
                          <w:p w14:paraId="7949189C" w14:textId="77777777" w:rsidR="00A0212B" w:rsidRPr="009549A8" w:rsidRDefault="00A0212B" w:rsidP="00561F2C">
                            <w:pPr>
                              <w:jc w:val="center"/>
                              <w:rPr>
                                <w:rFonts w:ascii="標楷體" w:eastAsia="標楷體" w:hAnsi="標楷體" w:cs="新細明體"/>
                                <w:color w:val="000000"/>
                                <w:sz w:val="20"/>
                              </w:rPr>
                            </w:pPr>
                            <w:r w:rsidRPr="009549A8">
                              <w:rPr>
                                <w:rFonts w:ascii="標楷體" w:eastAsia="標楷體" w:hAnsi="標楷體" w:cs="新細明體" w:hint="eastAsia"/>
                                <w:color w:val="000000"/>
                                <w:sz w:val="20"/>
                              </w:rPr>
                              <w:t>百分比</w:t>
                            </w:r>
                          </w:p>
                        </w:tc>
                        <w:tc>
                          <w:tcPr>
                            <w:tcW w:w="1083" w:type="dxa"/>
                            <w:shd w:val="clear" w:color="auto" w:fill="auto"/>
                            <w:vAlign w:val="bottom"/>
                          </w:tcPr>
                          <w:p w14:paraId="04422085" w14:textId="77777777" w:rsidR="00A0212B" w:rsidRPr="0033693A" w:rsidRDefault="00A0212B" w:rsidP="00561F2C">
                            <w:pPr>
                              <w:jc w:val="right"/>
                              <w:rPr>
                                <w:rFonts w:ascii="標楷體" w:eastAsia="標楷體" w:hAnsi="標楷體"/>
                                <w:b/>
                                <w:color w:val="000000"/>
                                <w:sz w:val="20"/>
                              </w:rPr>
                            </w:pPr>
                            <w:r w:rsidRPr="0033693A">
                              <w:rPr>
                                <w:rFonts w:ascii="標楷體" w:eastAsia="標楷體" w:hAnsi="標楷體" w:hint="eastAsia"/>
                                <w:b/>
                                <w:color w:val="000000"/>
                                <w:sz w:val="20"/>
                              </w:rPr>
                              <w:t>100.00</w:t>
                            </w:r>
                          </w:p>
                        </w:tc>
                        <w:tc>
                          <w:tcPr>
                            <w:tcW w:w="1184" w:type="dxa"/>
                            <w:shd w:val="clear" w:color="auto" w:fill="auto"/>
                            <w:noWrap/>
                            <w:vAlign w:val="bottom"/>
                          </w:tcPr>
                          <w:p w14:paraId="77E64DED"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42.36</w:t>
                            </w:r>
                          </w:p>
                        </w:tc>
                        <w:tc>
                          <w:tcPr>
                            <w:tcW w:w="1087" w:type="dxa"/>
                            <w:shd w:val="clear" w:color="auto" w:fill="auto"/>
                            <w:noWrap/>
                            <w:vAlign w:val="bottom"/>
                          </w:tcPr>
                          <w:p w14:paraId="59488577"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57.64</w:t>
                            </w:r>
                          </w:p>
                        </w:tc>
                        <w:tc>
                          <w:tcPr>
                            <w:tcW w:w="1189" w:type="dxa"/>
                            <w:shd w:val="clear" w:color="auto" w:fill="auto"/>
                            <w:vAlign w:val="bottom"/>
                          </w:tcPr>
                          <w:p w14:paraId="4E35168C"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11.23</w:t>
                            </w:r>
                          </w:p>
                        </w:tc>
                        <w:tc>
                          <w:tcPr>
                            <w:tcW w:w="1417" w:type="dxa"/>
                            <w:shd w:val="clear" w:color="auto" w:fill="auto"/>
                            <w:vAlign w:val="bottom"/>
                          </w:tcPr>
                          <w:p w14:paraId="65AEDD69" w14:textId="77777777" w:rsidR="00A0212B" w:rsidRPr="009549A8" w:rsidRDefault="00A0212B" w:rsidP="00561F2C">
                            <w:pPr>
                              <w:jc w:val="right"/>
                              <w:rPr>
                                <w:rFonts w:ascii="標楷體" w:eastAsia="標楷體" w:hAnsi="標楷體"/>
                                <w:color w:val="000000"/>
                                <w:sz w:val="20"/>
                              </w:rPr>
                            </w:pPr>
                            <w:r w:rsidRPr="009549A8">
                              <w:rPr>
                                <w:rFonts w:ascii="標楷體" w:eastAsia="標楷體" w:hAnsi="標楷體" w:hint="eastAsia"/>
                                <w:color w:val="000000"/>
                                <w:sz w:val="20"/>
                              </w:rPr>
                              <w:t>46.41</w:t>
                            </w:r>
                          </w:p>
                        </w:tc>
                      </w:tr>
                    </w:tbl>
                    <w:p w14:paraId="098848C9" w14:textId="77777777" w:rsidR="00A0212B" w:rsidRPr="00561F2C" w:rsidRDefault="00A0212B" w:rsidP="00BA058C">
                      <w:pPr>
                        <w:overflowPunct w:val="0"/>
                        <w:adjustRightInd w:val="0"/>
                        <w:snapToGrid w:val="0"/>
                        <w:ind w:leftChars="83" w:left="707" w:rightChars="63" w:right="151" w:hangingChars="282" w:hanging="508"/>
                        <w:jc w:val="both"/>
                        <w:rPr>
                          <w:rFonts w:ascii="標楷體" w:eastAsia="標楷體" w:hAnsi="標楷體"/>
                          <w:snapToGrid w:val="0"/>
                          <w:spacing w:val="-4"/>
                          <w:sz w:val="18"/>
                          <w:szCs w:val="32"/>
                        </w:rPr>
                      </w:pPr>
                      <w:r w:rsidRPr="009549A8">
                        <w:rPr>
                          <w:rFonts w:ascii="標楷體" w:eastAsia="標楷體" w:hAnsi="標楷體" w:hint="eastAsia"/>
                          <w:snapToGrid w:val="0"/>
                          <w:sz w:val="18"/>
                          <w:szCs w:val="32"/>
                        </w:rPr>
                        <w:t>註：1.違反道路交通管理事件統一裁罰基準及處理細則第12條第1項第13款規定：「行為人有下列情形之一，而未嚴重危害交通安全、秩序，且情節輕微，以不舉發為適當者，交通勤務</w:t>
                      </w:r>
                      <w:r w:rsidRPr="00561F2C">
                        <w:rPr>
                          <w:rFonts w:ascii="標楷體" w:eastAsia="標楷體" w:hAnsi="標楷體" w:hint="eastAsia"/>
                          <w:snapToGrid w:val="0"/>
                          <w:spacing w:val="-4"/>
                          <w:sz w:val="18"/>
                          <w:szCs w:val="32"/>
                        </w:rPr>
                        <w:t>警察或依法令執行交通稽查任務人員得對其施以勸導，免予舉發：十三、駕駛汽車裝載貨物超過核定之總重量或總聯結重量，未逾10％。」另交通部104年1月14日交路字第1030416686號函釋，前開規定並非容許汽車裝載貨物得有超載且未逾核定總重量10％之情形。</w:t>
                      </w:r>
                    </w:p>
                    <w:p w14:paraId="4C5CFE18" w14:textId="3A5B9EF7" w:rsidR="00A0212B" w:rsidRPr="005269CB" w:rsidRDefault="00A0212B" w:rsidP="00A65D33">
                      <w:pPr>
                        <w:overflowPunct w:val="0"/>
                        <w:adjustRightInd w:val="0"/>
                        <w:snapToGrid w:val="0"/>
                        <w:ind w:leftChars="79" w:left="698" w:rightChars="63" w:right="151" w:hangingChars="282" w:hanging="508"/>
                        <w:jc w:val="both"/>
                        <w:rPr>
                          <w:rFonts w:ascii="標楷體" w:eastAsia="標楷體" w:hAnsi="標楷體"/>
                          <w:snapToGrid w:val="0"/>
                          <w:sz w:val="18"/>
                          <w:szCs w:val="32"/>
                        </w:rPr>
                      </w:pPr>
                      <w:r w:rsidRPr="009549A8">
                        <w:rPr>
                          <w:rFonts w:ascii="標楷體" w:eastAsia="標楷體" w:hAnsi="標楷體" w:hint="eastAsia"/>
                          <w:snapToGrid w:val="0"/>
                          <w:sz w:val="18"/>
                          <w:szCs w:val="32"/>
                        </w:rPr>
                        <w:t xml:space="preserve">　　2.資料來源：整理自</w:t>
                      </w:r>
                      <w:r w:rsidR="00EC3ACE">
                        <w:rPr>
                          <w:rFonts w:ascii="標楷體" w:eastAsia="標楷體" w:hAnsi="標楷體" w:hint="eastAsia"/>
                          <w:snapToGrid w:val="0"/>
                          <w:sz w:val="18"/>
                          <w:szCs w:val="32"/>
                        </w:rPr>
                        <w:t>環境部</w:t>
                      </w:r>
                      <w:r w:rsidRPr="009549A8">
                        <w:rPr>
                          <w:rFonts w:ascii="標楷體" w:eastAsia="標楷體" w:hAnsi="標楷體" w:hint="eastAsia"/>
                          <w:snapToGrid w:val="0"/>
                          <w:sz w:val="18"/>
                          <w:szCs w:val="32"/>
                        </w:rPr>
                        <w:t>及</w:t>
                      </w:r>
                      <w:r>
                        <w:rPr>
                          <w:rFonts w:ascii="標楷體" w:eastAsia="標楷體" w:hAnsi="標楷體" w:hint="eastAsia"/>
                          <w:snapToGrid w:val="0"/>
                          <w:sz w:val="18"/>
                          <w:szCs w:val="32"/>
                        </w:rPr>
                        <w:t>交通部</w:t>
                      </w:r>
                      <w:r w:rsidRPr="009549A8">
                        <w:rPr>
                          <w:rFonts w:ascii="標楷體" w:eastAsia="標楷體" w:hAnsi="標楷體" w:hint="eastAsia"/>
                          <w:snapToGrid w:val="0"/>
                          <w:sz w:val="18"/>
                          <w:szCs w:val="32"/>
                        </w:rPr>
                        <w:t>公路局提供資料。</w:t>
                      </w:r>
                    </w:p>
                  </w:txbxContent>
                </v:textbox>
                <w10:wrap type="tight"/>
              </v:shape>
            </w:pict>
          </mc:Fallback>
        </mc:AlternateContent>
      </w:r>
      <w:r w:rsidR="00F15171" w:rsidRPr="001C2BBE">
        <w:rPr>
          <w:rFonts w:hint="eastAsia"/>
          <w:b/>
        </w:rPr>
        <w:t>1.</w:t>
      </w:r>
      <w:r w:rsidR="00F15171">
        <w:rPr>
          <w:rFonts w:hint="eastAsia"/>
          <w:b/>
        </w:rPr>
        <w:t xml:space="preserve">　</w:t>
      </w:r>
      <w:r w:rsidR="00F15171" w:rsidRPr="001C2BBE">
        <w:rPr>
          <w:rFonts w:hint="eastAsia"/>
          <w:b/>
        </w:rPr>
        <w:t>部分營建事業廢棄物清運車輛超重問題嚴重，執法取締量能有限，實際遭裁罰比率偏低，無法有效遏止違規超載：</w:t>
      </w:r>
      <w:r w:rsidR="00F15171" w:rsidRPr="001C2BBE">
        <w:rPr>
          <w:rFonts w:hint="eastAsia"/>
        </w:rPr>
        <w:t>政府推動營建事業廢棄物再利用，透過環境部事業廢棄物申報及管理資訊系統（下稱廢棄物申報管理系統），以GPS技術及電子聯單功能，追蹤掌握清運車輛車行軌跡及進入收容處理場所之過磅資料，有助減少違法棄置，及促進資源有效利用。按環境部提供109至111年度廢棄物申報管理系統之「土木或建築廢棄物混合物（D-0599）」及「營建混合物（R-0503）」逐筆流向電子聯單資料，其中單一車次申報營建事業廢棄物重量（即道路交通安全規則所稱載重）曾逾40公噸者，計有305輛清運車輛。經統計前揭305輛清運車輛109至111年度合計3萬6,581輛次之流向資料中，超過核定之總重量或總聯結重量者，合計2萬5,452輛次（占69.58％，</w:t>
      </w:r>
      <w:r w:rsidR="00F15171" w:rsidRPr="006678C5">
        <w:rPr>
          <w:rFonts w:hint="eastAsia"/>
        </w:rPr>
        <w:t>表</w:t>
      </w:r>
      <w:r w:rsidR="00F56D79" w:rsidRPr="006678C5">
        <w:rPr>
          <w:rFonts w:hint="eastAsia"/>
        </w:rPr>
        <w:t>3</w:t>
      </w:r>
      <w:r w:rsidR="001D4056" w:rsidRPr="006678C5">
        <w:rPr>
          <w:rFonts w:hint="eastAsia"/>
        </w:rPr>
        <w:t>1</w:t>
      </w:r>
      <w:r w:rsidR="00F15171" w:rsidRPr="001C2BBE">
        <w:rPr>
          <w:rFonts w:hint="eastAsia"/>
        </w:rPr>
        <w:t>）；其中，超過核定之總重量或總聯結重量且逾10％者，合計2萬724輛次（占56.65％，</w:t>
      </w:r>
      <w:r w:rsidR="00F15171" w:rsidRPr="006678C5">
        <w:rPr>
          <w:rFonts w:hint="eastAsia"/>
        </w:rPr>
        <w:t>表</w:t>
      </w:r>
      <w:r w:rsidR="00F56D79" w:rsidRPr="006678C5">
        <w:rPr>
          <w:rFonts w:hint="eastAsia"/>
        </w:rPr>
        <w:t>3</w:t>
      </w:r>
      <w:r w:rsidR="001D4056" w:rsidRPr="006678C5">
        <w:rPr>
          <w:rFonts w:hint="eastAsia"/>
        </w:rPr>
        <w:t>1</w:t>
      </w:r>
      <w:r w:rsidR="00F15171" w:rsidRPr="001C2BBE">
        <w:rPr>
          <w:rFonts w:hint="eastAsia"/>
        </w:rPr>
        <w:t>）。惟據交通部公路局提供同期間相同超重車輛之違規超載裁罰資料，僅有351筆超重裁罰紀錄，裁罰比率僅1.69％（351/20,724 × 100％），顯示現行警方攔查過磅機制，及取締量能有限，無法有效遏止營建事業廢棄物清運車輛嚴重超載問題</w:t>
      </w:r>
      <w:r w:rsidR="001B39EB">
        <w:rPr>
          <w:rFonts w:hint="eastAsia"/>
        </w:rPr>
        <w:t>。</w:t>
      </w:r>
      <w:r w:rsidR="00F15171" w:rsidRPr="001C2BBE">
        <w:rPr>
          <w:rFonts w:hint="eastAsia"/>
        </w:rPr>
        <w:t>經函請行政院督促相關權責機關建立營建事業廢棄物申報重量管制及超載通報機制，並對高風險清運車輛、清運業者及收容處理場所，加強輔導與查緝，以促使清運業者依規</w:t>
      </w:r>
      <w:r w:rsidR="008E2852">
        <w:rPr>
          <w:rFonts w:hint="eastAsia"/>
        </w:rPr>
        <w:t>定</w:t>
      </w:r>
      <w:r w:rsidR="00F15171" w:rsidRPr="001C2BBE">
        <w:rPr>
          <w:rFonts w:hint="eastAsia"/>
        </w:rPr>
        <w:t>載運。據復：內政部將修訂「營建事業廢棄物再利用管理辦法」，輔導營建混合物再利用機構設置閉路電視錄影監視系統，以利記錄清運車輛之車牌及車輛總重，協助改善廢棄物清運車輛超載問題；環境部為強化營建事業廢棄物聯單申報量超過車輛允許載運廢棄物之重量10％之示警，後續將結合廢棄物申報管理系統之聯單申報量，與清運車輛車籍資料之載重，將申報量超重之聯單清運業者、車輛車號資料及次數，通報交通主管機關進行管制；交通部請環境部將超重資料即時提供警察機關據以執行稽查、舉發超載違規，或定期統計將常有超載情形之裝卸場所地點、廠商，彙整提供各警察機關參考。</w:t>
      </w:r>
    </w:p>
    <w:p w14:paraId="781608BE" w14:textId="7B576601" w:rsidR="00A15E84" w:rsidRPr="00B4405D" w:rsidRDefault="00755030" w:rsidP="0010250E">
      <w:pPr>
        <w:pStyle w:val="2-2"/>
        <w:jc w:val="both"/>
      </w:pPr>
      <w:r>
        <w:rPr>
          <w:noProof/>
        </w:rPr>
        <w:lastRenderedPageBreak/>
        <mc:AlternateContent>
          <mc:Choice Requires="wps">
            <w:drawing>
              <wp:anchor distT="45720" distB="45720" distL="114300" distR="114300" simplePos="0" relativeHeight="251628544" behindDoc="1" locked="0" layoutInCell="1" allowOverlap="1" wp14:anchorId="429EEAEF" wp14:editId="0F928B1F">
                <wp:simplePos x="0" y="0"/>
                <wp:positionH relativeFrom="column">
                  <wp:posOffset>1669415</wp:posOffset>
                </wp:positionH>
                <wp:positionV relativeFrom="paragraph">
                  <wp:posOffset>4914900</wp:posOffset>
                </wp:positionV>
                <wp:extent cx="4623435" cy="2112885"/>
                <wp:effectExtent l="0" t="0" r="5715" b="1905"/>
                <wp:wrapTight wrapText="bothSides">
                  <wp:wrapPolygon edited="0">
                    <wp:start x="0" y="0"/>
                    <wp:lineTo x="0" y="21425"/>
                    <wp:lineTo x="21538" y="21425"/>
                    <wp:lineTo x="21538" y="0"/>
                    <wp:lineTo x="0" y="0"/>
                  </wp:wrapPolygon>
                </wp:wrapTight>
                <wp:docPr id="95" name="文字方塊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3435" cy="211288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B27F4DD" w14:textId="53F3BCC2" w:rsidR="00A0212B" w:rsidRPr="0033693A" w:rsidRDefault="00A0212B" w:rsidP="00302FDC">
                            <w:pPr>
                              <w:jc w:val="center"/>
                              <w:rPr>
                                <w:rFonts w:ascii="標楷體" w:eastAsia="標楷體" w:hAnsi="標楷體"/>
                                <w:b/>
                              </w:rPr>
                            </w:pPr>
                            <w:r w:rsidRPr="0033693A">
                              <w:rPr>
                                <w:rFonts w:ascii="標楷體" w:eastAsia="標楷體" w:hAnsi="標楷體" w:hint="eastAsia"/>
                                <w:b/>
                              </w:rPr>
                              <w:t>表</w:t>
                            </w:r>
                            <w:r>
                              <w:rPr>
                                <w:rFonts w:ascii="標楷體" w:eastAsia="標楷體" w:hAnsi="標楷體"/>
                                <w:b/>
                              </w:rPr>
                              <w:t>32</w:t>
                            </w:r>
                            <w:r w:rsidRPr="0033693A">
                              <w:rPr>
                                <w:rFonts w:ascii="標楷體" w:eastAsia="標楷體" w:hAnsi="標楷體" w:hint="eastAsia"/>
                                <w:b/>
                              </w:rPr>
                              <w:t xml:space="preserve">　歷年交通部函釋認定適用砂石專用車之砂石土方種類</w:t>
                            </w:r>
                          </w:p>
                          <w:tbl>
                            <w:tblPr>
                              <w:tblW w:w="65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9"/>
                              <w:gridCol w:w="2595"/>
                              <w:gridCol w:w="3515"/>
                            </w:tblGrid>
                            <w:tr w:rsidR="00A0212B" w:rsidRPr="00C41B4C" w14:paraId="4AA01ECE" w14:textId="77777777" w:rsidTr="00321FC8">
                              <w:trPr>
                                <w:trHeight w:val="283"/>
                                <w:tblHeader/>
                                <w:jc w:val="center"/>
                              </w:trPr>
                              <w:tc>
                                <w:tcPr>
                                  <w:tcW w:w="449" w:type="dxa"/>
                                  <w:shd w:val="clear" w:color="auto" w:fill="auto"/>
                                </w:tcPr>
                                <w:p w14:paraId="16E97B15" w14:textId="77777777" w:rsidR="00A0212B" w:rsidRPr="00C41B4C" w:rsidRDefault="00A0212B" w:rsidP="00321FC8">
                                  <w:pPr>
                                    <w:overflowPunct w:val="0"/>
                                    <w:adjustRightInd w:val="0"/>
                                    <w:snapToGrid w:val="0"/>
                                    <w:ind w:leftChars="-40" w:left="-96" w:rightChars="-35" w:right="-84"/>
                                    <w:jc w:val="center"/>
                                    <w:rPr>
                                      <w:rFonts w:ascii="標楷體" w:eastAsia="標楷體" w:hAnsi="標楷體"/>
                                      <w:snapToGrid w:val="0"/>
                                      <w:sz w:val="20"/>
                                    </w:rPr>
                                  </w:pPr>
                                  <w:r w:rsidRPr="00C41B4C">
                                    <w:rPr>
                                      <w:rFonts w:ascii="標楷體" w:eastAsia="標楷體" w:hAnsi="標楷體" w:hint="eastAsia"/>
                                      <w:snapToGrid w:val="0"/>
                                      <w:sz w:val="20"/>
                                    </w:rPr>
                                    <w:t>項次</w:t>
                                  </w:r>
                                </w:p>
                              </w:tc>
                              <w:tc>
                                <w:tcPr>
                                  <w:tcW w:w="2595" w:type="dxa"/>
                                  <w:shd w:val="clear" w:color="auto" w:fill="auto"/>
                                </w:tcPr>
                                <w:p w14:paraId="1623A255" w14:textId="77777777" w:rsidR="00A0212B" w:rsidRPr="00C41B4C" w:rsidRDefault="00A0212B" w:rsidP="00321FC8">
                                  <w:pPr>
                                    <w:wordWrap w:val="0"/>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相關函文</w:t>
                                  </w:r>
                                </w:p>
                              </w:tc>
                              <w:tc>
                                <w:tcPr>
                                  <w:tcW w:w="3515" w:type="dxa"/>
                                  <w:shd w:val="clear" w:color="auto" w:fill="auto"/>
                                </w:tcPr>
                                <w:p w14:paraId="70175837"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適用砂石專用車之砂石土方種類</w:t>
                                  </w:r>
                                </w:p>
                              </w:tc>
                            </w:tr>
                            <w:tr w:rsidR="00A0212B" w:rsidRPr="00C41B4C" w14:paraId="04F6C2DC" w14:textId="77777777" w:rsidTr="00971A51">
                              <w:trPr>
                                <w:trHeight w:val="297"/>
                                <w:jc w:val="center"/>
                              </w:trPr>
                              <w:tc>
                                <w:tcPr>
                                  <w:tcW w:w="449" w:type="dxa"/>
                                  <w:shd w:val="clear" w:color="auto" w:fill="auto"/>
                                  <w:vAlign w:val="center"/>
                                </w:tcPr>
                                <w:p w14:paraId="7BCAA32B"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1</w:t>
                                  </w:r>
                                </w:p>
                              </w:tc>
                              <w:tc>
                                <w:tcPr>
                                  <w:tcW w:w="2595" w:type="dxa"/>
                                  <w:shd w:val="clear" w:color="auto" w:fill="auto"/>
                                  <w:vAlign w:val="center"/>
                                </w:tcPr>
                                <w:p w14:paraId="27E29CC3"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95年1月4日</w:t>
                                  </w:r>
                                </w:p>
                                <w:p w14:paraId="3BA4AD4C"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交路字第0940067397號函</w:t>
                                  </w:r>
                                </w:p>
                              </w:tc>
                              <w:tc>
                                <w:tcPr>
                                  <w:tcW w:w="3515" w:type="dxa"/>
                                  <w:shd w:val="clear" w:color="auto" w:fill="auto"/>
                                  <w:vAlign w:val="center"/>
                                </w:tcPr>
                                <w:p w14:paraId="379908E3" w14:textId="77777777" w:rsidR="00A0212B" w:rsidRPr="00C41B4C" w:rsidRDefault="00A0212B" w:rsidP="00321FC8">
                                  <w:pPr>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載運廢土方（附載運水泥塊）</w:t>
                                  </w:r>
                                </w:p>
                              </w:tc>
                            </w:tr>
                            <w:tr w:rsidR="00A0212B" w:rsidRPr="00C41B4C" w14:paraId="4416CD85" w14:textId="77777777" w:rsidTr="00971A51">
                              <w:trPr>
                                <w:trHeight w:val="580"/>
                                <w:jc w:val="center"/>
                              </w:trPr>
                              <w:tc>
                                <w:tcPr>
                                  <w:tcW w:w="449" w:type="dxa"/>
                                  <w:shd w:val="clear" w:color="auto" w:fill="auto"/>
                                  <w:vAlign w:val="center"/>
                                </w:tcPr>
                                <w:p w14:paraId="099E35F6"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2</w:t>
                                  </w:r>
                                </w:p>
                              </w:tc>
                              <w:tc>
                                <w:tcPr>
                                  <w:tcW w:w="2595" w:type="dxa"/>
                                  <w:shd w:val="clear" w:color="auto" w:fill="auto"/>
                                  <w:vAlign w:val="center"/>
                                </w:tcPr>
                                <w:p w14:paraId="1588CF26"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95年10月5日</w:t>
                                  </w:r>
                                </w:p>
                                <w:p w14:paraId="3C7FA1CC"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交路字第0950051908號函</w:t>
                                  </w:r>
                                </w:p>
                              </w:tc>
                              <w:tc>
                                <w:tcPr>
                                  <w:tcW w:w="3515" w:type="dxa"/>
                                  <w:shd w:val="clear" w:color="auto" w:fill="auto"/>
                                  <w:vAlign w:val="center"/>
                                </w:tcPr>
                                <w:p w14:paraId="076EE368" w14:textId="77777777" w:rsidR="00A0212B" w:rsidRPr="00C41B4C" w:rsidRDefault="00A0212B" w:rsidP="00321FC8">
                                  <w:pPr>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乾拌水泥砂（為砂石與水泥混合物，以砂石為主要組成）</w:t>
                                  </w:r>
                                </w:p>
                              </w:tc>
                            </w:tr>
                            <w:tr w:rsidR="00A0212B" w:rsidRPr="00C41B4C" w14:paraId="192CAC8D" w14:textId="77777777" w:rsidTr="00971A51">
                              <w:trPr>
                                <w:trHeight w:val="283"/>
                                <w:jc w:val="center"/>
                              </w:trPr>
                              <w:tc>
                                <w:tcPr>
                                  <w:tcW w:w="449" w:type="dxa"/>
                                  <w:shd w:val="clear" w:color="auto" w:fill="auto"/>
                                  <w:vAlign w:val="center"/>
                                </w:tcPr>
                                <w:p w14:paraId="39D73EC2"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3</w:t>
                                  </w:r>
                                </w:p>
                              </w:tc>
                              <w:tc>
                                <w:tcPr>
                                  <w:tcW w:w="2595" w:type="dxa"/>
                                  <w:shd w:val="clear" w:color="auto" w:fill="auto"/>
                                  <w:vAlign w:val="center"/>
                                </w:tcPr>
                                <w:p w14:paraId="118F7158"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101年11月14日</w:t>
                                  </w:r>
                                </w:p>
                                <w:p w14:paraId="46FC00C7"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交路字第1010038521號函</w:t>
                                  </w:r>
                                </w:p>
                              </w:tc>
                              <w:tc>
                                <w:tcPr>
                                  <w:tcW w:w="3515" w:type="dxa"/>
                                  <w:shd w:val="clear" w:color="auto" w:fill="auto"/>
                                  <w:vAlign w:val="center"/>
                                </w:tcPr>
                                <w:p w14:paraId="4CB6BAE4" w14:textId="77777777" w:rsidR="00A0212B" w:rsidRPr="00C41B4C" w:rsidRDefault="00A0212B" w:rsidP="00321FC8">
                                  <w:pPr>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廢棄物污泥(外觀與成分和一般土方無異)</w:t>
                                  </w:r>
                                </w:p>
                              </w:tc>
                            </w:tr>
                            <w:tr w:rsidR="00A0212B" w:rsidRPr="00C41B4C" w14:paraId="522755FE" w14:textId="77777777" w:rsidTr="00971A51">
                              <w:trPr>
                                <w:trHeight w:val="297"/>
                                <w:jc w:val="center"/>
                              </w:trPr>
                              <w:tc>
                                <w:tcPr>
                                  <w:tcW w:w="449" w:type="dxa"/>
                                  <w:shd w:val="clear" w:color="auto" w:fill="auto"/>
                                  <w:vAlign w:val="center"/>
                                </w:tcPr>
                                <w:p w14:paraId="61E44A07"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4</w:t>
                                  </w:r>
                                </w:p>
                              </w:tc>
                              <w:tc>
                                <w:tcPr>
                                  <w:tcW w:w="2595" w:type="dxa"/>
                                  <w:shd w:val="clear" w:color="auto" w:fill="auto"/>
                                  <w:vAlign w:val="center"/>
                                </w:tcPr>
                                <w:p w14:paraId="0DF8E036"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105年5月16日</w:t>
                                  </w:r>
                                </w:p>
                                <w:p w14:paraId="1FBE4026"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交路字第1050013576號函</w:t>
                                  </w:r>
                                </w:p>
                              </w:tc>
                              <w:tc>
                                <w:tcPr>
                                  <w:tcW w:w="3515" w:type="dxa"/>
                                  <w:shd w:val="clear" w:color="auto" w:fill="auto"/>
                                  <w:vAlign w:val="center"/>
                                </w:tcPr>
                                <w:p w14:paraId="60AFC50C" w14:textId="77777777" w:rsidR="00A0212B" w:rsidRPr="00C41B4C" w:rsidRDefault="00A0212B" w:rsidP="00321FC8">
                                  <w:pPr>
                                    <w:overflowPunct w:val="0"/>
                                    <w:adjustRightInd w:val="0"/>
                                    <w:snapToGrid w:val="0"/>
                                    <w:ind w:left="198" w:hangingChars="99" w:hanging="198"/>
                                    <w:jc w:val="both"/>
                                    <w:rPr>
                                      <w:rFonts w:ascii="標楷體" w:eastAsia="標楷體" w:hAnsi="標楷體"/>
                                      <w:snapToGrid w:val="0"/>
                                      <w:sz w:val="20"/>
                                    </w:rPr>
                                  </w:pPr>
                                  <w:r w:rsidRPr="00C41B4C">
                                    <w:rPr>
                                      <w:rFonts w:ascii="標楷體" w:eastAsia="標楷體" w:hAnsi="標楷體" w:hint="eastAsia"/>
                                      <w:snapToGrid w:val="0"/>
                                      <w:sz w:val="20"/>
                                    </w:rPr>
                                    <w:t>拆除之水泥塊、磚塊等建築廢棄物</w:t>
                                  </w:r>
                                </w:p>
                              </w:tc>
                            </w:tr>
                          </w:tbl>
                          <w:p w14:paraId="4A1ADC0C" w14:textId="7D1F4DD0" w:rsidR="00A0212B" w:rsidRPr="001C5DDC" w:rsidRDefault="00A0212B" w:rsidP="00302FDC">
                            <w:pPr>
                              <w:overflowPunct w:val="0"/>
                              <w:adjustRightInd w:val="0"/>
                              <w:snapToGrid w:val="0"/>
                              <w:ind w:leftChars="99" w:left="238"/>
                              <w:jc w:val="both"/>
                              <w:rPr>
                                <w:rFonts w:ascii="標楷體" w:eastAsia="標楷體" w:hAnsi="標楷體"/>
                                <w:sz w:val="18"/>
                                <w:szCs w:val="18"/>
                              </w:rPr>
                            </w:pPr>
                            <w:r w:rsidRPr="003F0230">
                              <w:rPr>
                                <w:rFonts w:ascii="標楷體" w:eastAsia="標楷體" w:hAnsi="標楷體" w:hint="eastAsia"/>
                                <w:snapToGrid w:val="0"/>
                                <w:sz w:val="18"/>
                                <w:szCs w:val="32"/>
                              </w:rPr>
                              <w:t>資料來源：整理自交通部網站</w:t>
                            </w:r>
                            <w:r>
                              <w:rPr>
                                <w:rFonts w:ascii="標楷體" w:eastAsia="標楷體" w:hAnsi="標楷體" w:hint="eastAsia"/>
                                <w:snapToGrid w:val="0"/>
                                <w:sz w:val="18"/>
                                <w:szCs w:val="32"/>
                              </w:rPr>
                              <w:t>－</w:t>
                            </w:r>
                            <w:r w:rsidRPr="003F0230">
                              <w:rPr>
                                <w:rFonts w:ascii="標楷體" w:eastAsia="標楷體" w:hAnsi="標楷體" w:hint="eastAsia"/>
                                <w:snapToGrid w:val="0"/>
                                <w:sz w:val="18"/>
                                <w:szCs w:val="32"/>
                              </w:rPr>
                              <w:t>行政解釋查詢，及該部提供資料。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9EEAEF" id="文字方塊 95" o:spid="_x0000_s1097" type="#_x0000_t202" style="position:absolute;left:0;text-align:left;margin-left:131.45pt;margin-top:387pt;width:364.05pt;height:166.35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" stroked="f">
                <v:textbox>
                  <w:txbxContent>
                    <w:p w14:paraId="0B27F4DD" w14:textId="53F3BCC2" w:rsidR="00A0212B" w:rsidRPr="0033693A" w:rsidRDefault="00A0212B" w:rsidP="00302FDC">
                      <w:pPr>
                        <w:jc w:val="center"/>
                        <w:rPr>
                          <w:rFonts w:ascii="標楷體" w:eastAsia="標楷體" w:hAnsi="標楷體"/>
                          <w:b/>
                        </w:rPr>
                      </w:pPr>
                      <w:r w:rsidRPr="0033693A">
                        <w:rPr>
                          <w:rFonts w:ascii="標楷體" w:eastAsia="標楷體" w:hAnsi="標楷體" w:hint="eastAsia"/>
                          <w:b/>
                        </w:rPr>
                        <w:t>表</w:t>
                      </w:r>
                      <w:r>
                        <w:rPr>
                          <w:rFonts w:ascii="標楷體" w:eastAsia="標楷體" w:hAnsi="標楷體"/>
                          <w:b/>
                        </w:rPr>
                        <w:t>32</w:t>
                      </w:r>
                      <w:r w:rsidRPr="0033693A">
                        <w:rPr>
                          <w:rFonts w:ascii="標楷體" w:eastAsia="標楷體" w:hAnsi="標楷體" w:hint="eastAsia"/>
                          <w:b/>
                        </w:rPr>
                        <w:t xml:space="preserve">　歷年交通部函釋認定適用砂石專用車之砂石土方種類</w:t>
                      </w:r>
                    </w:p>
                    <w:tbl>
                      <w:tblPr>
                        <w:tblW w:w="65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49"/>
                        <w:gridCol w:w="2595"/>
                        <w:gridCol w:w="3515"/>
                      </w:tblGrid>
                      <w:tr w:rsidR="00A0212B" w:rsidRPr="00C41B4C" w14:paraId="4AA01ECE" w14:textId="77777777" w:rsidTr="00321FC8">
                        <w:trPr>
                          <w:trHeight w:val="283"/>
                          <w:tblHeader/>
                          <w:jc w:val="center"/>
                        </w:trPr>
                        <w:tc>
                          <w:tcPr>
                            <w:tcW w:w="449" w:type="dxa"/>
                            <w:shd w:val="clear" w:color="auto" w:fill="auto"/>
                          </w:tcPr>
                          <w:p w14:paraId="16E97B15" w14:textId="77777777" w:rsidR="00A0212B" w:rsidRPr="00C41B4C" w:rsidRDefault="00A0212B" w:rsidP="00321FC8">
                            <w:pPr>
                              <w:overflowPunct w:val="0"/>
                              <w:adjustRightInd w:val="0"/>
                              <w:snapToGrid w:val="0"/>
                              <w:ind w:leftChars="-40" w:left="-96" w:rightChars="-35" w:right="-84"/>
                              <w:jc w:val="center"/>
                              <w:rPr>
                                <w:rFonts w:ascii="標楷體" w:eastAsia="標楷體" w:hAnsi="標楷體"/>
                                <w:snapToGrid w:val="0"/>
                                <w:sz w:val="20"/>
                              </w:rPr>
                            </w:pPr>
                            <w:r w:rsidRPr="00C41B4C">
                              <w:rPr>
                                <w:rFonts w:ascii="標楷體" w:eastAsia="標楷體" w:hAnsi="標楷體" w:hint="eastAsia"/>
                                <w:snapToGrid w:val="0"/>
                                <w:sz w:val="20"/>
                              </w:rPr>
                              <w:t>項次</w:t>
                            </w:r>
                          </w:p>
                        </w:tc>
                        <w:tc>
                          <w:tcPr>
                            <w:tcW w:w="2595" w:type="dxa"/>
                            <w:shd w:val="clear" w:color="auto" w:fill="auto"/>
                          </w:tcPr>
                          <w:p w14:paraId="1623A255" w14:textId="77777777" w:rsidR="00A0212B" w:rsidRPr="00C41B4C" w:rsidRDefault="00A0212B" w:rsidP="00321FC8">
                            <w:pPr>
                              <w:wordWrap w:val="0"/>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相關函文</w:t>
                            </w:r>
                          </w:p>
                        </w:tc>
                        <w:tc>
                          <w:tcPr>
                            <w:tcW w:w="3515" w:type="dxa"/>
                            <w:shd w:val="clear" w:color="auto" w:fill="auto"/>
                          </w:tcPr>
                          <w:p w14:paraId="70175837"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適用砂石專用車之砂石土方種類</w:t>
                            </w:r>
                          </w:p>
                        </w:tc>
                      </w:tr>
                      <w:tr w:rsidR="00A0212B" w:rsidRPr="00C41B4C" w14:paraId="04F6C2DC" w14:textId="77777777" w:rsidTr="00971A51">
                        <w:trPr>
                          <w:trHeight w:val="297"/>
                          <w:jc w:val="center"/>
                        </w:trPr>
                        <w:tc>
                          <w:tcPr>
                            <w:tcW w:w="449" w:type="dxa"/>
                            <w:shd w:val="clear" w:color="auto" w:fill="auto"/>
                            <w:vAlign w:val="center"/>
                          </w:tcPr>
                          <w:p w14:paraId="7BCAA32B"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1</w:t>
                            </w:r>
                          </w:p>
                        </w:tc>
                        <w:tc>
                          <w:tcPr>
                            <w:tcW w:w="2595" w:type="dxa"/>
                            <w:shd w:val="clear" w:color="auto" w:fill="auto"/>
                            <w:vAlign w:val="center"/>
                          </w:tcPr>
                          <w:p w14:paraId="27E29CC3"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95年1月4日</w:t>
                            </w:r>
                          </w:p>
                          <w:p w14:paraId="3BA4AD4C"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交路字第0940067397號函</w:t>
                            </w:r>
                          </w:p>
                        </w:tc>
                        <w:tc>
                          <w:tcPr>
                            <w:tcW w:w="3515" w:type="dxa"/>
                            <w:shd w:val="clear" w:color="auto" w:fill="auto"/>
                            <w:vAlign w:val="center"/>
                          </w:tcPr>
                          <w:p w14:paraId="379908E3" w14:textId="77777777" w:rsidR="00A0212B" w:rsidRPr="00C41B4C" w:rsidRDefault="00A0212B" w:rsidP="00321FC8">
                            <w:pPr>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載運廢土方（附載運水泥塊）</w:t>
                            </w:r>
                          </w:p>
                        </w:tc>
                      </w:tr>
                      <w:tr w:rsidR="00A0212B" w:rsidRPr="00C41B4C" w14:paraId="4416CD85" w14:textId="77777777" w:rsidTr="00971A51">
                        <w:trPr>
                          <w:trHeight w:val="580"/>
                          <w:jc w:val="center"/>
                        </w:trPr>
                        <w:tc>
                          <w:tcPr>
                            <w:tcW w:w="449" w:type="dxa"/>
                            <w:shd w:val="clear" w:color="auto" w:fill="auto"/>
                            <w:vAlign w:val="center"/>
                          </w:tcPr>
                          <w:p w14:paraId="099E35F6"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2</w:t>
                            </w:r>
                          </w:p>
                        </w:tc>
                        <w:tc>
                          <w:tcPr>
                            <w:tcW w:w="2595" w:type="dxa"/>
                            <w:shd w:val="clear" w:color="auto" w:fill="auto"/>
                            <w:vAlign w:val="center"/>
                          </w:tcPr>
                          <w:p w14:paraId="1588CF26"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95年10月5日</w:t>
                            </w:r>
                          </w:p>
                          <w:p w14:paraId="3C7FA1CC"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交路字第0950051908號函</w:t>
                            </w:r>
                          </w:p>
                        </w:tc>
                        <w:tc>
                          <w:tcPr>
                            <w:tcW w:w="3515" w:type="dxa"/>
                            <w:shd w:val="clear" w:color="auto" w:fill="auto"/>
                            <w:vAlign w:val="center"/>
                          </w:tcPr>
                          <w:p w14:paraId="076EE368" w14:textId="77777777" w:rsidR="00A0212B" w:rsidRPr="00C41B4C" w:rsidRDefault="00A0212B" w:rsidP="00321FC8">
                            <w:pPr>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乾拌水泥砂（為砂石與水泥混合物，以砂石為主要組成）</w:t>
                            </w:r>
                          </w:p>
                        </w:tc>
                      </w:tr>
                      <w:tr w:rsidR="00A0212B" w:rsidRPr="00C41B4C" w14:paraId="192CAC8D" w14:textId="77777777" w:rsidTr="00971A51">
                        <w:trPr>
                          <w:trHeight w:val="283"/>
                          <w:jc w:val="center"/>
                        </w:trPr>
                        <w:tc>
                          <w:tcPr>
                            <w:tcW w:w="449" w:type="dxa"/>
                            <w:shd w:val="clear" w:color="auto" w:fill="auto"/>
                            <w:vAlign w:val="center"/>
                          </w:tcPr>
                          <w:p w14:paraId="39D73EC2"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3</w:t>
                            </w:r>
                          </w:p>
                        </w:tc>
                        <w:tc>
                          <w:tcPr>
                            <w:tcW w:w="2595" w:type="dxa"/>
                            <w:shd w:val="clear" w:color="auto" w:fill="auto"/>
                            <w:vAlign w:val="center"/>
                          </w:tcPr>
                          <w:p w14:paraId="118F7158"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101年11月14日</w:t>
                            </w:r>
                          </w:p>
                          <w:p w14:paraId="46FC00C7"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交路字第1010038521號函</w:t>
                            </w:r>
                          </w:p>
                        </w:tc>
                        <w:tc>
                          <w:tcPr>
                            <w:tcW w:w="3515" w:type="dxa"/>
                            <w:shd w:val="clear" w:color="auto" w:fill="auto"/>
                            <w:vAlign w:val="center"/>
                          </w:tcPr>
                          <w:p w14:paraId="4CB6BAE4" w14:textId="77777777" w:rsidR="00A0212B" w:rsidRPr="00C41B4C" w:rsidRDefault="00A0212B" w:rsidP="00321FC8">
                            <w:pPr>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廢棄物污泥(外觀與成分和一般土方無異)</w:t>
                            </w:r>
                          </w:p>
                        </w:tc>
                      </w:tr>
                      <w:tr w:rsidR="00A0212B" w:rsidRPr="00C41B4C" w14:paraId="522755FE" w14:textId="77777777" w:rsidTr="00971A51">
                        <w:trPr>
                          <w:trHeight w:val="297"/>
                          <w:jc w:val="center"/>
                        </w:trPr>
                        <w:tc>
                          <w:tcPr>
                            <w:tcW w:w="449" w:type="dxa"/>
                            <w:shd w:val="clear" w:color="auto" w:fill="auto"/>
                            <w:vAlign w:val="center"/>
                          </w:tcPr>
                          <w:p w14:paraId="61E44A07" w14:textId="77777777" w:rsidR="00A0212B" w:rsidRPr="00C41B4C" w:rsidRDefault="00A0212B" w:rsidP="00321FC8">
                            <w:pPr>
                              <w:overflowPunct w:val="0"/>
                              <w:adjustRightInd w:val="0"/>
                              <w:snapToGrid w:val="0"/>
                              <w:jc w:val="center"/>
                              <w:rPr>
                                <w:rFonts w:ascii="標楷體" w:eastAsia="標楷體" w:hAnsi="標楷體"/>
                                <w:snapToGrid w:val="0"/>
                                <w:sz w:val="20"/>
                              </w:rPr>
                            </w:pPr>
                            <w:r w:rsidRPr="00C41B4C">
                              <w:rPr>
                                <w:rFonts w:ascii="標楷體" w:eastAsia="標楷體" w:hAnsi="標楷體" w:hint="eastAsia"/>
                                <w:snapToGrid w:val="0"/>
                                <w:sz w:val="20"/>
                              </w:rPr>
                              <w:t>4</w:t>
                            </w:r>
                          </w:p>
                        </w:tc>
                        <w:tc>
                          <w:tcPr>
                            <w:tcW w:w="2595" w:type="dxa"/>
                            <w:shd w:val="clear" w:color="auto" w:fill="auto"/>
                            <w:vAlign w:val="center"/>
                          </w:tcPr>
                          <w:p w14:paraId="0DF8E036"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105年5月16日</w:t>
                            </w:r>
                          </w:p>
                          <w:p w14:paraId="1FBE4026" w14:textId="77777777" w:rsidR="00A0212B" w:rsidRPr="00C41B4C" w:rsidRDefault="00A0212B" w:rsidP="00321FC8">
                            <w:pPr>
                              <w:wordWrap w:val="0"/>
                              <w:overflowPunct w:val="0"/>
                              <w:adjustRightInd w:val="0"/>
                              <w:snapToGrid w:val="0"/>
                              <w:jc w:val="both"/>
                              <w:rPr>
                                <w:rFonts w:ascii="標楷體" w:eastAsia="標楷體" w:hAnsi="標楷體"/>
                                <w:snapToGrid w:val="0"/>
                                <w:sz w:val="20"/>
                              </w:rPr>
                            </w:pPr>
                            <w:r w:rsidRPr="00C41B4C">
                              <w:rPr>
                                <w:rFonts w:ascii="標楷體" w:eastAsia="標楷體" w:hAnsi="標楷體" w:hint="eastAsia"/>
                                <w:snapToGrid w:val="0"/>
                                <w:sz w:val="20"/>
                              </w:rPr>
                              <w:t>交路字第1050013576號函</w:t>
                            </w:r>
                          </w:p>
                        </w:tc>
                        <w:tc>
                          <w:tcPr>
                            <w:tcW w:w="3515" w:type="dxa"/>
                            <w:shd w:val="clear" w:color="auto" w:fill="auto"/>
                            <w:vAlign w:val="center"/>
                          </w:tcPr>
                          <w:p w14:paraId="60AFC50C" w14:textId="77777777" w:rsidR="00A0212B" w:rsidRPr="00C41B4C" w:rsidRDefault="00A0212B" w:rsidP="00321FC8">
                            <w:pPr>
                              <w:overflowPunct w:val="0"/>
                              <w:adjustRightInd w:val="0"/>
                              <w:snapToGrid w:val="0"/>
                              <w:ind w:left="198" w:hangingChars="99" w:hanging="198"/>
                              <w:jc w:val="both"/>
                              <w:rPr>
                                <w:rFonts w:ascii="標楷體" w:eastAsia="標楷體" w:hAnsi="標楷體"/>
                                <w:snapToGrid w:val="0"/>
                                <w:sz w:val="20"/>
                              </w:rPr>
                            </w:pPr>
                            <w:r w:rsidRPr="00C41B4C">
                              <w:rPr>
                                <w:rFonts w:ascii="標楷體" w:eastAsia="標楷體" w:hAnsi="標楷體" w:hint="eastAsia"/>
                                <w:snapToGrid w:val="0"/>
                                <w:sz w:val="20"/>
                              </w:rPr>
                              <w:t>拆除之水泥塊、磚塊等建築廢棄物</w:t>
                            </w:r>
                          </w:p>
                        </w:tc>
                      </w:tr>
                    </w:tbl>
                    <w:p w14:paraId="4A1ADC0C" w14:textId="7D1F4DD0" w:rsidR="00A0212B" w:rsidRPr="001C5DDC" w:rsidRDefault="00A0212B" w:rsidP="00302FDC">
                      <w:pPr>
                        <w:overflowPunct w:val="0"/>
                        <w:adjustRightInd w:val="0"/>
                        <w:snapToGrid w:val="0"/>
                        <w:ind w:leftChars="99" w:left="238"/>
                        <w:jc w:val="both"/>
                        <w:rPr>
                          <w:rFonts w:ascii="標楷體" w:eastAsia="標楷體" w:hAnsi="標楷體"/>
                          <w:sz w:val="18"/>
                          <w:szCs w:val="18"/>
                        </w:rPr>
                      </w:pPr>
                      <w:r w:rsidRPr="003F0230">
                        <w:rPr>
                          <w:rFonts w:ascii="標楷體" w:eastAsia="標楷體" w:hAnsi="標楷體" w:hint="eastAsia"/>
                          <w:snapToGrid w:val="0"/>
                          <w:sz w:val="18"/>
                          <w:szCs w:val="32"/>
                        </w:rPr>
                        <w:t>資料來源：整理自交通部網站</w:t>
                      </w:r>
                      <w:r>
                        <w:rPr>
                          <w:rFonts w:ascii="標楷體" w:eastAsia="標楷體" w:hAnsi="標楷體" w:hint="eastAsia"/>
                          <w:snapToGrid w:val="0"/>
                          <w:sz w:val="18"/>
                          <w:szCs w:val="32"/>
                        </w:rPr>
                        <w:t>－</w:t>
                      </w:r>
                      <w:r w:rsidRPr="003F0230">
                        <w:rPr>
                          <w:rFonts w:ascii="標楷體" w:eastAsia="標楷體" w:hAnsi="標楷體" w:hint="eastAsia"/>
                          <w:snapToGrid w:val="0"/>
                          <w:sz w:val="18"/>
                          <w:szCs w:val="32"/>
                        </w:rPr>
                        <w:t>行政解釋查詢，及該部提供資料。</w:t>
                      </w:r>
                    </w:p>
                  </w:txbxContent>
                </v:textbox>
                <w10:wrap type="tight"/>
              </v:shape>
            </w:pict>
          </mc:Fallback>
        </mc:AlternateContent>
      </w:r>
      <w:r w:rsidR="00F15171" w:rsidRPr="001C2BBE">
        <w:rPr>
          <w:rFonts w:hint="eastAsia"/>
          <w:b/>
        </w:rPr>
        <w:t>2.</w:t>
      </w:r>
      <w:r w:rsidR="00F15171">
        <w:rPr>
          <w:rFonts w:hint="eastAsia"/>
          <w:b/>
        </w:rPr>
        <w:t xml:space="preserve">　</w:t>
      </w:r>
      <w:r w:rsidR="00F15171" w:rsidRPr="001C2BBE">
        <w:rPr>
          <w:rFonts w:hint="eastAsia"/>
          <w:b/>
        </w:rPr>
        <w:t>道路交通管理處罰條例對砂石土方之定義未臻明確，排除對載運營建業廢棄物之適用亦未盡合理：</w:t>
      </w:r>
      <w:r w:rsidR="00F15171" w:rsidRPr="001C2BBE">
        <w:rPr>
          <w:rFonts w:hint="eastAsia"/>
        </w:rPr>
        <w:t>交通部鑑於砂石車超載與肇事頻傳，</w:t>
      </w:r>
      <w:r w:rsidR="005036DD">
        <w:rPr>
          <w:rFonts w:hint="eastAsia"/>
        </w:rPr>
        <w:t>自</w:t>
      </w:r>
      <w:r w:rsidR="00F15171" w:rsidRPr="001C2BBE">
        <w:rPr>
          <w:rFonts w:hint="eastAsia"/>
        </w:rPr>
        <w:t>81年度起訂定「裝載砂石、土方之傾卸式車輛貨廂容積檢驗標準及取締應行注意事項」等相關規定，以裝載容積作為取締超載依據；嗣於91年6月1日將裝載砂石土方車輛回歸重量法，依行車執照核定之重量進行超載取締；另道路交通安全規則第39條之1第16款附件22「裝載砂石土方車輛使用專用車輛或專用車廂規定」訂有砂石專用車之貨廂容積及應裝設載重計等規定。然而，環境部與內政部國土管理署（下稱國土署）就營建剩餘土石方與營建事業廢棄物之區分標準，存有爭議，經行政院公共工程委員會於111年度間召開4次相關會議，仍無法訂出區分標準，且警方或環保人員於執法時亦尚難依清運車輛載運物之外觀判定兩者之區別。按環境部111年12月「營建廢棄物管理及資源循環專案工作計畫」成果報告圖2.1.3-9「110年營建廢棄物產出、處理及利用平衡圖」，營建事業廢棄物之組成近8成為土石及土方（土石類占72％，營建剩餘土石方占6％），換言之，營建事業廢棄物去除木屑、金屬，及不可再利用之雜質，其整體本質與營建剩餘土石方無異。惟因環境部於112年5月15日及7月17日致函交通部，稱「廢棄物與砂石、土方，其來源、性質、用途、去化、管理機制等皆不同，不宜僅以外觀相似而應使用砂石專用車」等語，交通部即於112年7月28日函請內政部警政署轉知各警察機關，廢棄物產生源隨車證明文件載明廢棄物種類為土木或建築物廢棄物混合物（D</w:t>
      </w:r>
      <w:r w:rsidR="0086693A">
        <w:rPr>
          <w:rFonts w:hint="eastAsia"/>
        </w:rPr>
        <w:t>-</w:t>
      </w:r>
      <w:r w:rsidR="00F15171" w:rsidRPr="001C2BBE">
        <w:rPr>
          <w:rFonts w:hint="eastAsia"/>
        </w:rPr>
        <w:t>0599）、營建混合物（R</w:t>
      </w:r>
      <w:r w:rsidR="0086693A">
        <w:rPr>
          <w:rFonts w:hint="eastAsia"/>
        </w:rPr>
        <w:t>-</w:t>
      </w:r>
      <w:r w:rsidR="00F15171" w:rsidRPr="001C2BBE">
        <w:rPr>
          <w:rFonts w:hint="eastAsia"/>
        </w:rPr>
        <w:t>0503）等營建廢棄物，得不適用道交條例第29條之1使用砂石專用車規定。上開交通部函釋內容，不僅與該部先前之歷次函釋（</w:t>
      </w:r>
      <w:r w:rsidR="00F15171" w:rsidRPr="006678C5">
        <w:rPr>
          <w:rFonts w:hint="eastAsia"/>
        </w:rPr>
        <w:t>表</w:t>
      </w:r>
      <w:r w:rsidR="006F2F47" w:rsidRPr="006678C5">
        <w:rPr>
          <w:rFonts w:hint="eastAsia"/>
        </w:rPr>
        <w:t>3</w:t>
      </w:r>
      <w:r w:rsidR="001D4056" w:rsidRPr="006678C5">
        <w:rPr>
          <w:rFonts w:hint="eastAsia"/>
        </w:rPr>
        <w:t>2</w:t>
      </w:r>
      <w:r w:rsidR="00F15171" w:rsidRPr="001C2BBE">
        <w:rPr>
          <w:rFonts w:hint="eastAsia"/>
        </w:rPr>
        <w:t>）迥異，亦與法務部99年8月5日法律字第099023706號函「道交條例與廢清法二者立法目的不同，所欲達成之行政上目的亦有不同，尚難認符合其一規範，即可排除另一法規之適用。」之見解有間。影響所及，政府若無相關配套措施有效限制營建廢棄物清運車輛依限重裝載，將加劇營建事業廢棄物超載問題</w:t>
      </w:r>
      <w:r w:rsidR="000434C9">
        <w:rPr>
          <w:rFonts w:hint="eastAsia"/>
        </w:rPr>
        <w:t>。</w:t>
      </w:r>
      <w:r w:rsidR="00F15171" w:rsidRPr="001C2BBE">
        <w:rPr>
          <w:rFonts w:hint="eastAsia"/>
        </w:rPr>
        <w:t>經函請行政院督促交通部邀集相關單位研商，道交條例與道路交通安全規則所稱砂石土方之定義及範圍，及載運營建事業廢棄得不適用砂石專用車之利弊得失，以符合法律明確性原則，及改善營建事業廢棄物超載問題。據復：已責請交通部與相關單位共同研商，以符合道交條例與道路交通安全規則所稱砂石土方定義及範圍之法律明確性，及改善營建事業廢棄物清運車輛超載等問題。</w:t>
      </w:r>
    </w:p>
    <w:p w14:paraId="381DE728" w14:textId="6B50ED9B" w:rsidR="001010E2" w:rsidRPr="00A15E84" w:rsidRDefault="001010E2" w:rsidP="00E31547">
      <w:pPr>
        <w:pStyle w:val="2"/>
        <w:overflowPunct w:val="0"/>
        <w:spacing w:beforeLines="20" w:before="72" w:afterLines="20" w:after="72" w:line="460" w:lineRule="exact"/>
        <w:ind w:left="0" w:firstLineChars="200" w:firstLine="561"/>
        <w:rPr>
          <w:b/>
        </w:rPr>
      </w:pPr>
      <w:r w:rsidRPr="00BD6093">
        <w:rPr>
          <w:rFonts w:hint="eastAsia"/>
          <w:b/>
          <w:sz w:val="28"/>
          <w:szCs w:val="28"/>
        </w:rPr>
        <w:t>（二十</w:t>
      </w:r>
      <w:r w:rsidR="00781889">
        <w:rPr>
          <w:rFonts w:hint="eastAsia"/>
          <w:b/>
          <w:sz w:val="28"/>
          <w:szCs w:val="28"/>
        </w:rPr>
        <w:t>一</w:t>
      </w:r>
      <w:r w:rsidRPr="00BD6093">
        <w:rPr>
          <w:rFonts w:hint="eastAsia"/>
          <w:b/>
          <w:sz w:val="28"/>
          <w:szCs w:val="28"/>
        </w:rPr>
        <w:t xml:space="preserve">）　</w:t>
      </w:r>
      <w:r w:rsidRPr="00BD6093">
        <w:rPr>
          <w:rFonts w:hint="eastAsia"/>
          <w:b/>
          <w:spacing w:val="-6"/>
          <w:sz w:val="28"/>
          <w:szCs w:val="28"/>
        </w:rPr>
        <w:t>政府公務預算編列出國計畫經費龐鉅，雖訂有相關管控機制並實施多年，惟各機關出國案件仍間有計畫變更頻仍，經費超支比率偏高，逾期提交出國報</w:t>
      </w:r>
      <w:r w:rsidRPr="001010E2">
        <w:rPr>
          <w:rFonts w:hint="eastAsia"/>
          <w:b/>
          <w:spacing w:val="-6"/>
          <w:sz w:val="28"/>
          <w:szCs w:val="28"/>
        </w:rPr>
        <w:lastRenderedPageBreak/>
        <w:t>告或未公開出國計畫執行情形報告表等情，</w:t>
      </w:r>
      <w:r w:rsidR="00C80A47">
        <w:rPr>
          <w:rFonts w:hint="eastAsia"/>
          <w:b/>
          <w:spacing w:val="-6"/>
          <w:sz w:val="28"/>
          <w:szCs w:val="28"/>
        </w:rPr>
        <w:t>允宜</w:t>
      </w:r>
      <w:r w:rsidRPr="001010E2">
        <w:rPr>
          <w:rFonts w:hint="eastAsia"/>
          <w:b/>
          <w:spacing w:val="-6"/>
          <w:sz w:val="28"/>
          <w:szCs w:val="28"/>
        </w:rPr>
        <w:t>研謀強化管考及監督作為，俾確保預算資源運用效益。</w:t>
      </w:r>
    </w:p>
    <w:p w14:paraId="7DBE38D2" w14:textId="77777777" w:rsidR="001010E2" w:rsidRPr="00F811F6" w:rsidRDefault="001010E2" w:rsidP="004D7C92">
      <w:pPr>
        <w:overflowPunct w:val="0"/>
        <w:spacing w:line="420" w:lineRule="exact"/>
        <w:ind w:firstLineChars="200" w:firstLine="464"/>
        <w:jc w:val="both"/>
        <w:rPr>
          <w:rFonts w:ascii="標楷體" w:eastAsia="標楷體" w:hAnsi="標楷體"/>
          <w:spacing w:val="-4"/>
          <w:szCs w:val="24"/>
        </w:rPr>
      </w:pPr>
      <w:r w:rsidRPr="00F811F6">
        <w:rPr>
          <w:rFonts w:ascii="標楷體" w:eastAsia="標楷體" w:hAnsi="標楷體" w:hint="eastAsia"/>
          <w:spacing w:val="-4"/>
          <w:szCs w:val="24"/>
        </w:rPr>
        <w:t>中央政府各機關112年度公務預算編列出國計畫預算數17億1</w:t>
      </w:r>
      <w:r w:rsidRPr="00F811F6">
        <w:rPr>
          <w:rFonts w:ascii="標楷體" w:eastAsia="標楷體" w:hAnsi="標楷體"/>
          <w:spacing w:val="-4"/>
          <w:szCs w:val="24"/>
        </w:rPr>
        <w:t>,869</w:t>
      </w:r>
      <w:r w:rsidRPr="00F811F6">
        <w:rPr>
          <w:rFonts w:ascii="標楷體" w:eastAsia="標楷體" w:hAnsi="標楷體" w:hint="eastAsia"/>
          <w:spacing w:val="-4"/>
          <w:szCs w:val="24"/>
        </w:rPr>
        <w:t>萬餘元，執行結果，決算數16億9</w:t>
      </w:r>
      <w:r w:rsidRPr="00F811F6">
        <w:rPr>
          <w:rFonts w:ascii="標楷體" w:eastAsia="標楷體" w:hAnsi="標楷體"/>
          <w:spacing w:val="-4"/>
          <w:szCs w:val="24"/>
        </w:rPr>
        <w:t>,8</w:t>
      </w:r>
      <w:r w:rsidRPr="00F811F6">
        <w:rPr>
          <w:rFonts w:ascii="標楷體" w:eastAsia="標楷體" w:hAnsi="標楷體" w:hint="eastAsia"/>
          <w:spacing w:val="-4"/>
          <w:szCs w:val="24"/>
        </w:rPr>
        <w:t>96萬餘元，占預算數之98.85％。經查其執行情形，核有下列事項：</w:t>
      </w:r>
    </w:p>
    <w:p w14:paraId="19FC0859" w14:textId="53799BEB" w:rsidR="004C3569" w:rsidRPr="00F811F6" w:rsidRDefault="001010E2" w:rsidP="00455D47">
      <w:pPr>
        <w:overflowPunct w:val="0"/>
        <w:spacing w:line="430" w:lineRule="exact"/>
        <w:ind w:firstLineChars="450" w:firstLine="1045"/>
        <w:jc w:val="both"/>
        <w:rPr>
          <w:rFonts w:ascii="標楷體" w:eastAsia="標楷體" w:hAnsi="標楷體"/>
          <w:spacing w:val="-4"/>
          <w:szCs w:val="24"/>
        </w:rPr>
      </w:pPr>
      <w:r w:rsidRPr="00F811F6">
        <w:rPr>
          <w:rFonts w:ascii="標楷體" w:eastAsia="標楷體" w:hAnsi="標楷體" w:hint="eastAsia"/>
          <w:b/>
          <w:spacing w:val="-4"/>
          <w:szCs w:val="24"/>
        </w:rPr>
        <w:t>1</w:t>
      </w:r>
      <w:r w:rsidRPr="00F811F6">
        <w:rPr>
          <w:rFonts w:ascii="標楷體" w:eastAsia="標楷體" w:hAnsi="標楷體"/>
          <w:b/>
          <w:spacing w:val="-4"/>
          <w:szCs w:val="24"/>
        </w:rPr>
        <w:t>.</w:t>
      </w:r>
      <w:r w:rsidRPr="00F811F6">
        <w:rPr>
          <w:rFonts w:ascii="標楷體" w:eastAsia="標楷體" w:hAnsi="標楷體" w:hint="eastAsia"/>
          <w:b/>
          <w:spacing w:val="-4"/>
          <w:szCs w:val="24"/>
        </w:rPr>
        <w:t xml:space="preserve">　部分機關未依規定審慎編製、切實執行年度派員出國計畫，致計畫變更頻仍，或經費超支情形嚴重：</w:t>
      </w:r>
      <w:r w:rsidRPr="00F811F6">
        <w:rPr>
          <w:rFonts w:ascii="標楷體" w:eastAsia="標楷體" w:hAnsi="標楷體" w:hint="eastAsia"/>
          <w:spacing w:val="-6"/>
          <w:szCs w:val="24"/>
        </w:rPr>
        <w:t>依據行政院及所屬各級機關因公派員出國案件編審要點（下稱出國案件編審要點）第2點規定：「本院、各機關及基金因公派員出國，應依本院所定年度預算籌編原則及編製概算應行注意事項等有關規定，通盤檢討審慎編製年度派員出國計畫及編列國外旅費。</w:t>
      </w:r>
      <w:r w:rsidRPr="00F811F6">
        <w:rPr>
          <w:rFonts w:ascii="標楷體" w:eastAsia="標楷體" w:hAnsi="標楷體"/>
          <w:spacing w:val="-6"/>
          <w:szCs w:val="24"/>
        </w:rPr>
        <w:t>……</w:t>
      </w:r>
      <w:r w:rsidRPr="00F811F6">
        <w:rPr>
          <w:rFonts w:ascii="標楷體" w:eastAsia="標楷體" w:hAnsi="標楷體" w:hint="eastAsia"/>
          <w:spacing w:val="-6"/>
          <w:szCs w:val="24"/>
        </w:rPr>
        <w:t>。」第</w:t>
      </w:r>
      <w:r w:rsidRPr="00F811F6">
        <w:rPr>
          <w:rFonts w:ascii="標楷體" w:eastAsia="標楷體" w:hAnsi="標楷體"/>
          <w:spacing w:val="-6"/>
          <w:szCs w:val="24"/>
        </w:rPr>
        <w:t>4</w:t>
      </w:r>
      <w:r w:rsidRPr="00F811F6">
        <w:rPr>
          <w:rFonts w:ascii="標楷體" w:eastAsia="標楷體" w:hAnsi="標楷體" w:hint="eastAsia"/>
          <w:spacing w:val="-6"/>
          <w:szCs w:val="24"/>
        </w:rPr>
        <w:t>點規定：「本院、各機關及基金應依年度派員出國計畫切實執行；如有特殊原因必須變更計畫，或因臨時業務需要派員出國者，應依下列方式辦理，除第</w:t>
      </w:r>
      <w:r w:rsidRPr="00F811F6">
        <w:rPr>
          <w:rFonts w:ascii="標楷體" w:eastAsia="標楷體" w:hAnsi="標楷體"/>
          <w:spacing w:val="-6"/>
          <w:szCs w:val="24"/>
        </w:rPr>
        <w:t>5</w:t>
      </w:r>
      <w:r w:rsidRPr="00F811F6">
        <w:rPr>
          <w:rFonts w:ascii="標楷體" w:eastAsia="標楷體" w:hAnsi="標楷體" w:hint="eastAsia"/>
          <w:spacing w:val="-6"/>
          <w:szCs w:val="24"/>
        </w:rPr>
        <w:t>點所定情形外，其所需經費在原列國外旅費項下支應，不得超支：</w:t>
      </w:r>
      <w:r w:rsidR="00C2362F" w:rsidRPr="00C2362F">
        <w:rPr>
          <w:rFonts w:ascii="標楷體" w:eastAsia="標楷體" w:hAnsi="標楷體" w:hint="eastAsia"/>
          <w:spacing w:val="-6"/>
          <w:szCs w:val="24"/>
        </w:rPr>
        <w:t>（</w:t>
      </w:r>
      <w:r w:rsidRPr="00F811F6">
        <w:rPr>
          <w:rFonts w:ascii="標楷體" w:eastAsia="標楷體" w:hAnsi="標楷體"/>
          <w:spacing w:val="-6"/>
          <w:szCs w:val="24"/>
        </w:rPr>
        <w:t>一</w:t>
      </w:r>
      <w:r w:rsidR="006C41C5" w:rsidRPr="006C41C5">
        <w:rPr>
          <w:rFonts w:ascii="標楷體" w:eastAsia="標楷體" w:hAnsi="標楷體" w:hint="eastAsia"/>
          <w:spacing w:val="-6"/>
          <w:szCs w:val="24"/>
        </w:rPr>
        <w:t>）</w:t>
      </w:r>
      <w:r w:rsidRPr="00F811F6">
        <w:rPr>
          <w:rFonts w:ascii="標楷體" w:eastAsia="標楷體" w:hAnsi="標楷體"/>
          <w:spacing w:val="-6"/>
          <w:szCs w:val="24"/>
        </w:rPr>
        <w:t>本院及各部會：自</w:t>
      </w:r>
      <w:r w:rsidRPr="00F811F6">
        <w:rPr>
          <w:rFonts w:ascii="標楷體" w:eastAsia="標楷體" w:hAnsi="標楷體" w:hint="eastAsia"/>
          <w:spacing w:val="-6"/>
          <w:szCs w:val="24"/>
        </w:rPr>
        <w:t>行從嚴核定。</w:t>
      </w:r>
      <w:r w:rsidR="00C2362F" w:rsidRPr="00C2362F">
        <w:rPr>
          <w:rFonts w:ascii="標楷體" w:eastAsia="標楷體" w:hAnsi="標楷體" w:hint="eastAsia"/>
          <w:spacing w:val="-6"/>
          <w:szCs w:val="24"/>
        </w:rPr>
        <w:t>（</w:t>
      </w:r>
      <w:r w:rsidRPr="00F811F6">
        <w:rPr>
          <w:rFonts w:ascii="標楷體" w:eastAsia="標楷體" w:hAnsi="標楷體"/>
          <w:spacing w:val="-6"/>
          <w:szCs w:val="24"/>
        </w:rPr>
        <w:t>二</w:t>
      </w:r>
      <w:r w:rsidR="006C41C5" w:rsidRPr="006C41C5">
        <w:rPr>
          <w:rFonts w:ascii="標楷體" w:eastAsia="標楷體" w:hAnsi="標楷體" w:hint="eastAsia"/>
          <w:spacing w:val="-6"/>
          <w:szCs w:val="24"/>
        </w:rPr>
        <w:t>）</w:t>
      </w:r>
      <w:r w:rsidRPr="00F811F6">
        <w:rPr>
          <w:rFonts w:ascii="標楷體" w:eastAsia="標楷體" w:hAnsi="標楷體"/>
          <w:spacing w:val="-6"/>
          <w:szCs w:val="24"/>
        </w:rPr>
        <w:t>各部會所屬機關或基</w:t>
      </w:r>
      <w:r w:rsidRPr="00F811F6">
        <w:rPr>
          <w:rFonts w:ascii="標楷體" w:eastAsia="標楷體" w:hAnsi="標楷體" w:hint="eastAsia"/>
          <w:spacing w:val="-6"/>
          <w:szCs w:val="24"/>
        </w:rPr>
        <w:t>金：應報經各部會從嚴核定。</w:t>
      </w:r>
      <w:r w:rsidRPr="00F811F6">
        <w:rPr>
          <w:rFonts w:ascii="標楷體" w:eastAsia="標楷體" w:hAnsi="標楷體"/>
          <w:spacing w:val="-6"/>
          <w:szCs w:val="24"/>
        </w:rPr>
        <w:t>……</w:t>
      </w:r>
      <w:r w:rsidRPr="00F811F6">
        <w:rPr>
          <w:rFonts w:ascii="標楷體" w:eastAsia="標楷體" w:hAnsi="標楷體" w:hint="eastAsia"/>
          <w:spacing w:val="-6"/>
          <w:szCs w:val="24"/>
        </w:rPr>
        <w:t>。」第</w:t>
      </w:r>
      <w:r w:rsidRPr="00F811F6">
        <w:rPr>
          <w:rFonts w:ascii="標楷體" w:eastAsia="標楷體" w:hAnsi="標楷體"/>
          <w:spacing w:val="-6"/>
          <w:szCs w:val="24"/>
        </w:rPr>
        <w:t>5</w:t>
      </w:r>
      <w:r w:rsidRPr="00F811F6">
        <w:rPr>
          <w:rFonts w:ascii="標楷體" w:eastAsia="標楷體" w:hAnsi="標楷體" w:hint="eastAsia"/>
          <w:spacing w:val="-6"/>
          <w:szCs w:val="24"/>
        </w:rPr>
        <w:t>點規定</w:t>
      </w:r>
      <w:r w:rsidRPr="00F811F6">
        <w:rPr>
          <w:rFonts w:ascii="標楷體" w:eastAsia="標楷體" w:hAnsi="標楷體"/>
          <w:spacing w:val="-6"/>
          <w:szCs w:val="24"/>
        </w:rPr>
        <w:t>:</w:t>
      </w:r>
      <w:r w:rsidRPr="00F811F6">
        <w:rPr>
          <w:rFonts w:ascii="標楷體" w:eastAsia="標楷體" w:hAnsi="標楷體" w:hint="eastAsia"/>
          <w:spacing w:val="-6"/>
          <w:szCs w:val="24"/>
        </w:rPr>
        <w:t>「本院、各機關及基金因下列業務需要派員出國者，應優先檢討調整原編製年度派員出國計畫，依前點所定程序核定及報備查，並以原編列國外旅費支應；國外旅費預算確有不足，得由年度相關經費項下調整支應：</w:t>
      </w:r>
      <w:r w:rsidR="00C2362F" w:rsidRPr="00C2362F">
        <w:rPr>
          <w:rFonts w:ascii="標楷體" w:eastAsia="標楷體" w:hAnsi="標楷體" w:hint="eastAsia"/>
          <w:spacing w:val="-6"/>
          <w:szCs w:val="24"/>
        </w:rPr>
        <w:t>（</w:t>
      </w:r>
      <w:r w:rsidRPr="00F811F6">
        <w:rPr>
          <w:rFonts w:ascii="標楷體" w:eastAsia="標楷體" w:hAnsi="標楷體"/>
          <w:spacing w:val="-6"/>
          <w:szCs w:val="24"/>
        </w:rPr>
        <w:t>一</w:t>
      </w:r>
      <w:r w:rsidR="006C41C5" w:rsidRPr="006C41C5">
        <w:rPr>
          <w:rFonts w:ascii="標楷體" w:eastAsia="標楷體" w:hAnsi="標楷體" w:hint="eastAsia"/>
          <w:spacing w:val="-6"/>
          <w:szCs w:val="24"/>
        </w:rPr>
        <w:t>）</w:t>
      </w:r>
      <w:r w:rsidRPr="00F811F6">
        <w:rPr>
          <w:rFonts w:ascii="標楷體" w:eastAsia="標楷體" w:hAnsi="標楷體" w:hint="eastAsia"/>
          <w:spacing w:val="-6"/>
          <w:szCs w:val="24"/>
        </w:rPr>
        <w:t>臨時參加國際會議或活動，並經外交主管機關或目的事業主管機關認定。</w:t>
      </w:r>
      <w:r w:rsidR="00C2362F" w:rsidRPr="00C2362F">
        <w:rPr>
          <w:rFonts w:ascii="標楷體" w:eastAsia="標楷體" w:hAnsi="標楷體" w:hint="eastAsia"/>
          <w:spacing w:val="-6"/>
          <w:szCs w:val="24"/>
        </w:rPr>
        <w:t>（</w:t>
      </w:r>
      <w:r w:rsidRPr="00F811F6">
        <w:rPr>
          <w:rFonts w:ascii="標楷體" w:eastAsia="標楷體" w:hAnsi="標楷體"/>
          <w:spacing w:val="-6"/>
          <w:szCs w:val="24"/>
        </w:rPr>
        <w:t>二</w:t>
      </w:r>
      <w:r w:rsidR="006C41C5" w:rsidRPr="006C41C5">
        <w:rPr>
          <w:rFonts w:ascii="標楷體" w:eastAsia="標楷體" w:hAnsi="標楷體" w:hint="eastAsia"/>
          <w:spacing w:val="-6"/>
          <w:szCs w:val="24"/>
        </w:rPr>
        <w:t>）</w:t>
      </w:r>
      <w:r w:rsidRPr="00F811F6">
        <w:rPr>
          <w:rFonts w:ascii="標楷體" w:eastAsia="標楷體" w:hAnsi="標楷體"/>
          <w:spacing w:val="-6"/>
          <w:szCs w:val="24"/>
        </w:rPr>
        <w:t>因業務需要赴國外談判。</w:t>
      </w:r>
      <w:r w:rsidR="00C2362F" w:rsidRPr="00C2362F">
        <w:rPr>
          <w:rFonts w:ascii="標楷體" w:eastAsia="標楷體" w:hAnsi="標楷體" w:hint="eastAsia"/>
          <w:spacing w:val="-6"/>
          <w:szCs w:val="24"/>
        </w:rPr>
        <w:t>（</w:t>
      </w:r>
      <w:r w:rsidRPr="00F811F6">
        <w:rPr>
          <w:rFonts w:ascii="標楷體" w:eastAsia="標楷體" w:hAnsi="標楷體"/>
          <w:spacing w:val="-6"/>
          <w:szCs w:val="24"/>
        </w:rPr>
        <w:t>三</w:t>
      </w:r>
      <w:r w:rsidR="006C41C5" w:rsidRPr="006C41C5">
        <w:rPr>
          <w:rFonts w:ascii="標楷體" w:eastAsia="標楷體" w:hAnsi="標楷體" w:hint="eastAsia"/>
          <w:spacing w:val="-6"/>
          <w:szCs w:val="24"/>
        </w:rPr>
        <w:t>）</w:t>
      </w:r>
      <w:r w:rsidRPr="00F811F6">
        <w:rPr>
          <w:rFonts w:ascii="標楷體" w:eastAsia="標楷體" w:hAnsi="標楷體"/>
          <w:spacing w:val="-6"/>
          <w:szCs w:val="24"/>
        </w:rPr>
        <w:t>國外突發重大事件，需緊急前往處</w:t>
      </w:r>
      <w:r w:rsidRPr="00F811F6">
        <w:rPr>
          <w:rFonts w:ascii="標楷體" w:eastAsia="標楷體" w:hAnsi="標楷體" w:hint="eastAsia"/>
          <w:spacing w:val="-6"/>
          <w:szCs w:val="24"/>
        </w:rPr>
        <w:t>理。</w:t>
      </w:r>
      <w:r w:rsidR="00C2362F" w:rsidRPr="00C2362F">
        <w:rPr>
          <w:rFonts w:ascii="標楷體" w:eastAsia="標楷體" w:hAnsi="標楷體" w:hint="eastAsia"/>
          <w:spacing w:val="-6"/>
          <w:szCs w:val="24"/>
        </w:rPr>
        <w:t>（</w:t>
      </w:r>
      <w:r w:rsidRPr="00F811F6">
        <w:rPr>
          <w:rFonts w:ascii="標楷體" w:eastAsia="標楷體" w:hAnsi="標楷體"/>
          <w:spacing w:val="-6"/>
          <w:szCs w:val="24"/>
        </w:rPr>
        <w:t>四</w:t>
      </w:r>
      <w:r w:rsidR="006C41C5" w:rsidRPr="006C41C5">
        <w:rPr>
          <w:rFonts w:ascii="標楷體" w:eastAsia="標楷體" w:hAnsi="標楷體" w:hint="eastAsia"/>
          <w:spacing w:val="-6"/>
          <w:szCs w:val="24"/>
        </w:rPr>
        <w:t>）</w:t>
      </w:r>
      <w:r w:rsidRPr="00F811F6">
        <w:rPr>
          <w:rFonts w:ascii="標楷體" w:eastAsia="標楷體" w:hAnsi="標楷體"/>
          <w:spacing w:val="-6"/>
          <w:szCs w:val="24"/>
        </w:rPr>
        <w:t>國內突發重大事件，需緊急赴國外採購以應急需。……</w:t>
      </w:r>
      <w:r w:rsidRPr="00F811F6">
        <w:rPr>
          <w:rFonts w:ascii="標楷體" w:eastAsia="標楷體" w:hAnsi="標楷體" w:hint="eastAsia"/>
          <w:spacing w:val="-6"/>
          <w:szCs w:val="24"/>
        </w:rPr>
        <w:t>。」</w:t>
      </w:r>
      <w:r w:rsidR="00E3756A">
        <w:rPr>
          <w:rFonts w:ascii="標楷體" w:eastAsia="標楷體" w:hAnsi="標楷體" w:hint="eastAsia"/>
          <w:szCs w:val="24"/>
        </w:rPr>
        <w:t>經</w:t>
      </w:r>
      <w:r w:rsidRPr="00F811F6">
        <w:rPr>
          <w:rFonts w:ascii="標楷體" w:eastAsia="標楷體" w:hAnsi="標楷體" w:hint="eastAsia"/>
          <w:szCs w:val="24"/>
        </w:rPr>
        <w:t>據行政院及所屬各機關</w:t>
      </w:r>
      <w:r w:rsidRPr="00F811F6">
        <w:rPr>
          <w:rFonts w:ascii="標楷體" w:eastAsia="標楷體" w:hAnsi="標楷體" w:hint="eastAsia"/>
          <w:spacing w:val="-4"/>
          <w:szCs w:val="24"/>
        </w:rPr>
        <w:t>112年度</w:t>
      </w:r>
      <w:r w:rsidRPr="00F811F6">
        <w:rPr>
          <w:rFonts w:ascii="標楷體" w:eastAsia="標楷體" w:hAnsi="標楷體" w:hint="eastAsia"/>
          <w:szCs w:val="24"/>
        </w:rPr>
        <w:t>單位決算「出國計畫執行情形報告表」</w:t>
      </w:r>
      <w:r w:rsidR="00E3756A">
        <w:rPr>
          <w:rFonts w:ascii="標楷體" w:eastAsia="標楷體" w:hAnsi="標楷體" w:hint="eastAsia"/>
          <w:szCs w:val="24"/>
        </w:rPr>
        <w:t>統計</w:t>
      </w:r>
      <w:r w:rsidRPr="00F811F6">
        <w:rPr>
          <w:rFonts w:ascii="標楷體" w:eastAsia="標楷體" w:hAnsi="標楷體" w:hint="eastAsia"/>
          <w:szCs w:val="24"/>
        </w:rPr>
        <w:t>，</w:t>
      </w:r>
      <w:r w:rsidRPr="00F811F6">
        <w:rPr>
          <w:rFonts w:ascii="標楷體" w:eastAsia="標楷體" w:hAnsi="標楷體" w:hint="eastAsia"/>
          <w:spacing w:val="-4"/>
          <w:szCs w:val="24"/>
        </w:rPr>
        <w:t>公務預算原編出國計畫1</w:t>
      </w:r>
      <w:r w:rsidRPr="00F811F6">
        <w:rPr>
          <w:rFonts w:ascii="標楷體" w:eastAsia="標楷體" w:hAnsi="標楷體"/>
          <w:spacing w:val="-4"/>
          <w:szCs w:val="24"/>
        </w:rPr>
        <w:t>,</w:t>
      </w:r>
      <w:r w:rsidRPr="00F811F6">
        <w:rPr>
          <w:rFonts w:ascii="標楷體" w:eastAsia="標楷體" w:hAnsi="標楷體" w:hint="eastAsia"/>
          <w:spacing w:val="-4"/>
          <w:szCs w:val="24"/>
        </w:rPr>
        <w:t>886項，按原訂或部分修正計畫執行（下稱照案或修正執行）1,580項（83.78％），取消辦理306項【取消辦理項數占原訂計畫項數比率（下稱取消率）16.22％】，新增辦理381項【新增辦理項數占全年度實際執行項數比率（下稱新增率）19.43％】。經查各機關執行情形，照案或修正執行項數比率低於8成（即取消率逾2成）者，計有外交部外交及國際事務學院等48個機關；新增率逾2成者，亦有財政部財政資訊中心</w:t>
      </w:r>
      <w:r>
        <w:rPr>
          <w:rFonts w:ascii="標楷體" w:eastAsia="標楷體" w:hAnsi="標楷體" w:hint="eastAsia"/>
          <w:spacing w:val="-4"/>
          <w:szCs w:val="24"/>
        </w:rPr>
        <w:t>等</w:t>
      </w:r>
      <w:r w:rsidRPr="00F811F6">
        <w:rPr>
          <w:rFonts w:ascii="標楷體" w:eastAsia="標楷體" w:hAnsi="標楷體" w:hint="eastAsia"/>
          <w:spacing w:val="-4"/>
          <w:szCs w:val="24"/>
        </w:rPr>
        <w:t>39個機關；其中原住民族委員會、財政部財政資訊中心、教育部國家教育研究院、衛生福利部中央健康保險署等4個機關，出國計畫取消率及新增率均逾5成，實際辦理項目與行政院核定及立法院審議通過之預算項目未符，顯示部分機關及其主管部會未能落實依規</w:t>
      </w:r>
      <w:r>
        <w:rPr>
          <w:rFonts w:ascii="標楷體" w:eastAsia="標楷體" w:hAnsi="標楷體" w:hint="eastAsia"/>
          <w:spacing w:val="-4"/>
          <w:szCs w:val="24"/>
        </w:rPr>
        <w:t>定</w:t>
      </w:r>
      <w:r w:rsidRPr="00F811F6">
        <w:rPr>
          <w:rFonts w:ascii="標楷體" w:eastAsia="標楷體" w:hAnsi="標楷體" w:hint="eastAsia"/>
          <w:spacing w:val="-4"/>
          <w:szCs w:val="24"/>
        </w:rPr>
        <w:t>審慎編製年度派員出國計畫及切實執行，並就變更或臨時新增事項從嚴核定，恐致出國計畫及相關預算之編列及審議徒具形式。復查，行政</w:t>
      </w:r>
      <w:r w:rsidRPr="00F811F6">
        <w:rPr>
          <w:rFonts w:ascii="標楷體" w:eastAsia="標楷體" w:hAnsi="標楷體" w:hint="eastAsia"/>
          <w:szCs w:val="24"/>
        </w:rPr>
        <w:t>院及所屬各機關</w:t>
      </w:r>
      <w:r w:rsidRPr="00F811F6">
        <w:rPr>
          <w:rFonts w:ascii="標楷體" w:eastAsia="標楷體" w:hAnsi="標楷體" w:hint="eastAsia"/>
          <w:spacing w:val="-4"/>
          <w:szCs w:val="24"/>
        </w:rPr>
        <w:t>112年度出國計畫預算因新增或變更計畫，致原列預算不敷，須以其他年度預算經費或動支第一預備金支應，超支數占原編預算數逾10％者，計有國防部所屬</w:t>
      </w:r>
      <w:r>
        <w:rPr>
          <w:rFonts w:ascii="標楷體" w:eastAsia="標楷體" w:hAnsi="標楷體" w:hint="eastAsia"/>
          <w:spacing w:val="-4"/>
          <w:szCs w:val="24"/>
        </w:rPr>
        <w:t>等</w:t>
      </w:r>
      <w:r w:rsidRPr="00F811F6">
        <w:rPr>
          <w:rFonts w:ascii="標楷體" w:eastAsia="標楷體" w:hAnsi="標楷體" w:hint="eastAsia"/>
          <w:spacing w:val="-4"/>
          <w:szCs w:val="24"/>
        </w:rPr>
        <w:t>19個機關，其中</w:t>
      </w:r>
      <w:r>
        <w:rPr>
          <w:rFonts w:ascii="標楷體" w:eastAsia="標楷體" w:hAnsi="標楷體" w:hint="eastAsia"/>
          <w:spacing w:val="-4"/>
          <w:szCs w:val="24"/>
        </w:rPr>
        <w:t>內政部等7個機關甚至</w:t>
      </w:r>
      <w:r w:rsidRPr="00F811F6">
        <w:rPr>
          <w:rFonts w:ascii="標楷體" w:eastAsia="標楷體" w:hAnsi="標楷體" w:hint="eastAsia"/>
          <w:spacing w:val="-4"/>
          <w:szCs w:val="24"/>
        </w:rPr>
        <w:t>超支逾5成，顯示出國計畫預算編列未盡覈實。又經抽查上開預算調整支應之新增出國計畫項目，包含考察、訪問、進修及其他項目等，非均屬出國案件編審要點第5點所規範之臨時參加國際會議或活動、</w:t>
      </w:r>
      <w:r w:rsidRPr="00F811F6">
        <w:rPr>
          <w:rFonts w:ascii="標楷體" w:eastAsia="標楷體" w:hAnsi="標楷體"/>
          <w:spacing w:val="-4"/>
          <w:szCs w:val="24"/>
        </w:rPr>
        <w:t>因業務需要赴國外談判</w:t>
      </w:r>
      <w:r w:rsidRPr="00F811F6">
        <w:rPr>
          <w:rFonts w:ascii="標楷體" w:eastAsia="標楷體" w:hAnsi="標楷體" w:hint="eastAsia"/>
          <w:spacing w:val="-4"/>
          <w:szCs w:val="24"/>
        </w:rPr>
        <w:t>、</w:t>
      </w:r>
      <w:r w:rsidRPr="00F811F6">
        <w:rPr>
          <w:rFonts w:ascii="標楷體" w:eastAsia="標楷體" w:hAnsi="標楷體"/>
          <w:spacing w:val="-4"/>
          <w:szCs w:val="24"/>
        </w:rPr>
        <w:t>國外突發重大事件需緊急前往處</w:t>
      </w:r>
      <w:r w:rsidRPr="00F811F6">
        <w:rPr>
          <w:rFonts w:ascii="標楷體" w:eastAsia="標楷體" w:hAnsi="標楷體" w:hint="eastAsia"/>
          <w:spacing w:val="-4"/>
          <w:szCs w:val="24"/>
        </w:rPr>
        <w:t>理，或</w:t>
      </w:r>
      <w:r w:rsidRPr="00F811F6">
        <w:rPr>
          <w:rFonts w:ascii="標楷體" w:eastAsia="標楷體" w:hAnsi="標楷體"/>
          <w:spacing w:val="-4"/>
          <w:szCs w:val="24"/>
        </w:rPr>
        <w:t>國內突發重大事件需緊急赴國外採購以應急需</w:t>
      </w:r>
      <w:r w:rsidRPr="00F811F6">
        <w:rPr>
          <w:rFonts w:ascii="標楷體" w:eastAsia="標楷體" w:hAnsi="標楷體" w:hint="eastAsia"/>
          <w:spacing w:val="-4"/>
          <w:szCs w:val="24"/>
        </w:rPr>
        <w:t>等事項，是否確有調整年度預算或動支預備金支應辦理之必要性，不無疑慮。</w:t>
      </w:r>
      <w:r w:rsidRPr="00E97D7B">
        <w:rPr>
          <w:rFonts w:ascii="標楷體" w:eastAsia="標楷體" w:hAnsi="標楷體" w:hint="eastAsia"/>
          <w:spacing w:val="-4"/>
          <w:szCs w:val="24"/>
        </w:rPr>
        <w:t>經函請行政院</w:t>
      </w:r>
      <w:r w:rsidRPr="00E97D7B">
        <w:rPr>
          <w:rFonts w:ascii="標楷體" w:eastAsia="標楷體" w:hAnsi="標楷體" w:hint="eastAsia"/>
          <w:szCs w:val="24"/>
        </w:rPr>
        <w:t>督促所屬各機關</w:t>
      </w:r>
      <w:r w:rsidRPr="00E97D7B">
        <w:rPr>
          <w:rFonts w:ascii="標楷體" w:eastAsia="標楷體" w:hAnsi="標楷體" w:hint="eastAsia"/>
          <w:spacing w:val="-4"/>
          <w:szCs w:val="24"/>
        </w:rPr>
        <w:t>恪遵相關規定</w:t>
      </w:r>
      <w:r w:rsidRPr="00E97D7B">
        <w:rPr>
          <w:rFonts w:ascii="標楷體" w:eastAsia="標楷體" w:hAnsi="標楷體"/>
          <w:spacing w:val="-4"/>
          <w:szCs w:val="24"/>
        </w:rPr>
        <w:t>覈實編列出國計畫</w:t>
      </w:r>
      <w:r w:rsidRPr="00E97D7B">
        <w:rPr>
          <w:rFonts w:ascii="標楷體" w:eastAsia="標楷體" w:hAnsi="標楷體" w:hint="eastAsia"/>
          <w:spacing w:val="-4"/>
          <w:szCs w:val="24"/>
        </w:rPr>
        <w:lastRenderedPageBreak/>
        <w:t>並切實執行，及就變更或新增事項，落實依規定從嚴核定，以確保</w:t>
      </w:r>
      <w:r w:rsidRPr="00E97D7B">
        <w:rPr>
          <w:rFonts w:ascii="標楷體" w:eastAsia="標楷體" w:hAnsi="標楷體"/>
          <w:spacing w:val="-4"/>
          <w:szCs w:val="24"/>
        </w:rPr>
        <w:t>預算資源運用效益</w:t>
      </w:r>
      <w:r w:rsidRPr="00E97D7B">
        <w:rPr>
          <w:rFonts w:ascii="標楷體" w:eastAsia="標楷體" w:hAnsi="標楷體" w:hint="eastAsia"/>
          <w:spacing w:val="-4"/>
          <w:szCs w:val="24"/>
        </w:rPr>
        <w:t>。</w:t>
      </w:r>
      <w:r w:rsidR="00BD6093" w:rsidRPr="004D7C92">
        <w:rPr>
          <w:rFonts w:ascii="標楷體" w:eastAsia="標楷體" w:hAnsi="標楷體" w:hint="eastAsia"/>
          <w:color w:val="000000" w:themeColor="text1"/>
          <w:spacing w:val="-4"/>
          <w:szCs w:val="24"/>
        </w:rPr>
        <w:t>據復：各機關當年度派員出國計畫係於會計年度開始前</w:t>
      </w:r>
      <w:r w:rsidR="00BD6093" w:rsidRPr="004D7C92">
        <w:rPr>
          <w:rFonts w:ascii="標楷體" w:eastAsia="標楷體" w:hAnsi="標楷體"/>
          <w:color w:val="000000" w:themeColor="text1"/>
          <w:spacing w:val="-4"/>
          <w:szCs w:val="24"/>
        </w:rPr>
        <w:t>1年編製，惟為配合當前政府政策之推動及因應國際情勢急遽變化，仍有須配合調整或變更計畫之需求，未來將依規定落實各項派員出國計畫之編製、報核，及變更計畫之核定（備查），亦將適時向各機關宣導按所編列之出國計畫切實執行，倘確有變更或新增出國計畫之需求，應落實依規定從嚴核定，以確保預算資源運用效益。</w:t>
      </w:r>
    </w:p>
    <w:p w14:paraId="112328A1" w14:textId="2050AE9C" w:rsidR="004C3569" w:rsidRPr="00E97D7B" w:rsidRDefault="001010E2" w:rsidP="00BD6093">
      <w:pPr>
        <w:widowControl/>
        <w:overflowPunct w:val="0"/>
        <w:spacing w:line="420" w:lineRule="exact"/>
        <w:ind w:firstLineChars="450" w:firstLine="1045"/>
        <w:jc w:val="both"/>
        <w:rPr>
          <w:rFonts w:ascii="標楷體" w:eastAsia="標楷體" w:hAnsi="標楷體"/>
          <w:b/>
        </w:rPr>
      </w:pPr>
      <w:r>
        <w:rPr>
          <w:rFonts w:ascii="標楷體" w:eastAsia="標楷體" w:hAnsi="標楷體" w:hint="eastAsia"/>
          <w:b/>
          <w:spacing w:val="-4"/>
          <w:szCs w:val="24"/>
        </w:rPr>
        <w:t>2</w:t>
      </w:r>
      <w:r w:rsidRPr="00F811F6">
        <w:rPr>
          <w:rFonts w:ascii="標楷體" w:eastAsia="標楷體" w:hAnsi="標楷體"/>
          <w:b/>
          <w:spacing w:val="-4"/>
          <w:szCs w:val="24"/>
        </w:rPr>
        <w:t>.</w:t>
      </w:r>
      <w:r w:rsidRPr="00F811F6">
        <w:rPr>
          <w:rFonts w:ascii="標楷體" w:eastAsia="標楷體" w:hAnsi="標楷體" w:hint="eastAsia"/>
          <w:b/>
          <w:spacing w:val="-4"/>
          <w:szCs w:val="24"/>
        </w:rPr>
        <w:t xml:space="preserve">　</w:t>
      </w:r>
      <w:r w:rsidRPr="00E97D7B">
        <w:rPr>
          <w:rFonts w:ascii="標楷體" w:eastAsia="標楷體" w:hAnsi="標楷體" w:hint="eastAsia"/>
          <w:b/>
        </w:rPr>
        <w:t>部分機關出國人員未依規定期限提交出國報告，不利及時回饋運用</w:t>
      </w:r>
      <w:r>
        <w:rPr>
          <w:rFonts w:ascii="標楷體" w:eastAsia="標楷體" w:hAnsi="標楷體" w:hint="eastAsia"/>
          <w:b/>
        </w:rPr>
        <w:t>；</w:t>
      </w:r>
      <w:r w:rsidR="00E3756A">
        <w:rPr>
          <w:rFonts w:ascii="標楷體" w:eastAsia="標楷體" w:hAnsi="標楷體" w:hint="eastAsia"/>
          <w:b/>
        </w:rPr>
        <w:t>或</w:t>
      </w:r>
      <w:r w:rsidRPr="00E97D7B">
        <w:rPr>
          <w:rFonts w:ascii="標楷體" w:eastAsia="標楷體" w:hAnsi="標楷體" w:hint="eastAsia"/>
          <w:b/>
        </w:rPr>
        <w:t>未依規定公開</w:t>
      </w:r>
      <w:r w:rsidRPr="00E97D7B">
        <w:rPr>
          <w:rFonts w:ascii="標楷體" w:eastAsia="標楷體" w:hAnsi="標楷體"/>
          <w:b/>
        </w:rPr>
        <w:t>出國計畫執行情形報告表</w:t>
      </w:r>
      <w:r w:rsidRPr="00E97D7B">
        <w:rPr>
          <w:rFonts w:ascii="標楷體" w:eastAsia="標楷體" w:hAnsi="標楷體" w:hint="eastAsia"/>
          <w:b/>
        </w:rPr>
        <w:t>，不利施政資訊公開透明</w:t>
      </w:r>
      <w:r>
        <w:rPr>
          <w:rFonts w:ascii="標楷體" w:eastAsia="標楷體" w:hAnsi="標楷體" w:hint="eastAsia"/>
          <w:b/>
        </w:rPr>
        <w:t>：</w:t>
      </w:r>
      <w:r w:rsidRPr="00F811F6">
        <w:rPr>
          <w:rFonts w:ascii="標楷體" w:eastAsia="標楷體" w:hAnsi="標楷體" w:hint="eastAsia"/>
          <w:spacing w:val="-2"/>
          <w:szCs w:val="24"/>
        </w:rPr>
        <w:t>依據行政院及所屬各機關出國報告綜合處理要點第2點規定：「</w:t>
      </w:r>
      <w:r w:rsidRPr="00F811F6">
        <w:rPr>
          <w:rFonts w:ascii="標楷體" w:eastAsia="標楷體" w:hAnsi="標楷體"/>
          <w:spacing w:val="-2"/>
          <w:szCs w:val="24"/>
        </w:rPr>
        <w:t>各機關以政府經費派赴國外從事考察、進修、研究、實習、視察、訪問、開會、談判及其他公務有關活動之人員，除屬機密性質外，應依本要點規定提出出國報告。</w:t>
      </w:r>
      <w:r w:rsidRPr="00F811F6">
        <w:rPr>
          <w:rFonts w:ascii="標楷體" w:eastAsia="標楷體" w:hAnsi="標楷體" w:hint="eastAsia"/>
          <w:spacing w:val="-2"/>
          <w:szCs w:val="24"/>
        </w:rPr>
        <w:t>」第6點規定：「出國人員應於返國之日起3個月內將審核完成並奉核定之出國報告電子檔傳送至資訊網，並登錄出國報告相關資料。」查據</w:t>
      </w:r>
      <w:r>
        <w:rPr>
          <w:rFonts w:ascii="標楷體" w:eastAsia="標楷體" w:hAnsi="標楷體" w:hint="eastAsia"/>
          <w:spacing w:val="-2"/>
          <w:szCs w:val="24"/>
        </w:rPr>
        <w:t>行政</w:t>
      </w:r>
      <w:r w:rsidRPr="00F811F6">
        <w:rPr>
          <w:rFonts w:ascii="標楷體" w:eastAsia="標楷體" w:hAnsi="標楷體" w:hint="eastAsia"/>
          <w:spacing w:val="-2"/>
          <w:szCs w:val="24"/>
        </w:rPr>
        <w:t>院及所屬各機關112年度單位決算「出國計畫執行情形報告表」所列，應提出出國報告者合計1</w:t>
      </w:r>
      <w:r w:rsidRPr="00F811F6">
        <w:rPr>
          <w:rFonts w:ascii="標楷體" w:eastAsia="標楷體" w:hAnsi="標楷體"/>
          <w:spacing w:val="-2"/>
          <w:szCs w:val="24"/>
        </w:rPr>
        <w:t>,6</w:t>
      </w:r>
      <w:r w:rsidRPr="00F811F6">
        <w:rPr>
          <w:rFonts w:ascii="標楷體" w:eastAsia="標楷體" w:hAnsi="標楷體" w:hint="eastAsia"/>
          <w:spacing w:val="-2"/>
          <w:szCs w:val="24"/>
        </w:rPr>
        <w:t>53項，除尚未屆報告提出期限（返國3個月內）者計79項（4.78％）外，如期於返國3個月內提出出國報告者計1</w:t>
      </w:r>
      <w:r w:rsidRPr="00F811F6">
        <w:rPr>
          <w:rFonts w:ascii="標楷體" w:eastAsia="標楷體" w:hAnsi="標楷體"/>
          <w:spacing w:val="-2"/>
          <w:szCs w:val="24"/>
        </w:rPr>
        <w:t>,5</w:t>
      </w:r>
      <w:r w:rsidRPr="00F811F6">
        <w:rPr>
          <w:rFonts w:ascii="標楷體" w:eastAsia="標楷體" w:hAnsi="標楷體" w:hint="eastAsia"/>
          <w:spacing w:val="-2"/>
          <w:szCs w:val="24"/>
        </w:rPr>
        <w:t>27項（92.38％），逾期提出者計47項（2.84％）</w:t>
      </w:r>
      <w:r w:rsidR="007B77FF">
        <w:rPr>
          <w:rFonts w:ascii="標楷體" w:eastAsia="標楷體" w:hAnsi="標楷體" w:hint="eastAsia"/>
          <w:spacing w:val="-2"/>
          <w:szCs w:val="24"/>
        </w:rPr>
        <w:t>，</w:t>
      </w:r>
      <w:r w:rsidRPr="004D7C92">
        <w:rPr>
          <w:rFonts w:ascii="標楷體" w:eastAsia="標楷體" w:hAnsi="標楷體" w:hint="eastAsia"/>
          <w:spacing w:val="-4"/>
          <w:szCs w:val="24"/>
        </w:rPr>
        <w:t>其中報告逾期提出比率高於</w:t>
      </w:r>
      <w:r w:rsidRPr="004D7C92">
        <w:rPr>
          <w:rFonts w:ascii="標楷體" w:eastAsia="標楷體" w:hAnsi="標楷體"/>
          <w:spacing w:val="-4"/>
          <w:szCs w:val="24"/>
        </w:rPr>
        <w:t>10％者，計有原住民族委員會等12個機關。次查，</w:t>
      </w:r>
      <w:r w:rsidRPr="004D7C92">
        <w:rPr>
          <w:rFonts w:ascii="標楷體" w:eastAsia="標楷體" w:hAnsi="標楷體" w:hint="eastAsia"/>
          <w:spacing w:val="-4"/>
          <w:szCs w:val="24"/>
        </w:rPr>
        <w:t>依據</w:t>
      </w:r>
      <w:r w:rsidRPr="004D7C92">
        <w:rPr>
          <w:rFonts w:ascii="標楷體" w:eastAsia="標楷體" w:hAnsi="標楷體"/>
          <w:spacing w:val="-4"/>
          <w:szCs w:val="24"/>
        </w:rPr>
        <w:t>112年度總決算編製作業手冊</w:t>
      </w:r>
      <w:r w:rsidRPr="004D7C92">
        <w:rPr>
          <w:rFonts w:ascii="標楷體" w:eastAsia="標楷體" w:hAnsi="標楷體" w:hint="eastAsia"/>
          <w:spacing w:val="-4"/>
          <w:szCs w:val="24"/>
        </w:rPr>
        <w:t>甲（中央政府決算書表之名稱）、</w:t>
      </w:r>
      <w:r w:rsidRPr="004D7C92">
        <w:rPr>
          <w:rFonts w:ascii="標楷體" w:eastAsia="標楷體" w:hAnsi="標楷體"/>
          <w:spacing w:val="-4"/>
          <w:szCs w:val="24"/>
        </w:rPr>
        <w:t>一</w:t>
      </w:r>
      <w:r w:rsidRPr="004D7C92">
        <w:rPr>
          <w:rFonts w:ascii="標楷體" w:eastAsia="標楷體" w:hAnsi="標楷體" w:hint="eastAsia"/>
          <w:spacing w:val="-4"/>
          <w:szCs w:val="24"/>
        </w:rPr>
        <w:t>（</w:t>
      </w:r>
      <w:r w:rsidRPr="004D7C92">
        <w:rPr>
          <w:rFonts w:ascii="標楷體" w:eastAsia="標楷體" w:hAnsi="標楷體"/>
          <w:spacing w:val="-4"/>
          <w:szCs w:val="24"/>
        </w:rPr>
        <w:t>各機關編製單位決算之書表</w:t>
      </w:r>
      <w:r w:rsidRPr="004D7C92">
        <w:rPr>
          <w:rFonts w:ascii="標楷體" w:eastAsia="標楷體" w:hAnsi="標楷體" w:hint="eastAsia"/>
          <w:spacing w:val="-4"/>
          <w:szCs w:val="24"/>
        </w:rPr>
        <w:t>）規定，各機關單位決算</w:t>
      </w:r>
      <w:r w:rsidRPr="004D7C92">
        <w:rPr>
          <w:rFonts w:hint="eastAsia"/>
          <w:spacing w:val="-4"/>
          <w:szCs w:val="24"/>
        </w:rPr>
        <w:t>「</w:t>
      </w:r>
      <w:r w:rsidRPr="004D7C92">
        <w:rPr>
          <w:rFonts w:ascii="標楷體" w:eastAsia="標楷體" w:hAnsi="標楷體"/>
          <w:spacing w:val="-4"/>
          <w:szCs w:val="24"/>
        </w:rPr>
        <w:t>出國計畫執行情形報告表</w:t>
      </w:r>
      <w:r w:rsidRPr="004D7C92">
        <w:rPr>
          <w:rFonts w:hint="eastAsia"/>
          <w:spacing w:val="-4"/>
          <w:szCs w:val="24"/>
        </w:rPr>
        <w:t>」</w:t>
      </w:r>
      <w:r w:rsidRPr="004D7C92">
        <w:rPr>
          <w:rFonts w:ascii="標楷體" w:eastAsia="標楷體" w:hAnsi="標楷體"/>
          <w:spacing w:val="-4"/>
          <w:szCs w:val="24"/>
        </w:rPr>
        <w:t>得於次年3月31日前另函送主管機關、</w:t>
      </w:r>
      <w:r w:rsidRPr="004D7C92">
        <w:rPr>
          <w:rFonts w:ascii="標楷體" w:eastAsia="標楷體" w:hAnsi="標楷體" w:hint="eastAsia"/>
          <w:spacing w:val="-4"/>
          <w:szCs w:val="24"/>
        </w:rPr>
        <w:t>本</w:t>
      </w:r>
      <w:r w:rsidRPr="004D7C92">
        <w:rPr>
          <w:rFonts w:ascii="標楷體" w:eastAsia="標楷體" w:hAnsi="標楷體"/>
          <w:spacing w:val="-4"/>
          <w:szCs w:val="24"/>
        </w:rPr>
        <w:t>部及</w:t>
      </w:r>
      <w:r w:rsidR="00E3756A" w:rsidRPr="004D7C92">
        <w:rPr>
          <w:rFonts w:ascii="標楷體" w:eastAsia="標楷體" w:hAnsi="標楷體" w:hint="eastAsia"/>
          <w:spacing w:val="-4"/>
          <w:szCs w:val="24"/>
        </w:rPr>
        <w:t>行政</w:t>
      </w:r>
      <w:r w:rsidRPr="004D7C92">
        <w:rPr>
          <w:rFonts w:ascii="標楷體" w:eastAsia="標楷體" w:hAnsi="標楷體" w:hint="eastAsia"/>
          <w:spacing w:val="-4"/>
          <w:szCs w:val="24"/>
        </w:rPr>
        <w:t>院</w:t>
      </w:r>
      <w:r w:rsidRPr="004D7C92">
        <w:rPr>
          <w:rFonts w:ascii="標楷體" w:eastAsia="標楷體" w:hAnsi="標楷體"/>
          <w:spacing w:val="-4"/>
          <w:szCs w:val="24"/>
        </w:rPr>
        <w:t>主計總處，</w:t>
      </w:r>
      <w:r w:rsidRPr="00F811F6">
        <w:rPr>
          <w:rFonts w:ascii="標楷體" w:eastAsia="標楷體" w:hAnsi="標楷體"/>
          <w:szCs w:val="24"/>
        </w:rPr>
        <w:t>免附入決算書編送，</w:t>
      </w:r>
      <w:r w:rsidRPr="00F811F6">
        <w:rPr>
          <w:rFonts w:ascii="標楷體" w:eastAsia="標楷體" w:hAnsi="標楷體" w:hint="eastAsia"/>
          <w:szCs w:val="24"/>
        </w:rPr>
        <w:t>另</w:t>
      </w:r>
      <w:r w:rsidRPr="00F811F6">
        <w:rPr>
          <w:rFonts w:ascii="標楷體" w:eastAsia="標楷體" w:hAnsi="標楷體"/>
          <w:szCs w:val="24"/>
        </w:rPr>
        <w:t>需於次年</w:t>
      </w:r>
      <w:r w:rsidRPr="00F811F6">
        <w:rPr>
          <w:rFonts w:ascii="標楷體" w:eastAsia="標楷體" w:hAnsi="標楷體" w:hint="eastAsia"/>
          <w:szCs w:val="24"/>
        </w:rPr>
        <w:t>3</w:t>
      </w:r>
      <w:r w:rsidRPr="00F811F6">
        <w:rPr>
          <w:rFonts w:ascii="標楷體" w:eastAsia="標楷體" w:hAnsi="標楷體"/>
          <w:szCs w:val="24"/>
        </w:rPr>
        <w:t>月</w:t>
      </w:r>
      <w:r w:rsidRPr="00F811F6">
        <w:rPr>
          <w:rFonts w:ascii="標楷體" w:eastAsia="標楷體" w:hAnsi="標楷體" w:hint="eastAsia"/>
          <w:szCs w:val="24"/>
        </w:rPr>
        <w:t>31</w:t>
      </w:r>
      <w:r w:rsidRPr="00F811F6">
        <w:rPr>
          <w:rFonts w:ascii="標楷體" w:eastAsia="標楷體" w:hAnsi="標楷體"/>
          <w:szCs w:val="24"/>
        </w:rPr>
        <w:t>日前於</w:t>
      </w:r>
      <w:r w:rsidRPr="00F811F6">
        <w:rPr>
          <w:rFonts w:ascii="標楷體" w:eastAsia="標楷體" w:hAnsi="標楷體" w:hint="eastAsia"/>
          <w:szCs w:val="24"/>
        </w:rPr>
        <w:t>政府歲計會計資訊管理系統（</w:t>
      </w:r>
      <w:r w:rsidRPr="00F811F6">
        <w:rPr>
          <w:rFonts w:ascii="標楷體" w:eastAsia="標楷體" w:hAnsi="標楷體"/>
          <w:szCs w:val="24"/>
        </w:rPr>
        <w:t>GBA</w:t>
      </w:r>
      <w:r w:rsidRPr="00F811F6">
        <w:rPr>
          <w:rFonts w:ascii="標楷體" w:eastAsia="標楷體" w:hAnsi="標楷體" w:hint="eastAsia"/>
          <w:szCs w:val="24"/>
        </w:rPr>
        <w:t>）</w:t>
      </w:r>
      <w:r w:rsidRPr="00F811F6">
        <w:rPr>
          <w:rFonts w:ascii="標楷體" w:eastAsia="標楷體" w:hAnsi="標楷體"/>
          <w:szCs w:val="24"/>
        </w:rPr>
        <w:t>補登完畢，併同單位決算書公開於機關網站。</w:t>
      </w:r>
      <w:r w:rsidRPr="00F811F6">
        <w:rPr>
          <w:rFonts w:ascii="標楷體" w:eastAsia="標楷體" w:hAnsi="標楷體" w:hint="eastAsia"/>
          <w:szCs w:val="24"/>
        </w:rPr>
        <w:t>惟截至113年4月底止，計有國家安全會議、原住民族委員會、考選部、公務人員退休撫卹基金管理委員會（</w:t>
      </w:r>
      <w:r w:rsidRPr="00F811F6">
        <w:rPr>
          <w:rFonts w:ascii="標楷體" w:eastAsia="標楷體" w:hAnsi="標楷體"/>
          <w:szCs w:val="24"/>
        </w:rPr>
        <w:t>公務人員退休撫</w:t>
      </w:r>
      <w:r w:rsidRPr="00F811F6">
        <w:rPr>
          <w:rFonts w:ascii="標楷體" w:eastAsia="標楷體" w:hAnsi="標楷體" w:hint="eastAsia"/>
          <w:szCs w:val="24"/>
        </w:rPr>
        <w:t>卹基金管理局）、內政部役政署（內政部）、內政部移民署、法務部、經濟部加工出口區管理處及所屬（經濟部產業園區管理局及所屬）、</w:t>
      </w:r>
      <w:r w:rsidR="000E7198">
        <w:rPr>
          <w:rFonts w:ascii="標楷體" w:eastAsia="標楷體" w:hAnsi="標楷體" w:hint="eastAsia"/>
          <w:szCs w:val="24"/>
        </w:rPr>
        <w:t>農業部漁業署及所屬</w:t>
      </w:r>
      <w:r w:rsidRPr="00F811F6">
        <w:rPr>
          <w:rFonts w:ascii="標楷體" w:eastAsia="標楷體" w:hAnsi="標楷體" w:hint="eastAsia"/>
          <w:szCs w:val="24"/>
        </w:rPr>
        <w:t>等9個機關，未依上開規定採併入單位決算書或個別公開之方式於機關網站公告112年度出國計畫執行情形報告表，不利施政資訊公開透明，供外界監督相關出國經費執行情形</w:t>
      </w:r>
      <w:r>
        <w:rPr>
          <w:rFonts w:ascii="標楷體" w:eastAsia="標楷體" w:hAnsi="標楷體" w:hint="eastAsia"/>
          <w:szCs w:val="24"/>
        </w:rPr>
        <w:t>。</w:t>
      </w:r>
      <w:r w:rsidRPr="00E97D7B">
        <w:rPr>
          <w:rFonts w:ascii="標楷體" w:eastAsia="標楷體" w:hAnsi="標楷體" w:hint="eastAsia"/>
          <w:spacing w:val="-2"/>
          <w:szCs w:val="24"/>
        </w:rPr>
        <w:t>經函請行政院</w:t>
      </w:r>
      <w:r w:rsidRPr="002764C1">
        <w:rPr>
          <w:rFonts w:ascii="標楷體" w:eastAsia="標楷體" w:hAnsi="標楷體" w:hint="eastAsia"/>
          <w:szCs w:val="24"/>
        </w:rPr>
        <w:t>督促落實依規定辦理</w:t>
      </w:r>
      <w:r w:rsidRPr="00E97D7B">
        <w:rPr>
          <w:rFonts w:ascii="標楷體" w:eastAsia="標楷體" w:hAnsi="標楷體" w:hint="eastAsia"/>
          <w:spacing w:val="-2"/>
          <w:szCs w:val="24"/>
        </w:rPr>
        <w:t>，</w:t>
      </w:r>
      <w:r>
        <w:rPr>
          <w:rFonts w:ascii="標楷體" w:eastAsia="標楷體" w:hAnsi="標楷體" w:hint="eastAsia"/>
          <w:spacing w:val="-2"/>
          <w:szCs w:val="24"/>
        </w:rPr>
        <w:t>並</w:t>
      </w:r>
      <w:r w:rsidRPr="00E97D7B">
        <w:rPr>
          <w:rFonts w:ascii="標楷體" w:eastAsia="標楷體" w:hAnsi="標楷體"/>
          <w:spacing w:val="-2"/>
          <w:szCs w:val="24"/>
        </w:rPr>
        <w:t>加強</w:t>
      </w:r>
      <w:r w:rsidRPr="00E97D7B">
        <w:rPr>
          <w:rFonts w:ascii="標楷體" w:eastAsia="標楷體" w:hAnsi="標楷體" w:hint="eastAsia"/>
          <w:spacing w:val="-2"/>
          <w:szCs w:val="24"/>
        </w:rPr>
        <w:t>追蹤出國</w:t>
      </w:r>
      <w:r w:rsidRPr="00E97D7B">
        <w:rPr>
          <w:rFonts w:ascii="標楷體" w:eastAsia="標楷體" w:hAnsi="標楷體"/>
          <w:spacing w:val="-2"/>
          <w:szCs w:val="24"/>
        </w:rPr>
        <w:t>報告</w:t>
      </w:r>
      <w:r w:rsidRPr="00E97D7B">
        <w:rPr>
          <w:rFonts w:ascii="標楷體" w:eastAsia="標楷體" w:hAnsi="標楷體" w:hint="eastAsia"/>
          <w:spacing w:val="-2"/>
          <w:szCs w:val="24"/>
        </w:rPr>
        <w:t>提出情形，俾促進計畫發揮及時效益。</w:t>
      </w:r>
      <w:r w:rsidR="00BD6093" w:rsidRPr="004D7C92">
        <w:rPr>
          <w:rFonts w:ascii="標楷體" w:eastAsia="標楷體" w:hAnsi="標楷體" w:hint="eastAsia"/>
          <w:color w:val="000000" w:themeColor="text1"/>
          <w:spacing w:val="-4"/>
          <w:szCs w:val="24"/>
        </w:rPr>
        <w:t>據復：有關部分機關出國人員未依規定期限提交出國報告</w:t>
      </w:r>
      <w:r w:rsidR="00BD6093" w:rsidRPr="004D7C92">
        <w:rPr>
          <w:rFonts w:ascii="標楷體" w:eastAsia="標楷體" w:hAnsi="標楷體"/>
          <w:color w:val="000000" w:themeColor="text1"/>
          <w:spacing w:val="-4"/>
          <w:szCs w:val="24"/>
        </w:rPr>
        <w:t>1節，經督促相關機關檢討結果，未來將加強落實出國報告提交流程之相關管控措施，避免類似情形再次發生；有關部分機關未依規定公開出國計畫執行情形報告表1節，將透過教育訓練課程，加強宣導各機關應確依規定辦理相關資訊公開事宜，以利外界監督出國經費執行情形</w:t>
      </w:r>
      <w:r w:rsidR="00BD6093" w:rsidRPr="004D7C92">
        <w:rPr>
          <w:rFonts w:ascii="標楷體" w:eastAsia="標楷體" w:hAnsi="標楷體" w:hint="eastAsia"/>
          <w:color w:val="000000" w:themeColor="text1"/>
          <w:spacing w:val="-4"/>
          <w:kern w:val="0"/>
          <w:sz w:val="28"/>
          <w:szCs w:val="28"/>
        </w:rPr>
        <w:t>。</w:t>
      </w:r>
    </w:p>
    <w:p w14:paraId="139C327E" w14:textId="22271BC9" w:rsidR="00E1647A" w:rsidRPr="00C65BB7" w:rsidRDefault="00E1647A" w:rsidP="00455D47">
      <w:pPr>
        <w:pStyle w:val="2"/>
        <w:overflowPunct w:val="0"/>
        <w:spacing w:beforeLines="20" w:before="72" w:afterLines="20" w:after="72" w:line="420" w:lineRule="exact"/>
        <w:ind w:left="0" w:firstLineChars="200" w:firstLine="561"/>
        <w:rPr>
          <w:b/>
          <w:sz w:val="28"/>
          <w:szCs w:val="28"/>
        </w:rPr>
      </w:pPr>
      <w:r w:rsidRPr="00C65BB7">
        <w:rPr>
          <w:rFonts w:hint="eastAsia"/>
          <w:b/>
          <w:sz w:val="28"/>
          <w:szCs w:val="28"/>
        </w:rPr>
        <w:t>（</w:t>
      </w:r>
      <w:r>
        <w:rPr>
          <w:rFonts w:hint="eastAsia"/>
          <w:b/>
          <w:sz w:val="28"/>
          <w:szCs w:val="28"/>
        </w:rPr>
        <w:t>二十</w:t>
      </w:r>
      <w:r w:rsidR="00781889">
        <w:rPr>
          <w:rFonts w:hint="eastAsia"/>
          <w:b/>
          <w:sz w:val="28"/>
          <w:szCs w:val="28"/>
        </w:rPr>
        <w:t>二</w:t>
      </w:r>
      <w:r w:rsidRPr="00C65BB7">
        <w:rPr>
          <w:rFonts w:hint="eastAsia"/>
          <w:b/>
          <w:sz w:val="28"/>
          <w:szCs w:val="28"/>
        </w:rPr>
        <w:t xml:space="preserve">）　</w:t>
      </w:r>
      <w:r w:rsidRPr="00E1647A">
        <w:rPr>
          <w:rFonts w:hint="eastAsia"/>
          <w:b/>
          <w:spacing w:val="-6"/>
          <w:sz w:val="28"/>
          <w:szCs w:val="28"/>
        </w:rPr>
        <w:t>國家發展委員會成立Talent Taiwan中心，延攬國際關鍵人才及提供外籍人才在臺工作生活全方位諮詢服務，允宜加強掌握海外人才資料庫內有關人才就業金卡取得及來臺就業狀況或就業金卡申請意願</w:t>
      </w:r>
      <w:r w:rsidR="00073047">
        <w:rPr>
          <w:rFonts w:hint="eastAsia"/>
          <w:b/>
          <w:spacing w:val="-6"/>
          <w:sz w:val="28"/>
          <w:szCs w:val="28"/>
        </w:rPr>
        <w:t>，積極延攬國際人才</w:t>
      </w:r>
      <w:r w:rsidRPr="00E1647A">
        <w:rPr>
          <w:rFonts w:hint="eastAsia"/>
          <w:b/>
          <w:spacing w:val="-6"/>
          <w:sz w:val="28"/>
          <w:szCs w:val="28"/>
        </w:rPr>
        <w:t>，持續強化</w:t>
      </w:r>
      <w:r w:rsidR="00073047" w:rsidRPr="00073047">
        <w:rPr>
          <w:rFonts w:hint="eastAsia"/>
          <w:b/>
          <w:spacing w:val="-6"/>
          <w:sz w:val="28"/>
          <w:szCs w:val="28"/>
        </w:rPr>
        <w:t>Talent Taiwan中心</w:t>
      </w:r>
      <w:r w:rsidRPr="00E1647A">
        <w:rPr>
          <w:rFonts w:hint="eastAsia"/>
          <w:b/>
          <w:spacing w:val="-6"/>
          <w:sz w:val="28"/>
          <w:szCs w:val="28"/>
        </w:rPr>
        <w:t>與各機關間之溝通聯繫機制，積極處理改善轉介問題，以提升國際人才來臺</w:t>
      </w:r>
      <w:r w:rsidRPr="003176AE">
        <w:rPr>
          <w:rFonts w:hint="eastAsia"/>
          <w:b/>
          <w:spacing w:val="-6"/>
          <w:sz w:val="28"/>
          <w:szCs w:val="28"/>
        </w:rPr>
        <w:t>工作、生活及就業金卡申請流程之友善度，吸引全球人才留臺長期深耕，促進我國產</w:t>
      </w:r>
      <w:r w:rsidRPr="00E1647A">
        <w:rPr>
          <w:rFonts w:hint="eastAsia"/>
          <w:b/>
          <w:spacing w:val="-6"/>
          <w:sz w:val="28"/>
          <w:szCs w:val="28"/>
        </w:rPr>
        <w:t>業競爭力</w:t>
      </w:r>
      <w:r w:rsidRPr="00C65BB7">
        <w:rPr>
          <w:rFonts w:hint="eastAsia"/>
          <w:b/>
          <w:spacing w:val="-6"/>
          <w:sz w:val="28"/>
          <w:szCs w:val="28"/>
        </w:rPr>
        <w:t>。</w:t>
      </w:r>
    </w:p>
    <w:p w14:paraId="24F460FB" w14:textId="0E428E37" w:rsidR="00E1647A" w:rsidRPr="00846803" w:rsidRDefault="00E1647A" w:rsidP="00E1647A">
      <w:pPr>
        <w:overflowPunct w:val="0"/>
        <w:spacing w:line="430" w:lineRule="exact"/>
        <w:ind w:firstLineChars="200" w:firstLine="480"/>
        <w:jc w:val="both"/>
        <w:rPr>
          <w:rFonts w:ascii="標楷體" w:eastAsia="標楷體" w:hAnsi="標楷體"/>
          <w:szCs w:val="24"/>
        </w:rPr>
      </w:pPr>
      <w:r w:rsidRPr="008E5644">
        <w:rPr>
          <w:rFonts w:ascii="標楷體" w:eastAsia="標楷體" w:hAnsi="標楷體" w:hint="eastAsia"/>
          <w:szCs w:val="24"/>
        </w:rPr>
        <w:lastRenderedPageBreak/>
        <w:t>國家發展委員會依「關鍵人才培育及延攬方案（110－113年）」工作項目，將原成立以推廣就業金卡及服務就業金卡持卡人為主之就業金卡辦公室，轉型擴大服務至提供在臺各領域人才服務諮詢與延攬國際人才來臺之一站式專責窗口，於112年11月1日成立「Talent Taiwan國際人才服務及延攬中心」</w:t>
      </w:r>
      <w:r>
        <w:rPr>
          <w:rFonts w:ascii="標楷體" w:eastAsia="標楷體" w:hAnsi="標楷體" w:hint="eastAsia"/>
          <w:szCs w:val="24"/>
        </w:rPr>
        <w:t>（</w:t>
      </w:r>
      <w:r w:rsidRPr="008E5644">
        <w:rPr>
          <w:rFonts w:ascii="標楷體" w:eastAsia="標楷體" w:hAnsi="標楷體" w:hint="eastAsia"/>
          <w:szCs w:val="24"/>
        </w:rPr>
        <w:t>International Talent Taiwan Office,下稱 Talent Taiwan 中心</w:t>
      </w:r>
      <w:r>
        <w:rPr>
          <w:rFonts w:ascii="標楷體" w:eastAsia="標楷體" w:hAnsi="標楷體" w:hint="eastAsia"/>
          <w:szCs w:val="24"/>
        </w:rPr>
        <w:t>）</w:t>
      </w:r>
      <w:r w:rsidRPr="008E5644">
        <w:rPr>
          <w:rFonts w:ascii="標楷體" w:eastAsia="標楷體" w:hAnsi="標楷體" w:hint="eastAsia"/>
          <w:szCs w:val="24"/>
        </w:rPr>
        <w:t>。</w:t>
      </w:r>
      <w:r>
        <w:rPr>
          <w:rFonts w:ascii="標楷體" w:eastAsia="標楷體" w:hAnsi="標楷體" w:hint="eastAsia"/>
          <w:szCs w:val="24"/>
        </w:rPr>
        <w:t>經查</w:t>
      </w:r>
      <w:r w:rsidRPr="008E5644">
        <w:rPr>
          <w:rFonts w:ascii="標楷體" w:eastAsia="標楷體" w:hAnsi="標楷體" w:hint="eastAsia"/>
          <w:szCs w:val="24"/>
        </w:rPr>
        <w:t>國家發展委員會</w:t>
      </w:r>
      <w:r w:rsidRPr="00ED3E2A">
        <w:rPr>
          <w:rFonts w:ascii="標楷體" w:eastAsia="標楷體" w:hAnsi="標楷體" w:hint="eastAsia"/>
          <w:szCs w:val="24"/>
        </w:rPr>
        <w:t>112年度委託</w:t>
      </w:r>
      <w:r>
        <w:rPr>
          <w:rFonts w:ascii="標楷體" w:eastAsia="標楷體" w:hAnsi="標楷體" w:hint="eastAsia"/>
          <w:szCs w:val="24"/>
        </w:rPr>
        <w:t>廠商</w:t>
      </w:r>
      <w:r w:rsidRPr="00ED3E2A">
        <w:rPr>
          <w:rFonts w:ascii="標楷體" w:eastAsia="標楷體" w:hAnsi="標楷體" w:hint="eastAsia"/>
          <w:szCs w:val="24"/>
        </w:rPr>
        <w:t>維運Talent Taiwan中心，</w:t>
      </w:r>
      <w:r w:rsidR="00206298" w:rsidRPr="00F9133F">
        <w:rPr>
          <w:rFonts w:ascii="標楷體" w:eastAsia="標楷體" w:hAnsi="標楷體" w:hint="eastAsia"/>
          <w:szCs w:val="24"/>
        </w:rPr>
        <w:t>契約金額</w:t>
      </w:r>
      <w:r w:rsidR="00F9133F" w:rsidRPr="00E31547">
        <w:rPr>
          <w:rFonts w:ascii="標楷體" w:eastAsia="標楷體" w:hAnsi="標楷體"/>
          <w:szCs w:val="24"/>
        </w:rPr>
        <w:t>4,940萬</w:t>
      </w:r>
      <w:r w:rsidR="00206298" w:rsidRPr="00F9133F">
        <w:rPr>
          <w:rFonts w:ascii="標楷體" w:eastAsia="標楷體" w:hAnsi="標楷體"/>
          <w:szCs w:val="24"/>
        </w:rPr>
        <w:t>元</w:t>
      </w:r>
      <w:r w:rsidR="00206298">
        <w:rPr>
          <w:rFonts w:ascii="標楷體" w:eastAsia="標楷體" w:hAnsi="標楷體" w:hint="eastAsia"/>
          <w:szCs w:val="24"/>
        </w:rPr>
        <w:t>，</w:t>
      </w:r>
      <w:r w:rsidRPr="00ED3E2A">
        <w:rPr>
          <w:rFonts w:ascii="標楷體" w:eastAsia="標楷體" w:hAnsi="標楷體" w:hint="eastAsia"/>
          <w:szCs w:val="24"/>
        </w:rPr>
        <w:t>辦理主動延攬關鍵人才</w:t>
      </w:r>
      <w:r>
        <w:rPr>
          <w:rFonts w:ascii="標楷體" w:eastAsia="標楷體" w:hAnsi="標楷體" w:hint="eastAsia"/>
          <w:szCs w:val="24"/>
        </w:rPr>
        <w:t>，</w:t>
      </w:r>
      <w:r w:rsidRPr="00E114EA">
        <w:rPr>
          <w:rFonts w:ascii="標楷體" w:eastAsia="標楷體" w:hAnsi="標楷體" w:hint="eastAsia"/>
          <w:szCs w:val="24"/>
        </w:rPr>
        <w:t>持續擴增海外人才資料庫</w:t>
      </w:r>
      <w:r>
        <w:rPr>
          <w:rFonts w:ascii="標楷體" w:eastAsia="標楷體" w:hAnsi="標楷體" w:hint="eastAsia"/>
          <w:szCs w:val="24"/>
        </w:rPr>
        <w:t>，</w:t>
      </w:r>
      <w:r w:rsidRPr="00ED3E2A">
        <w:rPr>
          <w:rFonts w:ascii="標楷體" w:eastAsia="標楷體" w:hAnsi="標楷體" w:hint="eastAsia"/>
          <w:szCs w:val="24"/>
        </w:rPr>
        <w:t>提供</w:t>
      </w:r>
      <w:r>
        <w:rPr>
          <w:rFonts w:ascii="標楷體" w:eastAsia="標楷體" w:hAnsi="標楷體" w:hint="eastAsia"/>
          <w:szCs w:val="24"/>
        </w:rPr>
        <w:t>外籍</w:t>
      </w:r>
      <w:r w:rsidRPr="00E114EA">
        <w:rPr>
          <w:rFonts w:ascii="標楷體" w:eastAsia="標楷體" w:hAnsi="標楷體" w:hint="eastAsia"/>
          <w:szCs w:val="24"/>
        </w:rPr>
        <w:t>人才</w:t>
      </w:r>
      <w:r w:rsidRPr="00ED3E2A">
        <w:rPr>
          <w:rFonts w:ascii="標楷體" w:eastAsia="標楷體" w:hAnsi="標楷體" w:hint="eastAsia"/>
          <w:szCs w:val="24"/>
        </w:rPr>
        <w:t>就業金卡申辦、工作、生活全方位一條龍服務等</w:t>
      </w:r>
      <w:r>
        <w:rPr>
          <w:rFonts w:ascii="標楷體" w:eastAsia="標楷體" w:hAnsi="標楷體" w:hint="eastAsia"/>
          <w:szCs w:val="24"/>
        </w:rPr>
        <w:t>各項</w:t>
      </w:r>
      <w:r w:rsidRPr="00ED3E2A">
        <w:rPr>
          <w:rFonts w:ascii="標楷體" w:eastAsia="標楷體" w:hAnsi="標楷體" w:hint="eastAsia"/>
          <w:szCs w:val="24"/>
        </w:rPr>
        <w:t>工作</w:t>
      </w:r>
      <w:r w:rsidRPr="008E5644">
        <w:rPr>
          <w:rFonts w:ascii="標楷體" w:eastAsia="標楷體" w:hAnsi="標楷體" w:hint="eastAsia"/>
          <w:szCs w:val="24"/>
        </w:rPr>
        <w:t>情形，核有下列事項</w:t>
      </w:r>
      <w:r>
        <w:rPr>
          <w:rFonts w:ascii="標楷體" w:eastAsia="標楷體" w:hAnsi="標楷體" w:hint="eastAsia"/>
          <w:szCs w:val="24"/>
        </w:rPr>
        <w:t>：</w:t>
      </w:r>
    </w:p>
    <w:p w14:paraId="4E3945CA" w14:textId="4690764C" w:rsidR="00E1647A" w:rsidRDefault="00E1647A" w:rsidP="004D7C92">
      <w:pPr>
        <w:overflowPunct w:val="0"/>
        <w:spacing w:line="420" w:lineRule="exact"/>
        <w:ind w:firstLineChars="450" w:firstLine="1081"/>
        <w:jc w:val="both"/>
        <w:rPr>
          <w:rFonts w:ascii="標楷體" w:eastAsia="標楷體" w:hAnsi="標楷體"/>
          <w:szCs w:val="24"/>
        </w:rPr>
      </w:pPr>
      <w:r>
        <w:rPr>
          <w:rFonts w:ascii="標楷體" w:eastAsia="標楷體" w:hAnsi="標楷體" w:hint="eastAsia"/>
          <w:b/>
          <w:szCs w:val="24"/>
        </w:rPr>
        <w:t>1</w:t>
      </w:r>
      <w:r w:rsidRPr="00FB694C">
        <w:rPr>
          <w:rFonts w:ascii="標楷體" w:eastAsia="標楷體" w:hAnsi="標楷體" w:hint="eastAsia"/>
          <w:b/>
          <w:szCs w:val="24"/>
        </w:rPr>
        <w:t xml:space="preserve">.　</w:t>
      </w:r>
      <w:r w:rsidR="00E007E4">
        <w:rPr>
          <w:rFonts w:ascii="標楷體" w:eastAsia="標楷體" w:hAnsi="標楷體" w:hint="eastAsia"/>
          <w:b/>
          <w:szCs w:val="24"/>
        </w:rPr>
        <w:t>委託廠商</w:t>
      </w:r>
      <w:r w:rsidRPr="00152D5C">
        <w:rPr>
          <w:rFonts w:ascii="標楷體" w:eastAsia="標楷體" w:hAnsi="標楷體" w:hint="eastAsia"/>
          <w:b/>
          <w:szCs w:val="24"/>
        </w:rPr>
        <w:t>持</w:t>
      </w:r>
      <w:r>
        <w:rPr>
          <w:rFonts w:ascii="標楷體" w:eastAsia="標楷體" w:hAnsi="標楷體" w:hint="eastAsia"/>
          <w:b/>
          <w:szCs w:val="24"/>
        </w:rPr>
        <w:t>續擴增海外人才資料庫，惟尚未積極掌握</w:t>
      </w:r>
      <w:r w:rsidRPr="00152D5C">
        <w:rPr>
          <w:rFonts w:ascii="標楷體" w:eastAsia="標楷體" w:hAnsi="標楷體" w:hint="eastAsia"/>
          <w:b/>
          <w:szCs w:val="24"/>
        </w:rPr>
        <w:t>資料庫內有關人才就業金卡取得及來臺就業狀況或就業金卡申請意願</w:t>
      </w:r>
      <w:r w:rsidRPr="00FB694C">
        <w:rPr>
          <w:rFonts w:ascii="標楷體" w:eastAsia="標楷體" w:hAnsi="標楷體" w:hint="eastAsia"/>
          <w:b/>
          <w:szCs w:val="24"/>
        </w:rPr>
        <w:t>：</w:t>
      </w:r>
      <w:r w:rsidRPr="00152D5C">
        <w:rPr>
          <w:rFonts w:ascii="標楷體" w:eastAsia="標楷體" w:hAnsi="標楷體" w:hint="eastAsia"/>
          <w:szCs w:val="24"/>
        </w:rPr>
        <w:t>國家發展委員會為鎖定關鍵人才，主動出擊延攬，委託廠商持續擴增海外人才資料庫，掌握關鍵人才及潛在就業金卡申請人，按季匯出統計報表供該會掌握人才資料庫概況。經查，依據</w:t>
      </w:r>
      <w:r>
        <w:rPr>
          <w:rFonts w:ascii="標楷體" w:eastAsia="標楷體" w:hAnsi="標楷體" w:hint="eastAsia"/>
          <w:szCs w:val="24"/>
        </w:rPr>
        <w:t>廠商提出之112</w:t>
      </w:r>
      <w:r w:rsidRPr="00152D5C">
        <w:rPr>
          <w:rFonts w:ascii="標楷體" w:eastAsia="標楷體" w:hAnsi="標楷體" w:hint="eastAsia"/>
          <w:szCs w:val="24"/>
        </w:rPr>
        <w:t>年度成果報告，截至113年2月20日止，海外人才資料庫蒐集登錄之人數為2,939人，其中除已順利取得就業金卡且已知來臺者占18.51％，及未順利取得就業金卡者占5.38％外，其餘未知是否申請就業金卡者占41.54％，已取得就業金卡但未知有無來臺者占28.00％，潛在就業金卡申請人占3.50％；惟國家發展委員會取得廠商按季匯出資料庫統計報表</w:t>
      </w:r>
      <w:r>
        <w:rPr>
          <w:rFonts w:ascii="標楷體" w:eastAsia="標楷體" w:hAnsi="標楷體" w:hint="eastAsia"/>
          <w:szCs w:val="24"/>
        </w:rPr>
        <w:t>後</w:t>
      </w:r>
      <w:r w:rsidRPr="00152D5C">
        <w:rPr>
          <w:rFonts w:ascii="標楷體" w:eastAsia="標楷體" w:hAnsi="標楷體" w:hint="eastAsia"/>
          <w:szCs w:val="24"/>
        </w:rPr>
        <w:t>，未</w:t>
      </w:r>
      <w:r>
        <w:rPr>
          <w:rFonts w:ascii="標楷體" w:eastAsia="標楷體" w:hAnsi="標楷體" w:hint="eastAsia"/>
          <w:szCs w:val="24"/>
        </w:rPr>
        <w:t>進一步積極掌握資料庫人才是否申請就業金卡或來臺就業，或</w:t>
      </w:r>
      <w:r w:rsidRPr="00152D5C">
        <w:rPr>
          <w:rFonts w:ascii="標楷體" w:eastAsia="標楷體" w:hAnsi="標楷體" w:hint="eastAsia"/>
          <w:szCs w:val="24"/>
        </w:rPr>
        <w:t>瞭解潛在就業金卡申請人之申請意願，並妥善運用資料庫資訊，評估提供就業金卡申請協助或媒合國內產業延攬所需人才，海外人才資料庫運用成效有待彰顯。另查據國家發展委員會112年5月彙編之「112</w:t>
      </w:r>
      <w:r w:rsidR="00451159" w:rsidRPr="008E5644">
        <w:rPr>
          <w:rFonts w:ascii="標楷體" w:eastAsia="標楷體" w:hAnsi="標楷體" w:hint="eastAsia"/>
          <w:szCs w:val="24"/>
        </w:rPr>
        <w:t>－</w:t>
      </w:r>
      <w:r w:rsidRPr="00152D5C">
        <w:rPr>
          <w:rFonts w:ascii="標楷體" w:eastAsia="標楷體" w:hAnsi="標楷體" w:hint="eastAsia"/>
          <w:szCs w:val="24"/>
        </w:rPr>
        <w:t>114年重點產業人才供需調查及推估」，</w:t>
      </w:r>
      <w:r w:rsidRPr="00451159">
        <w:rPr>
          <w:rFonts w:ascii="標楷體" w:eastAsia="標楷體" w:hAnsi="標楷體" w:hint="eastAsia"/>
          <w:szCs w:val="24"/>
        </w:rPr>
        <w:t>112至114年我國重點產業具海外攬才需求者，「IC 設計」產業因國內廠商積極投入半導體新興應用領域，並以海外延攬作為主要人才布局與供給管道之一，海外攬才需求相對其他產業殷切，所需職業主要係軟（韌）體設計工程師、IC 設計工程師、電子工程師等；惟海外人才資料庫之人才專業領域係以經濟領域（35.11％）為大宗，屬科學及科技領域者僅25.18％，仍待參酌上開重點產業人才供需調查及推估情形，持續依國內產業海外攬才需求，積極蒐集登錄有關專業領域之國際關鍵人才資訊。經函請國家發展委員會積極瞭解資料庫內有關人才就業金卡取得及來臺就業狀況或就業金卡申請意願，妥善運用該資料庫資訊，評估主動提供就業金卡申請諮詢服務，或進一步協助海外人才與國內產業媒合，並參酌產業海外攬才需求，加強蒐集所需專業領域之海外人才資訊，積極延攬國際關鍵人才，發揮海外人才資料庫功能。據復：未來將請Talent Taiwan中心持續強化人才資料庫功能，建立更完整聯繫資訊，並積極詢問就業金卡申辦及來（留）臺工作意願，同時協助相關申辦程序，並針對IC設計等高階人才需求領域，強化攬才工作。</w:t>
      </w:r>
    </w:p>
    <w:p w14:paraId="22403528" w14:textId="7708DB38" w:rsidR="00A15E84" w:rsidRPr="00E1647A" w:rsidRDefault="00E1647A" w:rsidP="00CF1B15">
      <w:pPr>
        <w:widowControl/>
        <w:overflowPunct w:val="0"/>
        <w:spacing w:line="438" w:lineRule="exact"/>
        <w:ind w:firstLineChars="450" w:firstLine="1081"/>
        <w:jc w:val="both"/>
        <w:rPr>
          <w:rFonts w:hAnsi="標楷體"/>
          <w:color w:val="000000" w:themeColor="text1"/>
          <w:szCs w:val="24"/>
        </w:rPr>
      </w:pPr>
      <w:r>
        <w:rPr>
          <w:rFonts w:ascii="標楷體" w:eastAsia="標楷體" w:hAnsi="標楷體" w:hint="eastAsia"/>
          <w:b/>
          <w:szCs w:val="24"/>
        </w:rPr>
        <w:t>2</w:t>
      </w:r>
      <w:r w:rsidRPr="00DF2317">
        <w:rPr>
          <w:rFonts w:ascii="標楷體" w:eastAsia="標楷體" w:hAnsi="標楷體" w:hint="eastAsia"/>
          <w:b/>
          <w:szCs w:val="24"/>
        </w:rPr>
        <w:t xml:space="preserve">.　</w:t>
      </w:r>
      <w:r w:rsidRPr="002E1AEF">
        <w:rPr>
          <w:rFonts w:ascii="標楷體" w:eastAsia="標楷體" w:hAnsi="標楷體" w:hint="eastAsia"/>
          <w:b/>
          <w:szCs w:val="24"/>
        </w:rPr>
        <w:t>Talent Taiwan</w:t>
      </w:r>
      <w:r>
        <w:rPr>
          <w:rFonts w:ascii="標楷體" w:eastAsia="標楷體" w:hAnsi="標楷體" w:hint="eastAsia"/>
          <w:b/>
          <w:szCs w:val="24"/>
        </w:rPr>
        <w:t>中心</w:t>
      </w:r>
      <w:r w:rsidRPr="002E1AEF">
        <w:rPr>
          <w:rFonts w:ascii="標楷體" w:eastAsia="標楷體" w:hAnsi="標楷體" w:hint="eastAsia"/>
          <w:b/>
          <w:szCs w:val="24"/>
        </w:rPr>
        <w:t>接獲諮詢或遭遇問題</w:t>
      </w:r>
      <w:r w:rsidRPr="001B7177">
        <w:rPr>
          <w:rFonts w:ascii="標楷體" w:eastAsia="標楷體" w:hAnsi="標楷體" w:hint="eastAsia"/>
          <w:b/>
          <w:szCs w:val="24"/>
        </w:rPr>
        <w:t>繁瑣複雜</w:t>
      </w:r>
      <w:r>
        <w:rPr>
          <w:rFonts w:ascii="標楷體" w:eastAsia="標楷體" w:hAnsi="標楷體" w:hint="eastAsia"/>
          <w:b/>
          <w:szCs w:val="24"/>
        </w:rPr>
        <w:t>，且多數涉及其他政府部門職</w:t>
      </w:r>
      <w:r w:rsidRPr="00073047">
        <w:rPr>
          <w:rFonts w:ascii="標楷體" w:eastAsia="標楷體" w:hAnsi="標楷體" w:hint="eastAsia"/>
          <w:b/>
          <w:szCs w:val="24"/>
        </w:rPr>
        <w:t>責，有待持續強化與各機關間之溝通聯繫機制，協力積極處理改善轉介問題：</w:t>
      </w:r>
      <w:r w:rsidRPr="00073047">
        <w:rPr>
          <w:rFonts w:ascii="標楷體" w:eastAsia="標楷體" w:hAnsi="標楷體" w:hint="eastAsia"/>
          <w:szCs w:val="24"/>
        </w:rPr>
        <w:t>國家發展委員會</w:t>
      </w:r>
      <w:r w:rsidRPr="002669BA">
        <w:rPr>
          <w:rFonts w:ascii="標楷體" w:eastAsia="標楷體" w:hAnsi="標楷體" w:hint="eastAsia"/>
          <w:szCs w:val="24"/>
        </w:rPr>
        <w:t>委託廠商成立Talent Taiwan中心，提供外</w:t>
      </w:r>
      <w:r>
        <w:rPr>
          <w:rFonts w:ascii="標楷體" w:eastAsia="標楷體" w:hAnsi="標楷體" w:hint="eastAsia"/>
          <w:szCs w:val="24"/>
        </w:rPr>
        <w:t>籍人才就業金卡申請及</w:t>
      </w:r>
      <w:r w:rsidRPr="002669BA">
        <w:rPr>
          <w:rFonts w:ascii="標楷體" w:eastAsia="標楷體" w:hAnsi="標楷體" w:hint="eastAsia"/>
          <w:szCs w:val="24"/>
        </w:rPr>
        <w:t>在臺</w:t>
      </w:r>
      <w:r>
        <w:rPr>
          <w:rFonts w:ascii="標楷體" w:eastAsia="標楷體" w:hAnsi="標楷體" w:hint="eastAsia"/>
          <w:szCs w:val="24"/>
        </w:rPr>
        <w:t>工作、</w:t>
      </w:r>
      <w:r w:rsidRPr="002669BA">
        <w:rPr>
          <w:rFonts w:ascii="標楷體" w:eastAsia="標楷體" w:hAnsi="標楷體" w:hint="eastAsia"/>
          <w:szCs w:val="24"/>
        </w:rPr>
        <w:t>生活</w:t>
      </w:r>
      <w:r>
        <w:rPr>
          <w:rFonts w:ascii="標楷體" w:eastAsia="標楷體" w:hAnsi="標楷體" w:hint="eastAsia"/>
          <w:szCs w:val="24"/>
        </w:rPr>
        <w:t>等全方位</w:t>
      </w:r>
      <w:r w:rsidRPr="002669BA">
        <w:rPr>
          <w:rFonts w:ascii="標楷體" w:eastAsia="標楷體" w:hAnsi="標楷體" w:hint="eastAsia"/>
          <w:szCs w:val="24"/>
        </w:rPr>
        <w:t>諮詢服務。經查，Talent Taiwan中心112年平均每月提供外籍人才諮詢服務逾2,000人次，就接</w:t>
      </w:r>
      <w:r w:rsidRPr="002669BA">
        <w:rPr>
          <w:rFonts w:ascii="標楷體" w:eastAsia="標楷體" w:hAnsi="標楷體" w:hint="eastAsia"/>
          <w:szCs w:val="24"/>
        </w:rPr>
        <w:lastRenderedPageBreak/>
        <w:t>獲諮詢問題須由其他政府機關處理者，轉介相關單位處理，追蹤列管其處理情形，亦就接獲問題提供可行建議予有關部會或中央目的事業主管機關，以提升外籍人士申請就業金卡流程體驗及來臺生活之品質與友善度；</w:t>
      </w:r>
      <w:r w:rsidRPr="00E1647A">
        <w:rPr>
          <w:rFonts w:ascii="標楷體" w:eastAsia="標楷體" w:hAnsi="標楷體" w:hint="eastAsia"/>
          <w:spacing w:val="-4"/>
          <w:szCs w:val="24"/>
        </w:rPr>
        <w:t>國家發展委員會另發函相關部會說明Talent Taiwan中心成立宗旨及目標等，建立Talent Taiwan中心跨機關溝通聯繫機制。按據Talent Taiwan中心於112年7至8月間就1,021位在臺外籍人才調查結果，</w:t>
      </w:r>
      <w:r w:rsidRPr="002669BA">
        <w:rPr>
          <w:rFonts w:ascii="標楷體" w:eastAsia="標楷體" w:hAnsi="標楷體" w:hint="eastAsia"/>
          <w:szCs w:val="24"/>
        </w:rPr>
        <w:t>受訪者反映在臺生活遭遇問題，包含外籍人士於銀行開戶困難、網站拒絕註冊等，該中心已就外籍人士在臺辦理銀行服務遭遇各種問題，成立相關專案小組持續與政府機關、銀行機構等研商解決作法，並蒐集整理金融、居住、醫療、交通、教育、就業等各式資訊，置放於Talent Taiwan網站，提供在臺工作或規劃來臺之外國人才查詢。鑑於Talent Taiwan中心提供外籍人才全方位諮詢服務，係為協助解決來臺遭遇問題，惟接獲諮詢或遭遇問題繁瑣複雜，多數涉及不同政府部門職責，為減緩Talent Taiwan中心問題處理難度，確保問題能妥善處理或解決</w:t>
      </w:r>
      <w:r w:rsidR="008C71F5">
        <w:rPr>
          <w:rFonts w:ascii="標楷體" w:eastAsia="標楷體" w:hAnsi="標楷體" w:hint="eastAsia"/>
          <w:szCs w:val="24"/>
        </w:rPr>
        <w:t>，</w:t>
      </w:r>
      <w:r>
        <w:rPr>
          <w:rFonts w:ascii="標楷體" w:eastAsia="標楷體" w:hAnsi="標楷體" w:hint="eastAsia"/>
          <w:szCs w:val="24"/>
        </w:rPr>
        <w:t>經函請國家發展委員會</w:t>
      </w:r>
      <w:r w:rsidRPr="002669BA">
        <w:rPr>
          <w:rFonts w:ascii="標楷體" w:eastAsia="標楷體" w:hAnsi="標楷體" w:hint="eastAsia"/>
          <w:szCs w:val="24"/>
        </w:rPr>
        <w:t>持續強化該中心與各機關間溝通聯繫機制、暢通交流管道，適時向各部會加強宣導該中心成立目的，以增進各部會對於Talent Taiwan中心就外籍人才諮詢或遭遇問題所提建議之重視度，積極處理改善，以提升國際人才來臺工作、生活及就業金卡申請流程之友善度，吸引全球人才來臺長期深耕意願，促進我國產業競爭力。</w:t>
      </w:r>
      <w:r>
        <w:rPr>
          <w:rFonts w:ascii="標楷體" w:eastAsia="標楷體" w:hAnsi="標楷體" w:hint="eastAsia"/>
          <w:szCs w:val="24"/>
        </w:rPr>
        <w:t>據復：</w:t>
      </w:r>
      <w:r w:rsidRPr="00F131FE">
        <w:rPr>
          <w:rFonts w:ascii="標楷體" w:eastAsia="標楷體" w:hAnsi="標楷體" w:hint="eastAsia"/>
          <w:szCs w:val="24"/>
        </w:rPr>
        <w:t>為強化Talent Taiwan與各部會溝通聯繫之效率，已發函邀請相關部會赴Talent Taiwan</w:t>
      </w:r>
      <w:r>
        <w:rPr>
          <w:rFonts w:ascii="標楷體" w:eastAsia="標楷體" w:hAnsi="標楷體" w:hint="eastAsia"/>
          <w:szCs w:val="24"/>
        </w:rPr>
        <w:t>中心參訪進行業務交流，並</w:t>
      </w:r>
      <w:r w:rsidRPr="00F131FE">
        <w:rPr>
          <w:rFonts w:ascii="標楷體" w:eastAsia="標楷體" w:hAnsi="標楷體" w:hint="eastAsia"/>
          <w:szCs w:val="24"/>
        </w:rPr>
        <w:t>辦理跨部會</w:t>
      </w:r>
      <w:r>
        <w:rPr>
          <w:rFonts w:ascii="標楷體" w:eastAsia="標楷體" w:hAnsi="標楷體" w:hint="eastAsia"/>
          <w:szCs w:val="24"/>
        </w:rPr>
        <w:t>交流會議</w:t>
      </w:r>
      <w:r w:rsidRPr="00F131FE">
        <w:rPr>
          <w:rFonts w:ascii="標楷體" w:eastAsia="標楷體" w:hAnsi="標楷體" w:hint="eastAsia"/>
          <w:szCs w:val="24"/>
        </w:rPr>
        <w:t>，積極強化各單位與Talent Taiwan</w:t>
      </w:r>
      <w:r>
        <w:rPr>
          <w:rFonts w:ascii="標楷體" w:eastAsia="標楷體" w:hAnsi="標楷體" w:hint="eastAsia"/>
          <w:szCs w:val="24"/>
        </w:rPr>
        <w:t>中心之</w:t>
      </w:r>
      <w:r w:rsidR="00FD015E">
        <w:rPr>
          <w:rFonts w:ascii="標楷體" w:eastAsia="標楷體" w:hAnsi="標楷體" w:hint="eastAsia"/>
          <w:szCs w:val="24"/>
        </w:rPr>
        <w:t>及</w:t>
      </w:r>
      <w:r>
        <w:rPr>
          <w:rFonts w:ascii="標楷體" w:eastAsia="標楷體" w:hAnsi="標楷體" w:hint="eastAsia"/>
          <w:szCs w:val="24"/>
        </w:rPr>
        <w:t>時橫向聯繫機制，未來</w:t>
      </w:r>
      <w:r w:rsidRPr="00F131FE">
        <w:rPr>
          <w:rFonts w:ascii="標楷體" w:eastAsia="標楷體" w:hAnsi="標楷體" w:hint="eastAsia"/>
          <w:szCs w:val="24"/>
        </w:rPr>
        <w:t>將持續透過電子郵件、電話、拜會、發函、工作會議等多元管道，強化與各部會之聯繫，俾與各部會合作協助國際人才來</w:t>
      </w:r>
      <w:r>
        <w:rPr>
          <w:rFonts w:ascii="標楷體" w:eastAsia="標楷體" w:hAnsi="標楷體" w:hint="eastAsia"/>
          <w:szCs w:val="24"/>
        </w:rPr>
        <w:t>（</w:t>
      </w:r>
      <w:r w:rsidRPr="00F131FE">
        <w:rPr>
          <w:rFonts w:ascii="標楷體" w:eastAsia="標楷體" w:hAnsi="標楷體" w:hint="eastAsia"/>
          <w:szCs w:val="24"/>
        </w:rPr>
        <w:t>留</w:t>
      </w:r>
      <w:r>
        <w:rPr>
          <w:rFonts w:ascii="標楷體" w:eastAsia="標楷體" w:hAnsi="標楷體" w:hint="eastAsia"/>
          <w:szCs w:val="24"/>
        </w:rPr>
        <w:t>）</w:t>
      </w:r>
      <w:r w:rsidRPr="00F131FE">
        <w:rPr>
          <w:rFonts w:ascii="標楷體" w:eastAsia="標楷體" w:hAnsi="標楷體" w:hint="eastAsia"/>
          <w:szCs w:val="24"/>
        </w:rPr>
        <w:t>臺深耕發展。</w:t>
      </w:r>
    </w:p>
    <w:p w14:paraId="11A6EAEB" w14:textId="4D23C4D5" w:rsidR="000554CC" w:rsidRPr="008B44E3" w:rsidRDefault="000554CC" w:rsidP="00B96626">
      <w:pPr>
        <w:pStyle w:val="affb"/>
        <w:overflowPunct w:val="0"/>
        <w:spacing w:beforeLines="20" w:before="72" w:afterLines="20" w:after="72" w:line="430" w:lineRule="exact"/>
        <w:ind w:left="0" w:firstLineChars="200" w:firstLine="561"/>
        <w:jc w:val="both"/>
        <w:outlineLvl w:val="1"/>
        <w:rPr>
          <w:rFonts w:hAnsi="標楷體"/>
          <w:b/>
          <w:bCs/>
          <w:sz w:val="28"/>
          <w:szCs w:val="28"/>
        </w:rPr>
      </w:pPr>
      <w:r w:rsidRPr="009A7F9D">
        <w:rPr>
          <w:rFonts w:hAnsi="標楷體" w:hint="eastAsia"/>
          <w:b/>
          <w:bCs/>
          <w:sz w:val="28"/>
          <w:szCs w:val="28"/>
        </w:rPr>
        <w:t>（</w:t>
      </w:r>
      <w:r>
        <w:rPr>
          <w:rFonts w:hAnsi="標楷體" w:hint="eastAsia"/>
          <w:b/>
          <w:bCs/>
          <w:sz w:val="28"/>
          <w:szCs w:val="28"/>
        </w:rPr>
        <w:t>二十</w:t>
      </w:r>
      <w:r w:rsidR="00781889">
        <w:rPr>
          <w:rFonts w:hAnsi="標楷體" w:hint="eastAsia"/>
          <w:b/>
          <w:bCs/>
          <w:sz w:val="28"/>
          <w:szCs w:val="28"/>
        </w:rPr>
        <w:t>三</w:t>
      </w:r>
      <w:r w:rsidRPr="009A7F9D">
        <w:rPr>
          <w:rFonts w:hAnsi="標楷體" w:hint="eastAsia"/>
          <w:b/>
          <w:bCs/>
          <w:sz w:val="28"/>
          <w:szCs w:val="28"/>
        </w:rPr>
        <w:t xml:space="preserve">）　</w:t>
      </w:r>
      <w:r>
        <w:rPr>
          <w:rFonts w:hAnsi="標楷體" w:hint="eastAsia"/>
          <w:b/>
          <w:bCs/>
          <w:sz w:val="28"/>
          <w:szCs w:val="28"/>
        </w:rPr>
        <w:t>國家發展委員會規劃以</w:t>
      </w:r>
      <w:r w:rsidRPr="00626EA8">
        <w:rPr>
          <w:rFonts w:hAnsi="標楷體" w:hint="eastAsia"/>
          <w:b/>
          <w:bCs/>
          <w:sz w:val="28"/>
          <w:szCs w:val="28"/>
        </w:rPr>
        <w:t>亞洲．矽谷 5G 創新應用計畫</w:t>
      </w:r>
      <w:r>
        <w:rPr>
          <w:rFonts w:hAnsi="標楷體" w:hint="eastAsia"/>
          <w:b/>
          <w:bCs/>
          <w:sz w:val="28"/>
          <w:szCs w:val="28"/>
        </w:rPr>
        <w:t>，</w:t>
      </w:r>
      <w:r w:rsidRPr="00626EA8">
        <w:rPr>
          <w:rFonts w:hAnsi="標楷體" w:hint="eastAsia"/>
          <w:b/>
          <w:bCs/>
          <w:sz w:val="28"/>
          <w:szCs w:val="28"/>
        </w:rPr>
        <w:t>強化智慧城市數據整合、加速5G及AIoT應用服務商業擴散</w:t>
      </w:r>
      <w:r>
        <w:rPr>
          <w:rFonts w:hAnsi="標楷體" w:hint="eastAsia"/>
          <w:b/>
          <w:bCs/>
          <w:sz w:val="28"/>
          <w:szCs w:val="28"/>
        </w:rPr>
        <w:t>，</w:t>
      </w:r>
      <w:r w:rsidRPr="00626EA8">
        <w:rPr>
          <w:rFonts w:hAnsi="標楷體" w:hint="eastAsia"/>
          <w:b/>
          <w:bCs/>
          <w:sz w:val="28"/>
          <w:szCs w:val="28"/>
        </w:rPr>
        <w:t>惟</w:t>
      </w:r>
      <w:r>
        <w:rPr>
          <w:rFonts w:hAnsi="標楷體" w:hint="eastAsia"/>
          <w:b/>
          <w:bCs/>
          <w:sz w:val="28"/>
          <w:szCs w:val="28"/>
        </w:rPr>
        <w:t>建構相關平臺</w:t>
      </w:r>
      <w:r w:rsidR="00D5016F">
        <w:rPr>
          <w:rFonts w:hAnsi="標楷體" w:hint="eastAsia"/>
          <w:b/>
          <w:bCs/>
          <w:sz w:val="28"/>
          <w:szCs w:val="28"/>
        </w:rPr>
        <w:t>預計</w:t>
      </w:r>
      <w:r w:rsidRPr="00626EA8">
        <w:rPr>
          <w:rFonts w:hAnsi="標楷體" w:hint="eastAsia"/>
          <w:b/>
          <w:bCs/>
          <w:sz w:val="28"/>
          <w:szCs w:val="28"/>
        </w:rPr>
        <w:t>介接之資料與規劃範疇有間，且部分採購案件執行結果無助計畫目標之達成</w:t>
      </w:r>
      <w:r>
        <w:rPr>
          <w:rFonts w:hAnsi="標楷體" w:hint="eastAsia"/>
          <w:b/>
          <w:bCs/>
          <w:sz w:val="28"/>
          <w:szCs w:val="28"/>
        </w:rPr>
        <w:t>，另</w:t>
      </w:r>
      <w:r w:rsidRPr="00626EA8">
        <w:rPr>
          <w:rFonts w:hAnsi="標楷體" w:hint="eastAsia"/>
          <w:b/>
          <w:bCs/>
          <w:sz w:val="28"/>
          <w:szCs w:val="28"/>
        </w:rPr>
        <w:t>部分補助計畫結案後逾1年無具體5G應用服務擴散成果</w:t>
      </w:r>
      <w:r>
        <w:rPr>
          <w:rFonts w:hAnsi="標楷體" w:hint="eastAsia"/>
          <w:b/>
          <w:bCs/>
          <w:sz w:val="28"/>
          <w:szCs w:val="28"/>
        </w:rPr>
        <w:t>，允宜</w:t>
      </w:r>
      <w:r w:rsidRPr="00626EA8">
        <w:rPr>
          <w:rFonts w:hAnsi="標楷體" w:hint="eastAsia"/>
          <w:b/>
          <w:bCs/>
          <w:sz w:val="28"/>
          <w:szCs w:val="28"/>
        </w:rPr>
        <w:t>檢討改善賡續加強推動辦理</w:t>
      </w:r>
      <w:r>
        <w:rPr>
          <w:rFonts w:hAnsi="標楷體" w:hint="eastAsia"/>
          <w:b/>
          <w:bCs/>
          <w:sz w:val="28"/>
          <w:szCs w:val="28"/>
        </w:rPr>
        <w:t>，以達計畫目標。</w:t>
      </w:r>
    </w:p>
    <w:p w14:paraId="4B8EFAA2" w14:textId="5E67F8E3" w:rsidR="000554CC" w:rsidRPr="000554CC" w:rsidRDefault="000554CC" w:rsidP="00455D47">
      <w:pPr>
        <w:pStyle w:val="affb"/>
        <w:overflowPunct w:val="0"/>
        <w:spacing w:line="460" w:lineRule="exact"/>
        <w:ind w:left="0" w:firstLineChars="200" w:firstLine="480"/>
        <w:jc w:val="both"/>
        <w:rPr>
          <w:rFonts w:hAnsi="標楷體"/>
          <w:b/>
          <w:bCs/>
          <w:sz w:val="24"/>
          <w:szCs w:val="24"/>
          <w:lang w:val="x-none"/>
        </w:rPr>
      </w:pPr>
      <w:r w:rsidRPr="000554CC">
        <w:rPr>
          <w:rFonts w:hAnsi="標楷體" w:hint="eastAsia"/>
          <w:sz w:val="24"/>
          <w:szCs w:val="24"/>
        </w:rPr>
        <w:t>國家發展委員會為加速5G商用普及，建構5</w:t>
      </w:r>
      <w:r w:rsidRPr="000554CC">
        <w:rPr>
          <w:rFonts w:hAnsi="標楷體"/>
          <w:sz w:val="24"/>
          <w:szCs w:val="24"/>
        </w:rPr>
        <w:t>G</w:t>
      </w:r>
      <w:r w:rsidRPr="000554CC">
        <w:rPr>
          <w:rFonts w:hAnsi="標楷體" w:hint="eastAsia"/>
          <w:sz w:val="24"/>
          <w:szCs w:val="24"/>
        </w:rPr>
        <w:t>智慧創新應用典範，規劃於亞洲．矽谷 5G 創新應用計畫（計畫期程為110年1月1日至114年8月31日，總經費19億8,450萬元）執行「完善亞洲．矽谷創新研發中心智慧運籌管理平臺」、「推動5G智慧城鄉示範」、「打造5G開放網路應用」等3項策略，截至112年底止，該會已於中央政府前瞻基礎建設計畫第3期及第4期特別預算編列預算15億3,450萬元，累計執行數9億8,330萬餘元。經查執行情形，核有下列事項：</w:t>
      </w:r>
    </w:p>
    <w:p w14:paraId="4731FAB5" w14:textId="715E86FD" w:rsidR="000554CC" w:rsidRPr="000554CC" w:rsidRDefault="000554CC" w:rsidP="00D5016F">
      <w:pPr>
        <w:pStyle w:val="affb"/>
        <w:overflowPunct w:val="0"/>
        <w:spacing w:line="424" w:lineRule="exact"/>
        <w:ind w:left="0" w:firstLineChars="450" w:firstLine="1081"/>
        <w:jc w:val="both"/>
        <w:rPr>
          <w:rFonts w:hAnsi="標楷體"/>
          <w:sz w:val="24"/>
          <w:szCs w:val="24"/>
          <w:lang w:val="x-none"/>
        </w:rPr>
      </w:pPr>
      <w:r w:rsidRPr="00073047">
        <w:rPr>
          <w:rFonts w:hAnsi="標楷體" w:hint="eastAsia"/>
          <w:b/>
          <w:color w:val="000000" w:themeColor="text1"/>
          <w:sz w:val="24"/>
          <w:szCs w:val="24"/>
        </w:rPr>
        <w:t>1.　委託桃園市政府建構亞洲．矽谷創新研發中心智慧運籌管理平臺，預計介接之資</w:t>
      </w:r>
      <w:r w:rsidRPr="007D3D52">
        <w:rPr>
          <w:rFonts w:hAnsi="標楷體" w:hint="eastAsia"/>
          <w:b/>
          <w:color w:val="000000" w:themeColor="text1"/>
          <w:sz w:val="24"/>
          <w:szCs w:val="24"/>
        </w:rPr>
        <w:t>料與規劃範疇有間，且部分採購案件執行結果無助計畫目標之達成：</w:t>
      </w:r>
      <w:r w:rsidRPr="007D3D52">
        <w:rPr>
          <w:rFonts w:hAnsi="標楷體" w:hint="eastAsia"/>
          <w:sz w:val="24"/>
          <w:szCs w:val="24"/>
          <w:lang w:val="x-none"/>
        </w:rPr>
        <w:t>國家發展委員會</w:t>
      </w:r>
      <w:r w:rsidRPr="007D3D52">
        <w:rPr>
          <w:rFonts w:hAnsi="標楷體" w:hint="eastAsia"/>
          <w:sz w:val="24"/>
          <w:szCs w:val="24"/>
        </w:rPr>
        <w:t>依循亞洲</w:t>
      </w:r>
      <w:r w:rsidRPr="007D3D52">
        <w:rPr>
          <w:rFonts w:hAnsi="標楷體"/>
          <w:sz w:val="24"/>
          <w:szCs w:val="24"/>
          <w:lang w:val="x-none"/>
        </w:rPr>
        <w:t>·</w:t>
      </w:r>
      <w:r w:rsidRPr="000554CC">
        <w:rPr>
          <w:rFonts w:hAnsi="標楷體" w:hint="eastAsia"/>
          <w:sz w:val="24"/>
          <w:szCs w:val="24"/>
        </w:rPr>
        <w:lastRenderedPageBreak/>
        <w:t>矽谷2.0推動方案，</w:t>
      </w:r>
      <w:r w:rsidRPr="000554CC">
        <w:rPr>
          <w:rFonts w:hAnsi="標楷體" w:hint="eastAsia"/>
          <w:sz w:val="24"/>
          <w:szCs w:val="24"/>
          <w:lang w:val="x-none"/>
        </w:rPr>
        <w:t>期以規劃</w:t>
      </w:r>
      <w:r w:rsidRPr="000554CC">
        <w:rPr>
          <w:rFonts w:hAnsi="標楷體" w:hint="eastAsia"/>
          <w:sz w:val="24"/>
          <w:szCs w:val="24"/>
        </w:rPr>
        <w:t>設於桃園市青埔地區之亞洲</w:t>
      </w:r>
      <w:r w:rsidRPr="000554CC">
        <w:rPr>
          <w:rFonts w:hAnsi="標楷體"/>
          <w:sz w:val="24"/>
          <w:szCs w:val="24"/>
          <w:lang w:val="x-none"/>
        </w:rPr>
        <w:t>·</w:t>
      </w:r>
      <w:r w:rsidRPr="000554CC">
        <w:rPr>
          <w:rFonts w:hAnsi="標楷體" w:hint="eastAsia"/>
          <w:sz w:val="24"/>
          <w:szCs w:val="24"/>
        </w:rPr>
        <w:t>矽谷創新研發中心（下稱亞矽創研中心）作為亞太創新交流樞紐等政策脈絡，</w:t>
      </w:r>
      <w:r w:rsidRPr="000554CC">
        <w:rPr>
          <w:rFonts w:hAnsi="標楷體" w:hint="eastAsia"/>
          <w:sz w:val="24"/>
          <w:szCs w:val="24"/>
          <w:lang w:val="x-none"/>
        </w:rPr>
        <w:t>於</w:t>
      </w:r>
      <w:bookmarkStart w:id="15" w:name="_Hlk166785656"/>
      <w:r w:rsidRPr="000554CC">
        <w:rPr>
          <w:rFonts w:hAnsi="標楷體" w:hint="eastAsia"/>
          <w:sz w:val="24"/>
          <w:szCs w:val="24"/>
        </w:rPr>
        <w:t>亞洲．矽谷5G創新應用計畫</w:t>
      </w:r>
      <w:bookmarkEnd w:id="15"/>
      <w:r w:rsidRPr="000554CC">
        <w:rPr>
          <w:rFonts w:hAnsi="標楷體" w:hint="eastAsia"/>
          <w:sz w:val="24"/>
          <w:szCs w:val="24"/>
        </w:rPr>
        <w:t>規劃透由建置及維運智慧運籌管理中心（Intelligent Operation Center, IOC）及智慧資料中心（Intelligent Data Center, IDC）所組成之智慧運籌管理平臺，</w:t>
      </w:r>
      <w:r w:rsidRPr="000554CC">
        <w:rPr>
          <w:rFonts w:hAnsi="標楷體"/>
          <w:sz w:val="24"/>
          <w:szCs w:val="24"/>
        </w:rPr>
        <w:t>串接</w:t>
      </w:r>
      <w:r w:rsidRPr="000554CC">
        <w:rPr>
          <w:rFonts w:hAnsi="標楷體" w:hint="eastAsia"/>
          <w:sz w:val="24"/>
          <w:szCs w:val="24"/>
        </w:rPr>
        <w:t>5G</w:t>
      </w:r>
      <w:r w:rsidRPr="000554CC">
        <w:rPr>
          <w:rFonts w:hAnsi="標楷體"/>
          <w:sz w:val="24"/>
          <w:szCs w:val="24"/>
        </w:rPr>
        <w:t>智慧城市應用服務</w:t>
      </w:r>
      <w:r w:rsidRPr="000554CC">
        <w:rPr>
          <w:rFonts w:hAnsi="標楷體" w:hint="eastAsia"/>
          <w:sz w:val="24"/>
          <w:szCs w:val="24"/>
          <w:lang w:val="x-none"/>
        </w:rPr>
        <w:t>，以</w:t>
      </w:r>
      <w:r w:rsidRPr="000554CC">
        <w:rPr>
          <w:rFonts w:hAnsi="標楷體"/>
          <w:sz w:val="24"/>
          <w:szCs w:val="24"/>
          <w:lang w:val="x-none"/>
        </w:rPr>
        <w:t>強化智慧城市數據整合、</w:t>
      </w:r>
      <w:r w:rsidRPr="000554CC">
        <w:rPr>
          <w:rFonts w:hAnsi="標楷體" w:hint="eastAsia"/>
          <w:sz w:val="24"/>
          <w:szCs w:val="24"/>
          <w:lang w:val="x-none"/>
        </w:rPr>
        <w:t>驅動</w:t>
      </w:r>
      <w:r w:rsidRPr="000554CC">
        <w:rPr>
          <w:rFonts w:hAnsi="標楷體"/>
          <w:sz w:val="24"/>
          <w:szCs w:val="24"/>
          <w:lang w:val="x-none"/>
        </w:rPr>
        <w:t>5G及AIoT應用服務商業擴散</w:t>
      </w:r>
      <w:r w:rsidRPr="000554CC">
        <w:rPr>
          <w:rFonts w:hAnsi="標楷體" w:hint="eastAsia"/>
          <w:sz w:val="24"/>
          <w:szCs w:val="24"/>
          <w:lang w:val="x-none"/>
        </w:rPr>
        <w:t>。為落實上開執行策略，該會自1</w:t>
      </w:r>
      <w:r w:rsidRPr="000554CC">
        <w:rPr>
          <w:rFonts w:hAnsi="標楷體"/>
          <w:sz w:val="24"/>
          <w:szCs w:val="24"/>
          <w:lang w:val="x-none"/>
        </w:rPr>
        <w:t>10</w:t>
      </w:r>
      <w:r w:rsidRPr="000554CC">
        <w:rPr>
          <w:rFonts w:hAnsi="標楷體" w:hint="eastAsia"/>
          <w:sz w:val="24"/>
          <w:szCs w:val="24"/>
          <w:lang w:val="x-none"/>
        </w:rPr>
        <w:t>年起以桃園市政府提出之「</w:t>
      </w:r>
      <w:r w:rsidRPr="000554CC">
        <w:rPr>
          <w:rFonts w:hAnsi="標楷體"/>
          <w:sz w:val="24"/>
          <w:szCs w:val="24"/>
          <w:lang w:val="x-none"/>
        </w:rPr>
        <w:t>亞洲·矽谷創新研發中心智慧運籌管理平臺</w:t>
      </w:r>
      <w:r w:rsidRPr="000554CC">
        <w:rPr>
          <w:rFonts w:hAnsi="標楷體" w:hint="eastAsia"/>
          <w:sz w:val="24"/>
          <w:szCs w:val="24"/>
          <w:lang w:val="x-none"/>
        </w:rPr>
        <w:t>」（契約期間為110年5月12日至111年12月20日，下稱第一期委辦計畫）、</w:t>
      </w:r>
      <w:r w:rsidRPr="000554CC">
        <w:rPr>
          <w:rFonts w:hAnsi="標楷體"/>
          <w:sz w:val="24"/>
          <w:szCs w:val="24"/>
          <w:lang w:val="x-none"/>
        </w:rPr>
        <w:t>「</w:t>
      </w:r>
      <w:r w:rsidRPr="000554CC">
        <w:rPr>
          <w:rFonts w:hAnsi="標楷體" w:hint="eastAsia"/>
          <w:sz w:val="24"/>
          <w:szCs w:val="24"/>
          <w:lang w:val="x-none"/>
        </w:rPr>
        <w:t>完善</w:t>
      </w:r>
      <w:r w:rsidRPr="000554CC">
        <w:rPr>
          <w:rFonts w:hAnsi="標楷體"/>
          <w:sz w:val="24"/>
          <w:szCs w:val="24"/>
          <w:lang w:val="x-none"/>
        </w:rPr>
        <w:t>亞洲·矽谷創新研發中心智慧運籌管理平臺</w:t>
      </w:r>
      <w:r w:rsidRPr="000554CC">
        <w:rPr>
          <w:rFonts w:hAnsi="標楷體" w:hint="eastAsia"/>
          <w:sz w:val="24"/>
          <w:szCs w:val="24"/>
          <w:lang w:val="x-none"/>
        </w:rPr>
        <w:t>（112</w:t>
      </w:r>
      <w:r w:rsidR="00CF7E87" w:rsidRPr="00CF7E87">
        <w:rPr>
          <w:rFonts w:hAnsi="標楷體" w:hint="eastAsia"/>
          <w:sz w:val="24"/>
          <w:szCs w:val="24"/>
          <w:lang w:val="x-none"/>
        </w:rPr>
        <w:t>－</w:t>
      </w:r>
      <w:r w:rsidRPr="000554CC">
        <w:rPr>
          <w:rFonts w:hAnsi="標楷體" w:hint="eastAsia"/>
          <w:sz w:val="24"/>
          <w:szCs w:val="24"/>
          <w:lang w:val="x-none"/>
        </w:rPr>
        <w:t>113年）計畫</w:t>
      </w:r>
      <w:r w:rsidRPr="000554CC">
        <w:rPr>
          <w:rFonts w:hAnsi="標楷體"/>
          <w:sz w:val="24"/>
          <w:szCs w:val="24"/>
          <w:lang w:val="x-none"/>
        </w:rPr>
        <w:t>」</w:t>
      </w:r>
      <w:r w:rsidRPr="000554CC">
        <w:rPr>
          <w:rFonts w:hAnsi="標楷體" w:hint="eastAsia"/>
          <w:sz w:val="24"/>
          <w:szCs w:val="24"/>
          <w:lang w:val="x-none"/>
        </w:rPr>
        <w:t>（契約期間為112年7月1</w:t>
      </w:r>
      <w:r w:rsidRPr="000554CC">
        <w:rPr>
          <w:rFonts w:hAnsi="標楷體"/>
          <w:sz w:val="24"/>
          <w:szCs w:val="24"/>
          <w:lang w:val="x-none"/>
        </w:rPr>
        <w:t>7</w:t>
      </w:r>
      <w:r w:rsidRPr="000554CC">
        <w:rPr>
          <w:rFonts w:hAnsi="標楷體" w:hint="eastAsia"/>
          <w:sz w:val="24"/>
          <w:szCs w:val="24"/>
          <w:lang w:val="x-none"/>
        </w:rPr>
        <w:t>日至113年12月20日，下稱第二期委辦計畫）等2項計畫</w:t>
      </w:r>
      <w:r w:rsidR="004C3569" w:rsidRPr="000554CC">
        <w:rPr>
          <w:rFonts w:hAnsi="標楷體"/>
          <w:bCs/>
          <w:noProof/>
          <w:sz w:val="24"/>
          <w:szCs w:val="24"/>
        </w:rPr>
        <mc:AlternateContent>
          <mc:Choice Requires="wps">
            <w:drawing>
              <wp:anchor distT="71755" distB="71755" distL="114300" distR="114300" simplePos="0" relativeHeight="251646976" behindDoc="0" locked="0" layoutInCell="1" allowOverlap="0" wp14:anchorId="25B26350" wp14:editId="03EFCDDA">
                <wp:simplePos x="0" y="0"/>
                <wp:positionH relativeFrom="margin">
                  <wp:posOffset>2540</wp:posOffset>
                </wp:positionH>
                <wp:positionV relativeFrom="margin">
                  <wp:posOffset>2814320</wp:posOffset>
                </wp:positionV>
                <wp:extent cx="6377940" cy="3473450"/>
                <wp:effectExtent l="0" t="0" r="3810" b="0"/>
                <wp:wrapSquare wrapText="bothSides"/>
                <wp:docPr id="17" name="文字方塊 17"/>
                <wp:cNvGraphicFramePr/>
                <a:graphic xmlns:a="http://schemas.openxmlformats.org/drawingml/2006/main">
                  <a:graphicData uri="http://schemas.microsoft.com/office/word/2010/wordprocessingShape">
                    <wps:wsp>
                      <wps:cNvSpPr txBox="1"/>
                      <wps:spPr>
                        <a:xfrm>
                          <a:off x="0" y="0"/>
                          <a:ext cx="6377940" cy="3473450"/>
                        </a:xfrm>
                        <a:prstGeom prst="rect">
                          <a:avLst/>
                        </a:prstGeom>
                        <a:solidFill>
                          <a:sysClr val="window" lastClr="FFFFFF"/>
                        </a:solidFill>
                        <a:ln w="6350">
                          <a:noFill/>
                        </a:ln>
                      </wps:spPr>
                      <wps:txbx>
                        <w:txbxContent>
                          <w:p w14:paraId="6B774984" w14:textId="53AE5FC7" w:rsidR="00A0212B" w:rsidRPr="009D65DC" w:rsidRDefault="00A0212B" w:rsidP="004C3569">
                            <w:pPr>
                              <w:spacing w:afterLines="20" w:after="72" w:line="240" w:lineRule="exact"/>
                              <w:ind w:left="658" w:hangingChars="274" w:hanging="658"/>
                              <w:jc w:val="center"/>
                              <w:rPr>
                                <w:rFonts w:ascii="標楷體" w:eastAsia="標楷體" w:hAnsi="標楷體"/>
                                <w:b/>
                              </w:rPr>
                            </w:pPr>
                            <w:r w:rsidRPr="009D65DC">
                              <w:rPr>
                                <w:rFonts w:ascii="標楷體" w:eastAsia="標楷體" w:hAnsi="標楷體" w:hint="eastAsia"/>
                                <w:b/>
                              </w:rPr>
                              <w:t>表</w:t>
                            </w:r>
                            <w:r>
                              <w:rPr>
                                <w:rFonts w:ascii="標楷體" w:eastAsia="標楷體" w:hAnsi="標楷體"/>
                                <w:b/>
                              </w:rPr>
                              <w:t>33</w:t>
                            </w:r>
                            <w:r>
                              <w:rPr>
                                <w:rFonts w:ascii="標楷體" w:eastAsia="標楷體" w:hAnsi="標楷體" w:hint="eastAsia"/>
                                <w:b/>
                              </w:rPr>
                              <w:t xml:space="preserve">　</w:t>
                            </w:r>
                            <w:r w:rsidRPr="009D65DC">
                              <w:rPr>
                                <w:rFonts w:ascii="標楷體" w:eastAsia="標楷體" w:hAnsi="標楷體"/>
                                <w:b/>
                              </w:rPr>
                              <w:t>桃園市政府依</w:t>
                            </w:r>
                            <w:r>
                              <w:rPr>
                                <w:rFonts w:ascii="標楷體" w:eastAsia="標楷體" w:hAnsi="標楷體"/>
                                <w:b/>
                              </w:rPr>
                              <w:t>國家發展委員會</w:t>
                            </w:r>
                            <w:r>
                              <w:rPr>
                                <w:rFonts w:ascii="標楷體" w:eastAsia="標楷體" w:hAnsi="標楷體" w:hint="eastAsia"/>
                                <w:b/>
                              </w:rPr>
                              <w:t>第一期、第二期</w:t>
                            </w:r>
                            <w:r>
                              <w:rPr>
                                <w:rFonts w:ascii="標楷體" w:eastAsia="標楷體" w:hAnsi="標楷體"/>
                                <w:b/>
                              </w:rPr>
                              <w:t>委辦計畫</w:t>
                            </w:r>
                            <w:r w:rsidRPr="009D65DC">
                              <w:rPr>
                                <w:rFonts w:ascii="標楷體" w:eastAsia="標楷體" w:hAnsi="標楷體" w:hint="eastAsia"/>
                                <w:b/>
                              </w:rPr>
                              <w:t>委辦協議書辦理情形</w:t>
                            </w:r>
                          </w:p>
                          <w:tbl>
                            <w:tblPr>
                              <w:tblStyle w:val="afff"/>
                              <w:tblW w:w="9889" w:type="dxa"/>
                              <w:tblLook w:val="04A0" w:firstRow="1" w:lastRow="0" w:firstColumn="1" w:lastColumn="0" w:noHBand="0" w:noVBand="1"/>
                            </w:tblPr>
                            <w:tblGrid>
                              <w:gridCol w:w="1478"/>
                              <w:gridCol w:w="3450"/>
                              <w:gridCol w:w="1559"/>
                              <w:gridCol w:w="3402"/>
                            </w:tblGrid>
                            <w:tr w:rsidR="00A0212B" w:rsidRPr="00663459" w14:paraId="43C429B5" w14:textId="77777777" w:rsidTr="00095E64">
                              <w:tc>
                                <w:tcPr>
                                  <w:tcW w:w="4928" w:type="dxa"/>
                                  <w:gridSpan w:val="2"/>
                                  <w:vAlign w:val="center"/>
                                </w:tcPr>
                                <w:p w14:paraId="5A4C4E0E" w14:textId="77777777" w:rsidR="00A0212B" w:rsidRDefault="00A0212B" w:rsidP="000554CC">
                                  <w:pPr>
                                    <w:spacing w:line="220" w:lineRule="exact"/>
                                    <w:jc w:val="center"/>
                                    <w:rPr>
                                      <w:rFonts w:ascii="標楷體" w:eastAsia="標楷體" w:hAnsi="標楷體"/>
                                      <w:sz w:val="20"/>
                                    </w:rPr>
                                  </w:pPr>
                                  <w:r w:rsidRPr="00663459">
                                    <w:rPr>
                                      <w:rFonts w:ascii="標楷體" w:eastAsia="標楷體" w:hAnsi="標楷體" w:hint="eastAsia"/>
                                      <w:sz w:val="20"/>
                                    </w:rPr>
                                    <w:t>亞洲．矽谷創新研發中心智慧運籌管理平臺</w:t>
                                  </w:r>
                                </w:p>
                                <w:p w14:paraId="3C5B47BA" w14:textId="77777777" w:rsidR="00A0212B" w:rsidRPr="00663459" w:rsidRDefault="00A0212B" w:rsidP="000554CC">
                                  <w:pPr>
                                    <w:spacing w:line="220" w:lineRule="exact"/>
                                    <w:jc w:val="center"/>
                                    <w:rPr>
                                      <w:rFonts w:ascii="標楷體" w:eastAsia="標楷體" w:hAnsi="標楷體"/>
                                      <w:sz w:val="20"/>
                                    </w:rPr>
                                  </w:pPr>
                                  <w:r w:rsidRPr="00DB17E5">
                                    <w:rPr>
                                      <w:rFonts w:ascii="標楷體" w:eastAsia="標楷體" w:hAnsi="標楷體" w:hint="eastAsia"/>
                                      <w:sz w:val="20"/>
                                    </w:rPr>
                                    <w:t>（</w:t>
                                  </w:r>
                                  <w:r>
                                    <w:rPr>
                                      <w:rFonts w:ascii="標楷體" w:eastAsia="標楷體" w:hAnsi="標楷體" w:hint="eastAsia"/>
                                      <w:sz w:val="20"/>
                                    </w:rPr>
                                    <w:t>第一期委辦計畫</w:t>
                                  </w:r>
                                  <w:r w:rsidRPr="00DB17E5">
                                    <w:rPr>
                                      <w:rFonts w:ascii="標楷體" w:eastAsia="標楷體" w:hAnsi="標楷體" w:hint="eastAsia"/>
                                      <w:sz w:val="20"/>
                                    </w:rPr>
                                    <w:t>）</w:t>
                                  </w:r>
                                </w:p>
                              </w:tc>
                              <w:tc>
                                <w:tcPr>
                                  <w:tcW w:w="4961" w:type="dxa"/>
                                  <w:gridSpan w:val="2"/>
                                </w:tcPr>
                                <w:p w14:paraId="14DB7FD7" w14:textId="79C527CD" w:rsidR="00A0212B" w:rsidRPr="00663459" w:rsidRDefault="00A0212B" w:rsidP="000554CC">
                                  <w:pPr>
                                    <w:spacing w:line="220" w:lineRule="exact"/>
                                    <w:jc w:val="both"/>
                                    <w:rPr>
                                      <w:rFonts w:ascii="標楷體" w:eastAsia="標楷體" w:hAnsi="標楷體"/>
                                      <w:sz w:val="20"/>
                                    </w:rPr>
                                  </w:pPr>
                                  <w:r w:rsidRPr="00663459">
                                    <w:rPr>
                                      <w:rFonts w:ascii="標楷體" w:eastAsia="標楷體" w:hAnsi="標楷體" w:hint="eastAsia"/>
                                      <w:sz w:val="20"/>
                                    </w:rPr>
                                    <w:t>完善亞洲．矽谷創新研發中心智慧運籌管理平臺（112</w:t>
                                  </w:r>
                                  <w:r w:rsidR="00CF7E87" w:rsidRPr="00CF7E87">
                                    <w:rPr>
                                      <w:rFonts w:ascii="標楷體" w:eastAsia="標楷體" w:hAnsi="標楷體" w:hint="eastAsia"/>
                                      <w:sz w:val="20"/>
                                    </w:rPr>
                                    <w:t>－</w:t>
                                  </w:r>
                                  <w:r w:rsidRPr="00663459">
                                    <w:rPr>
                                      <w:rFonts w:ascii="標楷體" w:eastAsia="標楷體" w:hAnsi="標楷體" w:hint="eastAsia"/>
                                      <w:sz w:val="20"/>
                                    </w:rPr>
                                    <w:t>113）計畫</w:t>
                                  </w:r>
                                  <w:r w:rsidRPr="00DB17E5">
                                    <w:rPr>
                                      <w:rFonts w:ascii="標楷體" w:eastAsia="標楷體" w:hAnsi="標楷體" w:hint="eastAsia"/>
                                      <w:sz w:val="20"/>
                                    </w:rPr>
                                    <w:t>（</w:t>
                                  </w:r>
                                  <w:r>
                                    <w:rPr>
                                      <w:rFonts w:ascii="標楷體" w:eastAsia="標楷體" w:hAnsi="標楷體" w:hint="eastAsia"/>
                                      <w:sz w:val="20"/>
                                    </w:rPr>
                                    <w:t>第二期委辦計畫</w:t>
                                  </w:r>
                                  <w:r w:rsidRPr="00DB17E5">
                                    <w:rPr>
                                      <w:rFonts w:ascii="標楷體" w:eastAsia="標楷體" w:hAnsi="標楷體" w:hint="eastAsia"/>
                                      <w:sz w:val="20"/>
                                    </w:rPr>
                                    <w:t>）</w:t>
                                  </w:r>
                                </w:p>
                              </w:tc>
                            </w:tr>
                            <w:tr w:rsidR="00A0212B" w:rsidRPr="00663459" w14:paraId="73A0DD39" w14:textId="77777777" w:rsidTr="00095E64">
                              <w:tc>
                                <w:tcPr>
                                  <w:tcW w:w="1478" w:type="dxa"/>
                                </w:tcPr>
                                <w:p w14:paraId="5780CCFC" w14:textId="77777777" w:rsidR="00A0212B" w:rsidRDefault="00A0212B" w:rsidP="000554CC">
                                  <w:pPr>
                                    <w:spacing w:line="220" w:lineRule="exact"/>
                                    <w:jc w:val="center"/>
                                    <w:rPr>
                                      <w:rFonts w:ascii="標楷體" w:eastAsia="標楷體" w:hAnsi="標楷體"/>
                                      <w:sz w:val="20"/>
                                    </w:rPr>
                                  </w:pPr>
                                  <w:r w:rsidRPr="00663459">
                                    <w:rPr>
                                      <w:rFonts w:ascii="標楷體" w:eastAsia="標楷體" w:hAnsi="標楷體" w:hint="eastAsia"/>
                                      <w:sz w:val="20"/>
                                    </w:rPr>
                                    <w:t>委辦協議書</w:t>
                                  </w:r>
                                </w:p>
                                <w:p w14:paraId="0344BD49" w14:textId="77777777" w:rsidR="00A0212B" w:rsidRPr="00663459" w:rsidRDefault="00A0212B" w:rsidP="000554CC">
                                  <w:pPr>
                                    <w:spacing w:line="220" w:lineRule="exact"/>
                                    <w:jc w:val="center"/>
                                    <w:rPr>
                                      <w:rFonts w:ascii="標楷體" w:eastAsia="標楷體" w:hAnsi="標楷體"/>
                                      <w:sz w:val="20"/>
                                    </w:rPr>
                                  </w:pPr>
                                  <w:r>
                                    <w:rPr>
                                      <w:rFonts w:ascii="標楷體" w:eastAsia="標楷體" w:hAnsi="標楷體" w:hint="eastAsia"/>
                                      <w:sz w:val="20"/>
                                    </w:rPr>
                                    <w:t>列委辦事項</w:t>
                                  </w:r>
                                </w:p>
                              </w:tc>
                              <w:tc>
                                <w:tcPr>
                                  <w:tcW w:w="3450" w:type="dxa"/>
                                  <w:vAlign w:val="center"/>
                                </w:tcPr>
                                <w:p w14:paraId="7F1E55E9" w14:textId="77777777" w:rsidR="00A0212B" w:rsidRPr="00095E64" w:rsidRDefault="00A0212B" w:rsidP="000554CC">
                                  <w:pPr>
                                    <w:spacing w:line="220" w:lineRule="exact"/>
                                    <w:jc w:val="center"/>
                                    <w:rPr>
                                      <w:rFonts w:ascii="標楷體" w:eastAsia="標楷體" w:hAnsi="標楷體"/>
                                      <w:spacing w:val="-2"/>
                                      <w:sz w:val="20"/>
                                    </w:rPr>
                                  </w:pPr>
                                  <w:r w:rsidRPr="00095E64">
                                    <w:rPr>
                                      <w:rFonts w:ascii="標楷體" w:eastAsia="標楷體" w:hAnsi="標楷體" w:hint="eastAsia"/>
                                      <w:spacing w:val="-2"/>
                                      <w:sz w:val="20"/>
                                    </w:rPr>
                                    <w:t>截至1</w:t>
                                  </w:r>
                                  <w:r w:rsidRPr="00095E64">
                                    <w:rPr>
                                      <w:rFonts w:ascii="標楷體" w:eastAsia="標楷體" w:hAnsi="標楷體"/>
                                      <w:spacing w:val="-2"/>
                                      <w:sz w:val="20"/>
                                    </w:rPr>
                                    <w:t>13年4月底</w:t>
                                  </w:r>
                                  <w:r w:rsidRPr="00095E64">
                                    <w:rPr>
                                      <w:rFonts w:ascii="標楷體" w:eastAsia="標楷體" w:hAnsi="標楷體" w:hint="eastAsia"/>
                                      <w:spacing w:val="-2"/>
                                      <w:sz w:val="20"/>
                                    </w:rPr>
                                    <w:t>桃園市政府辦理情形</w:t>
                                  </w:r>
                                </w:p>
                              </w:tc>
                              <w:tc>
                                <w:tcPr>
                                  <w:tcW w:w="1559" w:type="dxa"/>
                                </w:tcPr>
                                <w:p w14:paraId="49D2B4EC" w14:textId="77777777" w:rsidR="00A0212B" w:rsidRDefault="00A0212B" w:rsidP="000554CC">
                                  <w:pPr>
                                    <w:spacing w:line="220" w:lineRule="exact"/>
                                    <w:jc w:val="center"/>
                                    <w:rPr>
                                      <w:rFonts w:ascii="標楷體" w:eastAsia="標楷體" w:hAnsi="標楷體"/>
                                      <w:sz w:val="20"/>
                                    </w:rPr>
                                  </w:pPr>
                                  <w:r w:rsidRPr="00663459">
                                    <w:rPr>
                                      <w:rFonts w:ascii="標楷體" w:eastAsia="標楷體" w:hAnsi="標楷體" w:hint="eastAsia"/>
                                      <w:sz w:val="20"/>
                                    </w:rPr>
                                    <w:t>委辦協議書</w:t>
                                  </w:r>
                                </w:p>
                                <w:p w14:paraId="33739415" w14:textId="77777777" w:rsidR="00A0212B" w:rsidRPr="00663459" w:rsidRDefault="00A0212B" w:rsidP="000554CC">
                                  <w:pPr>
                                    <w:spacing w:line="220" w:lineRule="exact"/>
                                    <w:jc w:val="center"/>
                                    <w:rPr>
                                      <w:rFonts w:ascii="標楷體" w:eastAsia="標楷體" w:hAnsi="標楷體"/>
                                      <w:sz w:val="20"/>
                                    </w:rPr>
                                  </w:pPr>
                                  <w:r>
                                    <w:rPr>
                                      <w:rFonts w:ascii="標楷體" w:eastAsia="標楷體" w:hAnsi="標楷體" w:hint="eastAsia"/>
                                      <w:sz w:val="20"/>
                                    </w:rPr>
                                    <w:t>列</w:t>
                                  </w:r>
                                  <w:r>
                                    <w:rPr>
                                      <w:rFonts w:ascii="標楷體" w:eastAsia="標楷體" w:hAnsi="標楷體"/>
                                      <w:sz w:val="20"/>
                                    </w:rPr>
                                    <w:t>委辦事項</w:t>
                                  </w:r>
                                </w:p>
                              </w:tc>
                              <w:tc>
                                <w:tcPr>
                                  <w:tcW w:w="3402" w:type="dxa"/>
                                  <w:vAlign w:val="center"/>
                                </w:tcPr>
                                <w:p w14:paraId="7404B501" w14:textId="77777777" w:rsidR="00A0212B" w:rsidRPr="00095E64" w:rsidRDefault="00A0212B" w:rsidP="000554CC">
                                  <w:pPr>
                                    <w:spacing w:line="220" w:lineRule="exact"/>
                                    <w:rPr>
                                      <w:rFonts w:ascii="標楷體" w:eastAsia="標楷體" w:hAnsi="標楷體"/>
                                      <w:spacing w:val="-4"/>
                                      <w:sz w:val="20"/>
                                    </w:rPr>
                                  </w:pPr>
                                  <w:r w:rsidRPr="00095E64">
                                    <w:rPr>
                                      <w:rFonts w:ascii="標楷體" w:eastAsia="標楷體" w:hAnsi="標楷體" w:hint="eastAsia"/>
                                      <w:spacing w:val="-4"/>
                                      <w:sz w:val="20"/>
                                    </w:rPr>
                                    <w:t>截至1</w:t>
                                  </w:r>
                                  <w:r w:rsidRPr="00095E64">
                                    <w:rPr>
                                      <w:rFonts w:ascii="標楷體" w:eastAsia="標楷體" w:hAnsi="標楷體"/>
                                      <w:spacing w:val="-4"/>
                                      <w:sz w:val="20"/>
                                    </w:rPr>
                                    <w:t>13年4月底</w:t>
                                  </w:r>
                                  <w:r w:rsidRPr="00095E64">
                                    <w:rPr>
                                      <w:rFonts w:ascii="標楷體" w:eastAsia="標楷體" w:hAnsi="標楷體" w:hint="eastAsia"/>
                                      <w:spacing w:val="-4"/>
                                      <w:sz w:val="20"/>
                                    </w:rPr>
                                    <w:t>桃園市政府辦理情形</w:t>
                                  </w:r>
                                </w:p>
                              </w:tc>
                            </w:tr>
                            <w:tr w:rsidR="00A0212B" w:rsidRPr="00663459" w14:paraId="3A02529E" w14:textId="77777777" w:rsidTr="00095E64">
                              <w:trPr>
                                <w:trHeight w:val="1127"/>
                              </w:trPr>
                              <w:tc>
                                <w:tcPr>
                                  <w:tcW w:w="1478" w:type="dxa"/>
                                  <w:vAlign w:val="center"/>
                                </w:tcPr>
                                <w:p w14:paraId="7D53C944" w14:textId="77777777" w:rsidR="00A0212B" w:rsidRPr="00663459" w:rsidRDefault="00A0212B" w:rsidP="000554CC">
                                  <w:pPr>
                                    <w:spacing w:line="220" w:lineRule="exact"/>
                                    <w:ind w:leftChars="-27" w:left="-65" w:rightChars="-33" w:right="-79"/>
                                    <w:jc w:val="both"/>
                                    <w:rPr>
                                      <w:rFonts w:ascii="標楷體" w:eastAsia="標楷體" w:hAnsi="標楷體"/>
                                      <w:sz w:val="20"/>
                                    </w:rPr>
                                  </w:pPr>
                                  <w:r w:rsidRPr="00663459">
                                    <w:rPr>
                                      <w:rFonts w:ascii="標楷體" w:eastAsia="標楷體" w:hAnsi="標楷體" w:hint="eastAsia"/>
                                      <w:sz w:val="20"/>
                                    </w:rPr>
                                    <w:t>IOC</w:t>
                                  </w:r>
                                  <w:r w:rsidRPr="00663459">
                                    <w:rPr>
                                      <w:rFonts w:ascii="標楷體" w:eastAsia="標楷體" w:hAnsi="標楷體"/>
                                      <w:sz w:val="20"/>
                                    </w:rPr>
                                    <w:t>及</w:t>
                                  </w:r>
                                  <w:r w:rsidRPr="00663459">
                                    <w:rPr>
                                      <w:rFonts w:ascii="標楷體" w:eastAsia="標楷體" w:hAnsi="標楷體" w:hint="eastAsia"/>
                                      <w:sz w:val="20"/>
                                    </w:rPr>
                                    <w:t>IDC</w:t>
                                  </w:r>
                                  <w:r w:rsidRPr="00663459">
                                    <w:rPr>
                                      <w:rFonts w:ascii="標楷體" w:eastAsia="標楷體" w:hAnsi="標楷體"/>
                                      <w:sz w:val="20"/>
                                    </w:rPr>
                                    <w:t>之建置及</w:t>
                                  </w:r>
                                  <w:r w:rsidRPr="00663459">
                                    <w:rPr>
                                      <w:rFonts w:ascii="標楷體" w:eastAsia="標楷體" w:hAnsi="標楷體" w:hint="eastAsia"/>
                                      <w:sz w:val="20"/>
                                    </w:rPr>
                                    <w:t>營運規劃</w:t>
                                  </w:r>
                                </w:p>
                              </w:tc>
                              <w:tc>
                                <w:tcPr>
                                  <w:tcW w:w="3450" w:type="dxa"/>
                                </w:tcPr>
                                <w:p w14:paraId="125D35C2" w14:textId="77777777" w:rsidR="00A0212B" w:rsidRPr="000554CC" w:rsidRDefault="00A0212B" w:rsidP="000554CC">
                                  <w:pPr>
                                    <w:spacing w:line="220" w:lineRule="exact"/>
                                    <w:ind w:leftChars="-27" w:left="-65" w:rightChars="-33" w:right="-79"/>
                                    <w:jc w:val="both"/>
                                    <w:rPr>
                                      <w:rFonts w:ascii="標楷體" w:eastAsia="標楷體" w:hAnsi="標楷體"/>
                                      <w:spacing w:val="4"/>
                                      <w:sz w:val="20"/>
                                    </w:rPr>
                                  </w:pPr>
                                  <w:r w:rsidRPr="000554CC">
                                    <w:rPr>
                                      <w:rFonts w:ascii="標楷體" w:eastAsia="標楷體" w:hAnsi="標楷體" w:hint="eastAsia"/>
                                      <w:spacing w:val="4"/>
                                      <w:sz w:val="20"/>
                                    </w:rPr>
                                    <w:t>由於</w:t>
                                  </w:r>
                                  <w:r w:rsidRPr="000554CC">
                                    <w:rPr>
                                      <w:rFonts w:ascii="標楷體" w:eastAsia="標楷體" w:hAnsi="標楷體"/>
                                      <w:spacing w:val="4"/>
                                      <w:sz w:val="20"/>
                                    </w:rPr>
                                    <w:t>亞矽創研中心</w:t>
                                  </w:r>
                                  <w:r w:rsidRPr="000554CC">
                                    <w:rPr>
                                      <w:rFonts w:ascii="標楷體" w:eastAsia="標楷體" w:hAnsi="標楷體" w:hint="eastAsia"/>
                                      <w:spacing w:val="4"/>
                                      <w:sz w:val="20"/>
                                    </w:rPr>
                                    <w:t>因財務風險高等因素動工時程延宕，尚無法依原提案計畫規劃於該中心主體建物內布建I</w:t>
                                  </w:r>
                                  <w:r w:rsidRPr="000554CC">
                                    <w:rPr>
                                      <w:rFonts w:ascii="標楷體" w:eastAsia="標楷體" w:hAnsi="標楷體"/>
                                      <w:spacing w:val="4"/>
                                      <w:sz w:val="20"/>
                                    </w:rPr>
                                    <w:t>DC</w:t>
                                  </w:r>
                                  <w:r w:rsidRPr="000554CC">
                                    <w:rPr>
                                      <w:rFonts w:ascii="標楷體" w:eastAsia="標楷體" w:hAnsi="標楷體" w:hint="eastAsia"/>
                                      <w:spacing w:val="4"/>
                                      <w:sz w:val="20"/>
                                    </w:rPr>
                                    <w:t>硬體環境，爰桃園市政府係委外完成I</w:t>
                                  </w:r>
                                  <w:r w:rsidRPr="000554CC">
                                    <w:rPr>
                                      <w:rFonts w:ascii="標楷體" w:eastAsia="標楷體" w:hAnsi="標楷體"/>
                                      <w:spacing w:val="4"/>
                                      <w:sz w:val="20"/>
                                    </w:rPr>
                                    <w:t>OC</w:t>
                                  </w:r>
                                  <w:r w:rsidRPr="000554CC">
                                    <w:rPr>
                                      <w:rFonts w:ascii="標楷體" w:eastAsia="標楷體" w:hAnsi="標楷體" w:hint="eastAsia"/>
                                      <w:spacing w:val="4"/>
                                      <w:sz w:val="20"/>
                                    </w:rPr>
                                    <w:t>、IDC之先期規劃，並採雲端設備租用方式，完成智慧運籌</w:t>
                                  </w:r>
                                  <w:r w:rsidRPr="000554CC">
                                    <w:rPr>
                                      <w:rFonts w:ascii="標楷體" w:eastAsia="標楷體" w:hAnsi="標楷體"/>
                                      <w:spacing w:val="4"/>
                                      <w:sz w:val="20"/>
                                    </w:rPr>
                                    <w:t>示範平</w:t>
                                  </w:r>
                                  <w:r w:rsidRPr="000554CC">
                                    <w:rPr>
                                      <w:rFonts w:ascii="標楷體" w:eastAsia="標楷體" w:hAnsi="標楷體" w:hint="eastAsia"/>
                                      <w:spacing w:val="4"/>
                                      <w:sz w:val="20"/>
                                    </w:rPr>
                                    <w:t>臺</w:t>
                                  </w:r>
                                  <w:r w:rsidRPr="000554CC">
                                    <w:rPr>
                                      <w:rFonts w:ascii="標楷體" w:eastAsia="標楷體" w:hAnsi="標楷體"/>
                                      <w:spacing w:val="4"/>
                                      <w:sz w:val="20"/>
                                    </w:rPr>
                                    <w:t>功能開發</w:t>
                                  </w:r>
                                  <w:r w:rsidRPr="000554CC">
                                    <w:rPr>
                                      <w:rFonts w:ascii="標楷體" w:eastAsia="標楷體" w:hAnsi="標楷體" w:hint="eastAsia"/>
                                      <w:spacing w:val="4"/>
                                      <w:sz w:val="20"/>
                                    </w:rPr>
                                    <w:t>及實證串接。</w:t>
                                  </w:r>
                                </w:p>
                              </w:tc>
                              <w:tc>
                                <w:tcPr>
                                  <w:tcW w:w="1559" w:type="dxa"/>
                                  <w:vAlign w:val="center"/>
                                </w:tcPr>
                                <w:p w14:paraId="1CE4174A" w14:textId="77777777" w:rsidR="00A0212B" w:rsidRPr="00663459" w:rsidRDefault="00A0212B" w:rsidP="000554CC">
                                  <w:pPr>
                                    <w:spacing w:line="220" w:lineRule="exact"/>
                                    <w:ind w:leftChars="-27" w:left="-65" w:rightChars="-33" w:right="-79"/>
                                    <w:jc w:val="both"/>
                                    <w:rPr>
                                      <w:rFonts w:ascii="標楷體" w:eastAsia="標楷體" w:hAnsi="標楷體"/>
                                      <w:sz w:val="20"/>
                                    </w:rPr>
                                  </w:pPr>
                                  <w:r>
                                    <w:rPr>
                                      <w:rFonts w:ascii="標楷體" w:eastAsia="標楷體" w:hAnsi="標楷體" w:hint="eastAsia"/>
                                      <w:sz w:val="20"/>
                                    </w:rPr>
                                    <w:t>提出IOC</w:t>
                                  </w:r>
                                  <w:r>
                                    <w:rPr>
                                      <w:rFonts w:ascii="標楷體" w:eastAsia="標楷體" w:hAnsi="標楷體"/>
                                      <w:sz w:val="20"/>
                                    </w:rPr>
                                    <w:t>及</w:t>
                                  </w:r>
                                  <w:r>
                                    <w:rPr>
                                      <w:rFonts w:ascii="標楷體" w:eastAsia="標楷體" w:hAnsi="標楷體" w:hint="eastAsia"/>
                                      <w:sz w:val="20"/>
                                    </w:rPr>
                                    <w:t>IDC</w:t>
                                  </w:r>
                                  <w:r>
                                    <w:rPr>
                                      <w:rFonts w:ascii="標楷體" w:eastAsia="標楷體" w:hAnsi="標楷體"/>
                                      <w:sz w:val="20"/>
                                    </w:rPr>
                                    <w:t>進駐亞矽創研中心</w:t>
                                  </w:r>
                                  <w:r>
                                    <w:rPr>
                                      <w:rFonts w:ascii="標楷體" w:eastAsia="標楷體" w:hAnsi="標楷體" w:hint="eastAsia"/>
                                      <w:sz w:val="20"/>
                                    </w:rPr>
                                    <w:t>規劃</w:t>
                                  </w:r>
                                </w:p>
                              </w:tc>
                              <w:tc>
                                <w:tcPr>
                                  <w:tcW w:w="3402" w:type="dxa"/>
                                  <w:vMerge w:val="restart"/>
                                </w:tcPr>
                                <w:p w14:paraId="755E341E" w14:textId="77777777" w:rsidR="00A0212B" w:rsidRPr="00663459" w:rsidRDefault="00A0212B" w:rsidP="000554CC">
                                  <w:pPr>
                                    <w:spacing w:line="240" w:lineRule="exact"/>
                                    <w:ind w:leftChars="-27" w:left="-65" w:rightChars="-33" w:right="-79"/>
                                    <w:jc w:val="both"/>
                                    <w:rPr>
                                      <w:rFonts w:ascii="標楷體" w:eastAsia="標楷體" w:hAnsi="標楷體"/>
                                      <w:sz w:val="20"/>
                                    </w:rPr>
                                  </w:pPr>
                                  <w:r w:rsidRPr="00663459">
                                    <w:rPr>
                                      <w:rFonts w:ascii="標楷體" w:eastAsia="標楷體" w:hAnsi="標楷體" w:hint="eastAsia"/>
                                      <w:sz w:val="20"/>
                                    </w:rPr>
                                    <w:t>桃園市政府於112年10月31日確認各委辦工作項目主責單位，及依據112年12月18</w:t>
                                  </w:r>
                                  <w:r>
                                    <w:rPr>
                                      <w:rFonts w:ascii="標楷體" w:eastAsia="標楷體" w:hAnsi="標楷體" w:hint="eastAsia"/>
                                      <w:sz w:val="20"/>
                                    </w:rPr>
                                    <w:t>日國家發展委員會</w:t>
                                  </w:r>
                                  <w:r w:rsidRPr="00663459">
                                    <w:rPr>
                                      <w:rFonts w:ascii="標楷體" w:eastAsia="標楷體" w:hAnsi="標楷體" w:hint="eastAsia"/>
                                      <w:sz w:val="20"/>
                                    </w:rPr>
                                    <w:t>與桃園市政府溝通會議結論，確定IOC及IDC將改設置於亞矽創研中心一期工程已興建完成之既有建物亞洲．矽谷物聯網展廳後，該府為執行第二期委辦計畫</w:t>
                                  </w:r>
                                  <w:r>
                                    <w:rPr>
                                      <w:rFonts w:ascii="標楷體" w:eastAsia="標楷體" w:hAnsi="標楷體" w:hint="eastAsia"/>
                                      <w:sz w:val="20"/>
                                    </w:rPr>
                                    <w:t>，辦理建置IDC設備環境、</w:t>
                                  </w:r>
                                  <w:r w:rsidRPr="00FF69C0">
                                    <w:rPr>
                                      <w:rFonts w:ascii="標楷體" w:eastAsia="標楷體" w:hAnsi="標楷體" w:hint="eastAsia"/>
                                      <w:sz w:val="20"/>
                                    </w:rPr>
                                    <w:t>建構IOC</w:t>
                                  </w:r>
                                  <w:r>
                                    <w:rPr>
                                      <w:rFonts w:ascii="標楷體" w:eastAsia="標楷體" w:hAnsi="標楷體" w:hint="eastAsia"/>
                                      <w:sz w:val="20"/>
                                    </w:rPr>
                                    <w:t>平臺、推動</w:t>
                                  </w:r>
                                  <w:r w:rsidRPr="00FF69C0">
                                    <w:rPr>
                                      <w:rFonts w:ascii="標楷體" w:eastAsia="標楷體" w:hAnsi="標楷體" w:hint="eastAsia"/>
                                      <w:sz w:val="20"/>
                                    </w:rPr>
                                    <w:t>AI號誌控制</w:t>
                                  </w:r>
                                  <w:r>
                                    <w:rPr>
                                      <w:rFonts w:ascii="標楷體" w:eastAsia="標楷體" w:hAnsi="標楷體" w:hint="eastAsia"/>
                                      <w:sz w:val="20"/>
                                    </w:rPr>
                                    <w:t>交通應用相關</w:t>
                                  </w:r>
                                  <w:r w:rsidRPr="00663459">
                                    <w:rPr>
                                      <w:rFonts w:ascii="標楷體" w:eastAsia="標楷體" w:hAnsi="標楷體" w:hint="eastAsia"/>
                                      <w:sz w:val="20"/>
                                    </w:rPr>
                                    <w:t>4項採購案分別於113年1月至4月間決標</w:t>
                                  </w:r>
                                  <w:r>
                                    <w:rPr>
                                      <w:rFonts w:ascii="標楷體" w:eastAsia="標楷體" w:hAnsi="標楷體" w:hint="eastAsia"/>
                                      <w:sz w:val="20"/>
                                    </w:rPr>
                                    <w:t>。</w:t>
                                  </w:r>
                                </w:p>
                              </w:tc>
                            </w:tr>
                            <w:tr w:rsidR="00A0212B" w:rsidRPr="00663459" w14:paraId="16C42408" w14:textId="77777777" w:rsidTr="00095E64">
                              <w:tc>
                                <w:tcPr>
                                  <w:tcW w:w="1478" w:type="dxa"/>
                                  <w:vAlign w:val="center"/>
                                </w:tcPr>
                                <w:p w14:paraId="06284AA6" w14:textId="77777777" w:rsidR="00A0212B" w:rsidRPr="00663459" w:rsidRDefault="00A0212B" w:rsidP="000554CC">
                                  <w:pPr>
                                    <w:spacing w:line="220" w:lineRule="exact"/>
                                    <w:ind w:leftChars="-27" w:left="-65" w:rightChars="-33" w:right="-79"/>
                                    <w:jc w:val="both"/>
                                    <w:rPr>
                                      <w:rFonts w:ascii="標楷體" w:eastAsia="標楷體" w:hAnsi="標楷體"/>
                                      <w:sz w:val="20"/>
                                    </w:rPr>
                                  </w:pPr>
                                  <w:r w:rsidRPr="00663459">
                                    <w:rPr>
                                      <w:rFonts w:ascii="標楷體" w:eastAsia="標楷體" w:hAnsi="標楷體" w:hint="eastAsia"/>
                                      <w:sz w:val="20"/>
                                    </w:rPr>
                                    <w:t>大數據</w:t>
                                  </w:r>
                                  <w:r w:rsidRPr="00663459">
                                    <w:rPr>
                                      <w:rFonts w:ascii="標楷體" w:eastAsia="標楷體" w:hAnsi="標楷體"/>
                                      <w:sz w:val="20"/>
                                    </w:rPr>
                                    <w:t>平臺資料串接服務與驗證</w:t>
                                  </w:r>
                                </w:p>
                              </w:tc>
                              <w:tc>
                                <w:tcPr>
                                  <w:tcW w:w="3450" w:type="dxa"/>
                                </w:tcPr>
                                <w:p w14:paraId="52C46E36" w14:textId="77777777" w:rsidR="00A0212B" w:rsidRPr="00095E64" w:rsidRDefault="00A0212B" w:rsidP="000554CC">
                                  <w:pPr>
                                    <w:spacing w:line="220" w:lineRule="exact"/>
                                    <w:ind w:leftChars="-27" w:left="-65" w:rightChars="-33" w:right="-79"/>
                                    <w:jc w:val="both"/>
                                    <w:rPr>
                                      <w:rFonts w:ascii="標楷體" w:eastAsia="標楷體" w:hAnsi="標楷體"/>
                                      <w:spacing w:val="-2"/>
                                      <w:sz w:val="20"/>
                                    </w:rPr>
                                  </w:pPr>
                                  <w:r w:rsidRPr="00095E64">
                                    <w:rPr>
                                      <w:rFonts w:ascii="標楷體" w:eastAsia="標楷體" w:hAnsi="標楷體" w:hint="eastAsia"/>
                                      <w:spacing w:val="-2"/>
                                      <w:sz w:val="20"/>
                                    </w:rPr>
                                    <w:t>辦理市政資料治理暨大數據分析平臺等4個桃園市政府既有大數據相關平臺之系統功能（架構）調整及資料維護擴充。</w:t>
                                  </w:r>
                                </w:p>
                              </w:tc>
                              <w:tc>
                                <w:tcPr>
                                  <w:tcW w:w="1559" w:type="dxa"/>
                                  <w:vAlign w:val="center"/>
                                </w:tcPr>
                                <w:p w14:paraId="54C4F864" w14:textId="77777777" w:rsidR="00A0212B" w:rsidRPr="00095E64" w:rsidRDefault="00A0212B" w:rsidP="000554CC">
                                  <w:pPr>
                                    <w:spacing w:line="220" w:lineRule="exact"/>
                                    <w:ind w:leftChars="-27" w:left="-65" w:rightChars="-33" w:right="-79"/>
                                    <w:jc w:val="both"/>
                                    <w:rPr>
                                      <w:rFonts w:ascii="標楷體" w:eastAsia="標楷體" w:hAnsi="標楷體"/>
                                      <w:sz w:val="20"/>
                                    </w:rPr>
                                  </w:pPr>
                                  <w:r w:rsidRPr="00095E64">
                                    <w:rPr>
                                      <w:rFonts w:ascii="標楷體" w:eastAsia="標楷體" w:hAnsi="標楷體" w:hint="eastAsia"/>
                                      <w:sz w:val="20"/>
                                    </w:rPr>
                                    <w:t>強化IOC</w:t>
                                  </w:r>
                                  <w:r w:rsidRPr="00095E64">
                                    <w:rPr>
                                      <w:rFonts w:ascii="標楷體" w:eastAsia="標楷體" w:hAnsi="標楷體"/>
                                      <w:sz w:val="20"/>
                                    </w:rPr>
                                    <w:t>即時資料收集及</w:t>
                                  </w:r>
                                  <w:r w:rsidRPr="00095E64">
                                    <w:rPr>
                                      <w:rFonts w:ascii="標楷體" w:eastAsia="標楷體" w:hAnsi="標楷體" w:hint="eastAsia"/>
                                      <w:sz w:val="20"/>
                                    </w:rPr>
                                    <w:t>介接</w:t>
                                  </w:r>
                                  <w:r w:rsidRPr="00095E64">
                                    <w:rPr>
                                      <w:rFonts w:ascii="標楷體" w:eastAsia="標楷體" w:hAnsi="標楷體"/>
                                      <w:sz w:val="20"/>
                                    </w:rPr>
                                    <w:t>功能</w:t>
                                  </w:r>
                                </w:p>
                              </w:tc>
                              <w:tc>
                                <w:tcPr>
                                  <w:tcW w:w="3402" w:type="dxa"/>
                                  <w:vMerge/>
                                </w:tcPr>
                                <w:p w14:paraId="2379E7F3" w14:textId="77777777" w:rsidR="00A0212B" w:rsidRPr="00663459" w:rsidRDefault="00A0212B" w:rsidP="000554CC">
                                  <w:pPr>
                                    <w:spacing w:line="220" w:lineRule="exact"/>
                                    <w:jc w:val="both"/>
                                    <w:rPr>
                                      <w:rFonts w:ascii="標楷體" w:eastAsia="標楷體" w:hAnsi="標楷體"/>
                                      <w:sz w:val="20"/>
                                    </w:rPr>
                                  </w:pPr>
                                </w:p>
                              </w:tc>
                            </w:tr>
                            <w:tr w:rsidR="00A0212B" w:rsidRPr="00663459" w14:paraId="3B215784" w14:textId="77777777" w:rsidTr="00095E64">
                              <w:tc>
                                <w:tcPr>
                                  <w:tcW w:w="1478" w:type="dxa"/>
                                  <w:tcBorders>
                                    <w:bottom w:val="single" w:sz="4" w:space="0" w:color="auto"/>
                                  </w:tcBorders>
                                  <w:vAlign w:val="center"/>
                                </w:tcPr>
                                <w:p w14:paraId="7DA6F6B5" w14:textId="77777777" w:rsidR="00A0212B" w:rsidRPr="001D0878" w:rsidRDefault="00A0212B" w:rsidP="000554CC">
                                  <w:pPr>
                                    <w:spacing w:line="220" w:lineRule="exact"/>
                                    <w:ind w:leftChars="-27" w:left="-65" w:rightChars="-33" w:right="-79"/>
                                    <w:jc w:val="both"/>
                                    <w:rPr>
                                      <w:rFonts w:ascii="標楷體" w:eastAsia="標楷體" w:hAnsi="標楷體"/>
                                      <w:spacing w:val="-4"/>
                                      <w:sz w:val="20"/>
                                    </w:rPr>
                                  </w:pPr>
                                  <w:r w:rsidRPr="001D0878">
                                    <w:rPr>
                                      <w:rFonts w:ascii="標楷體" w:eastAsia="標楷體" w:hAnsi="標楷體"/>
                                      <w:spacing w:val="-4"/>
                                      <w:sz w:val="20"/>
                                    </w:rPr>
                                    <w:t>5G示範應用服務</w:t>
                                  </w:r>
                                </w:p>
                              </w:tc>
                              <w:tc>
                                <w:tcPr>
                                  <w:tcW w:w="3450" w:type="dxa"/>
                                  <w:tcBorders>
                                    <w:bottom w:val="single" w:sz="4" w:space="0" w:color="auto"/>
                                  </w:tcBorders>
                                </w:tcPr>
                                <w:p w14:paraId="0953799D" w14:textId="77777777" w:rsidR="00A0212B" w:rsidRPr="00663459" w:rsidRDefault="00A0212B" w:rsidP="000554CC">
                                  <w:pPr>
                                    <w:spacing w:line="220" w:lineRule="exact"/>
                                    <w:ind w:leftChars="-27" w:left="-65" w:rightChars="-33" w:right="-79"/>
                                    <w:jc w:val="both"/>
                                    <w:rPr>
                                      <w:rFonts w:ascii="標楷體" w:eastAsia="標楷體" w:hAnsi="標楷體"/>
                                      <w:sz w:val="20"/>
                                    </w:rPr>
                                  </w:pPr>
                                  <w:r w:rsidRPr="00663459">
                                    <w:rPr>
                                      <w:rFonts w:ascii="標楷體" w:eastAsia="標楷體" w:hAnsi="標楷體" w:hint="eastAsia"/>
                                      <w:sz w:val="20"/>
                                    </w:rPr>
                                    <w:t>推動擴大AI號誌控制範圍、建置大客車盲區內輪差主動警示系統、維護租賃停車資訊導引系統相關設備等3項交通應用服務</w:t>
                                  </w:r>
                                  <w:r>
                                    <w:rPr>
                                      <w:rFonts w:ascii="標楷體" w:eastAsia="標楷體" w:hAnsi="標楷體" w:hint="eastAsia"/>
                                      <w:sz w:val="20"/>
                                    </w:rPr>
                                    <w:t>。</w:t>
                                  </w:r>
                                </w:p>
                              </w:tc>
                              <w:tc>
                                <w:tcPr>
                                  <w:tcW w:w="1559" w:type="dxa"/>
                                  <w:vAlign w:val="center"/>
                                </w:tcPr>
                                <w:p w14:paraId="626D3940" w14:textId="77777777" w:rsidR="00A0212B" w:rsidRPr="00663459" w:rsidRDefault="00A0212B" w:rsidP="000554CC">
                                  <w:pPr>
                                    <w:spacing w:line="220" w:lineRule="exact"/>
                                    <w:ind w:leftChars="-27" w:left="-65" w:rightChars="-33" w:right="-79"/>
                                    <w:jc w:val="both"/>
                                    <w:rPr>
                                      <w:rFonts w:ascii="標楷體" w:eastAsia="標楷體" w:hAnsi="標楷體"/>
                                      <w:sz w:val="20"/>
                                    </w:rPr>
                                  </w:pPr>
                                  <w:r>
                                    <w:rPr>
                                      <w:rFonts w:ascii="標楷體" w:eastAsia="標楷體" w:hAnsi="標楷體" w:hint="eastAsia"/>
                                      <w:sz w:val="20"/>
                                    </w:rPr>
                                    <w:t>5G</w:t>
                                  </w:r>
                                  <w:r>
                                    <w:rPr>
                                      <w:rFonts w:ascii="標楷體" w:eastAsia="標楷體" w:hAnsi="標楷體"/>
                                      <w:sz w:val="20"/>
                                    </w:rPr>
                                    <w:t>智慧交通示範案由點至面擴散應用</w:t>
                                  </w:r>
                                </w:p>
                              </w:tc>
                              <w:tc>
                                <w:tcPr>
                                  <w:tcW w:w="3402" w:type="dxa"/>
                                  <w:vMerge/>
                                </w:tcPr>
                                <w:p w14:paraId="133A3574" w14:textId="77777777" w:rsidR="00A0212B" w:rsidRPr="00663459" w:rsidRDefault="00A0212B" w:rsidP="000554CC">
                                  <w:pPr>
                                    <w:spacing w:line="220" w:lineRule="exact"/>
                                    <w:jc w:val="both"/>
                                    <w:rPr>
                                      <w:rFonts w:ascii="標楷體" w:eastAsia="標楷體" w:hAnsi="標楷體"/>
                                      <w:sz w:val="20"/>
                                    </w:rPr>
                                  </w:pPr>
                                </w:p>
                              </w:tc>
                            </w:tr>
                            <w:tr w:rsidR="00A0212B" w:rsidRPr="00663459" w14:paraId="12AFB01F" w14:textId="77777777" w:rsidTr="00095E64">
                              <w:trPr>
                                <w:trHeight w:val="714"/>
                              </w:trPr>
                              <w:tc>
                                <w:tcPr>
                                  <w:tcW w:w="4928" w:type="dxa"/>
                                  <w:gridSpan w:val="2"/>
                                  <w:tcBorders>
                                    <w:tl2br w:val="single" w:sz="4" w:space="0" w:color="auto"/>
                                  </w:tcBorders>
                                </w:tcPr>
                                <w:p w14:paraId="09273B86" w14:textId="77777777" w:rsidR="00A0212B" w:rsidRPr="00663459" w:rsidRDefault="00A0212B" w:rsidP="000554CC">
                                  <w:pPr>
                                    <w:spacing w:line="220" w:lineRule="exact"/>
                                    <w:rPr>
                                      <w:rFonts w:ascii="標楷體" w:eastAsia="標楷體" w:hAnsi="標楷體"/>
                                      <w:sz w:val="20"/>
                                    </w:rPr>
                                  </w:pPr>
                                </w:p>
                              </w:tc>
                              <w:tc>
                                <w:tcPr>
                                  <w:tcW w:w="1559" w:type="dxa"/>
                                  <w:vAlign w:val="center"/>
                                </w:tcPr>
                                <w:p w14:paraId="41232B9E" w14:textId="77777777" w:rsidR="00A0212B" w:rsidRPr="00663459" w:rsidRDefault="00A0212B" w:rsidP="000554CC">
                                  <w:pPr>
                                    <w:spacing w:line="220" w:lineRule="exact"/>
                                    <w:ind w:leftChars="-27" w:left="-65" w:rightChars="-33" w:right="-79"/>
                                    <w:jc w:val="both"/>
                                    <w:rPr>
                                      <w:rFonts w:ascii="標楷體" w:eastAsia="標楷體" w:hAnsi="標楷體"/>
                                      <w:sz w:val="20"/>
                                    </w:rPr>
                                  </w:pPr>
                                  <w:r>
                                    <w:rPr>
                                      <w:rFonts w:ascii="標楷體" w:eastAsia="標楷體" w:hAnsi="標楷體"/>
                                      <w:sz w:val="20"/>
                                    </w:rPr>
                                    <w:t>參加</w:t>
                                  </w:r>
                                  <w:r>
                                    <w:rPr>
                                      <w:rFonts w:ascii="標楷體" w:eastAsia="標楷體" w:hAnsi="標楷體" w:hint="eastAsia"/>
                                      <w:sz w:val="20"/>
                                    </w:rPr>
                                    <w:t>113</w:t>
                                  </w:r>
                                  <w:r>
                                    <w:rPr>
                                      <w:rFonts w:ascii="標楷體" w:eastAsia="標楷體" w:hAnsi="標楷體"/>
                                      <w:sz w:val="20"/>
                                    </w:rPr>
                                    <w:t>年「</w:t>
                                  </w:r>
                                  <w:r>
                                    <w:rPr>
                                      <w:rFonts w:ascii="標楷體" w:eastAsia="標楷體" w:hAnsi="標楷體" w:hint="eastAsia"/>
                                      <w:sz w:val="20"/>
                                    </w:rPr>
                                    <w:t>智慧</w:t>
                                  </w:r>
                                  <w:r>
                                    <w:rPr>
                                      <w:rFonts w:ascii="標楷體" w:eastAsia="標楷體" w:hAnsi="標楷體"/>
                                      <w:sz w:val="20"/>
                                    </w:rPr>
                                    <w:t>城市論壇暨展覽」</w:t>
                                  </w:r>
                                  <w:r>
                                    <w:rPr>
                                      <w:rFonts w:ascii="標楷體" w:eastAsia="標楷體" w:hAnsi="標楷體" w:hint="eastAsia"/>
                                      <w:sz w:val="20"/>
                                    </w:rPr>
                                    <w:t>展示成果</w:t>
                                  </w:r>
                                </w:p>
                              </w:tc>
                              <w:tc>
                                <w:tcPr>
                                  <w:tcW w:w="3402" w:type="dxa"/>
                                  <w:vMerge/>
                                </w:tcPr>
                                <w:p w14:paraId="7D4D1F1E" w14:textId="77777777" w:rsidR="00A0212B" w:rsidRPr="00663459" w:rsidRDefault="00A0212B" w:rsidP="000554CC">
                                  <w:pPr>
                                    <w:spacing w:line="220" w:lineRule="exact"/>
                                    <w:rPr>
                                      <w:rFonts w:ascii="標楷體" w:eastAsia="標楷體" w:hAnsi="標楷體"/>
                                      <w:sz w:val="20"/>
                                    </w:rPr>
                                  </w:pPr>
                                </w:p>
                              </w:tc>
                            </w:tr>
                          </w:tbl>
                          <w:p w14:paraId="7904503A" w14:textId="77777777" w:rsidR="00A0212B" w:rsidRDefault="00A0212B" w:rsidP="00CF7E87">
                            <w:pPr>
                              <w:spacing w:line="200" w:lineRule="exact"/>
                              <w:ind w:leftChars="-50" w:left="-120"/>
                              <w:jc w:val="both"/>
                            </w:pPr>
                            <w:r w:rsidRPr="000208BF">
                              <w:rPr>
                                <w:rFonts w:ascii="標楷體" w:eastAsia="標楷體" w:hAnsi="標楷體" w:hint="eastAsia"/>
                                <w:sz w:val="18"/>
                                <w:szCs w:val="18"/>
                              </w:rPr>
                              <w:t>資料來源</w:t>
                            </w:r>
                            <w:r w:rsidRPr="000208BF">
                              <w:rPr>
                                <w:rFonts w:ascii="標楷體" w:eastAsia="標楷體" w:hAnsi="標楷體"/>
                                <w:sz w:val="18"/>
                                <w:szCs w:val="18"/>
                              </w:rPr>
                              <w:t>：</w:t>
                            </w:r>
                            <w:r>
                              <w:rPr>
                                <w:rFonts w:ascii="標楷體" w:eastAsia="標楷體" w:hAnsi="標楷體" w:hint="eastAsia"/>
                                <w:sz w:val="18"/>
                                <w:szCs w:val="18"/>
                              </w:rPr>
                              <w:t>整理自國家發展委員會</w:t>
                            </w:r>
                            <w:r>
                              <w:rPr>
                                <w:rFonts w:ascii="標楷體" w:eastAsia="標楷體" w:hAnsi="標楷體"/>
                                <w:sz w:val="18"/>
                                <w:szCs w:val="18"/>
                              </w:rPr>
                              <w:t>委辦協議書及桃園市政府提供資料</w:t>
                            </w:r>
                            <w:r>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B26350" id="文字方塊 17" o:spid="_x0000_s1098" type="#_x0000_t202" style="position:absolute;left:0;text-align:left;margin-left:.2pt;margin-top:221.6pt;width:502.2pt;height:273.5pt;z-index:251646976;visibility:visible;mso-wrap-style:square;mso-width-percent:0;mso-height-percent:0;mso-wrap-distance-left:9pt;mso-wrap-distance-top:5.65pt;mso-wrap-distance-right:9pt;mso-wrap-distance-bottom:5.6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" o:allowoverlap="f" fillcolor="window" stroked="f" strokeweight=".5pt">
                <v:textbox>
                  <w:txbxContent>
                    <w:p w14:paraId="6B774984" w14:textId="53AE5FC7" w:rsidR="00A0212B" w:rsidRPr="009D65DC" w:rsidRDefault="00A0212B" w:rsidP="004C3569">
                      <w:pPr>
                        <w:spacing w:afterLines="20" w:after="72" w:line="240" w:lineRule="exact"/>
                        <w:ind w:left="658" w:hangingChars="274" w:hanging="658"/>
                        <w:jc w:val="center"/>
                        <w:rPr>
                          <w:rFonts w:ascii="標楷體" w:eastAsia="標楷體" w:hAnsi="標楷體"/>
                          <w:b/>
                        </w:rPr>
                      </w:pPr>
                      <w:r w:rsidRPr="009D65DC">
                        <w:rPr>
                          <w:rFonts w:ascii="標楷體" w:eastAsia="標楷體" w:hAnsi="標楷體" w:hint="eastAsia"/>
                          <w:b/>
                        </w:rPr>
                        <w:t>表</w:t>
                      </w:r>
                      <w:r>
                        <w:rPr>
                          <w:rFonts w:ascii="標楷體" w:eastAsia="標楷體" w:hAnsi="標楷體"/>
                          <w:b/>
                        </w:rPr>
                        <w:t>33</w:t>
                      </w:r>
                      <w:r>
                        <w:rPr>
                          <w:rFonts w:ascii="標楷體" w:eastAsia="標楷體" w:hAnsi="標楷體" w:hint="eastAsia"/>
                          <w:b/>
                        </w:rPr>
                        <w:t xml:space="preserve">　</w:t>
                      </w:r>
                      <w:r w:rsidRPr="009D65DC">
                        <w:rPr>
                          <w:rFonts w:ascii="標楷體" w:eastAsia="標楷體" w:hAnsi="標楷體"/>
                          <w:b/>
                        </w:rPr>
                        <w:t>桃園市政府依</w:t>
                      </w:r>
                      <w:r>
                        <w:rPr>
                          <w:rFonts w:ascii="標楷體" w:eastAsia="標楷體" w:hAnsi="標楷體"/>
                          <w:b/>
                        </w:rPr>
                        <w:t>國家發展委員會</w:t>
                      </w:r>
                      <w:r>
                        <w:rPr>
                          <w:rFonts w:ascii="標楷體" w:eastAsia="標楷體" w:hAnsi="標楷體" w:hint="eastAsia"/>
                          <w:b/>
                        </w:rPr>
                        <w:t>第一期、第二期</w:t>
                      </w:r>
                      <w:r>
                        <w:rPr>
                          <w:rFonts w:ascii="標楷體" w:eastAsia="標楷體" w:hAnsi="標楷體"/>
                          <w:b/>
                        </w:rPr>
                        <w:t>委辦計畫</w:t>
                      </w:r>
                      <w:r w:rsidRPr="009D65DC">
                        <w:rPr>
                          <w:rFonts w:ascii="標楷體" w:eastAsia="標楷體" w:hAnsi="標楷體" w:hint="eastAsia"/>
                          <w:b/>
                        </w:rPr>
                        <w:t>委辦協議書辦理情形</w:t>
                      </w:r>
                    </w:p>
                    <w:tbl>
                      <w:tblPr>
                        <w:tblStyle w:val="afff"/>
                        <w:tblW w:w="9889" w:type="dxa"/>
                        <w:tblLook w:val="04A0" w:firstRow="1" w:lastRow="0" w:firstColumn="1" w:lastColumn="0" w:noHBand="0" w:noVBand="1"/>
                      </w:tblPr>
                      <w:tblGrid>
                        <w:gridCol w:w="1478"/>
                        <w:gridCol w:w="3450"/>
                        <w:gridCol w:w="1559"/>
                        <w:gridCol w:w="3402"/>
                      </w:tblGrid>
                      <w:tr w:rsidR="00A0212B" w:rsidRPr="00663459" w14:paraId="43C429B5" w14:textId="77777777" w:rsidTr="00095E64">
                        <w:tc>
                          <w:tcPr>
                            <w:tcW w:w="4928" w:type="dxa"/>
                            <w:gridSpan w:val="2"/>
                            <w:vAlign w:val="center"/>
                          </w:tcPr>
                          <w:p w14:paraId="5A4C4E0E" w14:textId="77777777" w:rsidR="00A0212B" w:rsidRDefault="00A0212B" w:rsidP="000554CC">
                            <w:pPr>
                              <w:spacing w:line="220" w:lineRule="exact"/>
                              <w:jc w:val="center"/>
                              <w:rPr>
                                <w:rFonts w:ascii="標楷體" w:eastAsia="標楷體" w:hAnsi="標楷體"/>
                                <w:sz w:val="20"/>
                              </w:rPr>
                            </w:pPr>
                            <w:r w:rsidRPr="00663459">
                              <w:rPr>
                                <w:rFonts w:ascii="標楷體" w:eastAsia="標楷體" w:hAnsi="標楷體" w:hint="eastAsia"/>
                                <w:sz w:val="20"/>
                              </w:rPr>
                              <w:t>亞洲．矽谷創新研發中心智慧運籌管理平臺</w:t>
                            </w:r>
                          </w:p>
                          <w:p w14:paraId="3C5B47BA" w14:textId="77777777" w:rsidR="00A0212B" w:rsidRPr="00663459" w:rsidRDefault="00A0212B" w:rsidP="000554CC">
                            <w:pPr>
                              <w:spacing w:line="220" w:lineRule="exact"/>
                              <w:jc w:val="center"/>
                              <w:rPr>
                                <w:rFonts w:ascii="標楷體" w:eastAsia="標楷體" w:hAnsi="標楷體"/>
                                <w:sz w:val="20"/>
                              </w:rPr>
                            </w:pPr>
                            <w:r w:rsidRPr="00DB17E5">
                              <w:rPr>
                                <w:rFonts w:ascii="標楷體" w:eastAsia="標楷體" w:hAnsi="標楷體" w:hint="eastAsia"/>
                                <w:sz w:val="20"/>
                              </w:rPr>
                              <w:t>（</w:t>
                            </w:r>
                            <w:r>
                              <w:rPr>
                                <w:rFonts w:ascii="標楷體" w:eastAsia="標楷體" w:hAnsi="標楷體" w:hint="eastAsia"/>
                                <w:sz w:val="20"/>
                              </w:rPr>
                              <w:t>第一期委辦計畫</w:t>
                            </w:r>
                            <w:r w:rsidRPr="00DB17E5">
                              <w:rPr>
                                <w:rFonts w:ascii="標楷體" w:eastAsia="標楷體" w:hAnsi="標楷體" w:hint="eastAsia"/>
                                <w:sz w:val="20"/>
                              </w:rPr>
                              <w:t>）</w:t>
                            </w:r>
                          </w:p>
                        </w:tc>
                        <w:tc>
                          <w:tcPr>
                            <w:tcW w:w="4961" w:type="dxa"/>
                            <w:gridSpan w:val="2"/>
                          </w:tcPr>
                          <w:p w14:paraId="14DB7FD7" w14:textId="79C527CD" w:rsidR="00A0212B" w:rsidRPr="00663459" w:rsidRDefault="00A0212B" w:rsidP="000554CC">
                            <w:pPr>
                              <w:spacing w:line="220" w:lineRule="exact"/>
                              <w:jc w:val="both"/>
                              <w:rPr>
                                <w:rFonts w:ascii="標楷體" w:eastAsia="標楷體" w:hAnsi="標楷體"/>
                                <w:sz w:val="20"/>
                              </w:rPr>
                            </w:pPr>
                            <w:r w:rsidRPr="00663459">
                              <w:rPr>
                                <w:rFonts w:ascii="標楷體" w:eastAsia="標楷體" w:hAnsi="標楷體" w:hint="eastAsia"/>
                                <w:sz w:val="20"/>
                              </w:rPr>
                              <w:t>完善亞洲．矽谷創新研發中心智慧運籌管理平臺（112</w:t>
                            </w:r>
                            <w:r w:rsidR="00CF7E87" w:rsidRPr="00CF7E87">
                              <w:rPr>
                                <w:rFonts w:ascii="標楷體" w:eastAsia="標楷體" w:hAnsi="標楷體" w:hint="eastAsia"/>
                                <w:sz w:val="20"/>
                              </w:rPr>
                              <w:t>－</w:t>
                            </w:r>
                            <w:r w:rsidRPr="00663459">
                              <w:rPr>
                                <w:rFonts w:ascii="標楷體" w:eastAsia="標楷體" w:hAnsi="標楷體" w:hint="eastAsia"/>
                                <w:sz w:val="20"/>
                              </w:rPr>
                              <w:t>113）計畫</w:t>
                            </w:r>
                            <w:r w:rsidRPr="00DB17E5">
                              <w:rPr>
                                <w:rFonts w:ascii="標楷體" w:eastAsia="標楷體" w:hAnsi="標楷體" w:hint="eastAsia"/>
                                <w:sz w:val="20"/>
                              </w:rPr>
                              <w:t>（</w:t>
                            </w:r>
                            <w:r>
                              <w:rPr>
                                <w:rFonts w:ascii="標楷體" w:eastAsia="標楷體" w:hAnsi="標楷體" w:hint="eastAsia"/>
                                <w:sz w:val="20"/>
                              </w:rPr>
                              <w:t>第二期委辦計畫</w:t>
                            </w:r>
                            <w:r w:rsidRPr="00DB17E5">
                              <w:rPr>
                                <w:rFonts w:ascii="標楷體" w:eastAsia="標楷體" w:hAnsi="標楷體" w:hint="eastAsia"/>
                                <w:sz w:val="20"/>
                              </w:rPr>
                              <w:t>）</w:t>
                            </w:r>
                          </w:p>
                        </w:tc>
                      </w:tr>
                      <w:tr w:rsidR="00A0212B" w:rsidRPr="00663459" w14:paraId="73A0DD39" w14:textId="77777777" w:rsidTr="00095E64">
                        <w:tc>
                          <w:tcPr>
                            <w:tcW w:w="1478" w:type="dxa"/>
                          </w:tcPr>
                          <w:p w14:paraId="5780CCFC" w14:textId="77777777" w:rsidR="00A0212B" w:rsidRDefault="00A0212B" w:rsidP="000554CC">
                            <w:pPr>
                              <w:spacing w:line="220" w:lineRule="exact"/>
                              <w:jc w:val="center"/>
                              <w:rPr>
                                <w:rFonts w:ascii="標楷體" w:eastAsia="標楷體" w:hAnsi="標楷體"/>
                                <w:sz w:val="20"/>
                              </w:rPr>
                            </w:pPr>
                            <w:r w:rsidRPr="00663459">
                              <w:rPr>
                                <w:rFonts w:ascii="標楷體" w:eastAsia="標楷體" w:hAnsi="標楷體" w:hint="eastAsia"/>
                                <w:sz w:val="20"/>
                              </w:rPr>
                              <w:t>委辦協議書</w:t>
                            </w:r>
                          </w:p>
                          <w:p w14:paraId="0344BD49" w14:textId="77777777" w:rsidR="00A0212B" w:rsidRPr="00663459" w:rsidRDefault="00A0212B" w:rsidP="000554CC">
                            <w:pPr>
                              <w:spacing w:line="220" w:lineRule="exact"/>
                              <w:jc w:val="center"/>
                              <w:rPr>
                                <w:rFonts w:ascii="標楷體" w:eastAsia="標楷體" w:hAnsi="標楷體"/>
                                <w:sz w:val="20"/>
                              </w:rPr>
                            </w:pPr>
                            <w:r>
                              <w:rPr>
                                <w:rFonts w:ascii="標楷體" w:eastAsia="標楷體" w:hAnsi="標楷體" w:hint="eastAsia"/>
                                <w:sz w:val="20"/>
                              </w:rPr>
                              <w:t>列委辦事項</w:t>
                            </w:r>
                          </w:p>
                        </w:tc>
                        <w:tc>
                          <w:tcPr>
                            <w:tcW w:w="3450" w:type="dxa"/>
                            <w:vAlign w:val="center"/>
                          </w:tcPr>
                          <w:p w14:paraId="7F1E55E9" w14:textId="77777777" w:rsidR="00A0212B" w:rsidRPr="00095E64" w:rsidRDefault="00A0212B" w:rsidP="000554CC">
                            <w:pPr>
                              <w:spacing w:line="220" w:lineRule="exact"/>
                              <w:jc w:val="center"/>
                              <w:rPr>
                                <w:rFonts w:ascii="標楷體" w:eastAsia="標楷體" w:hAnsi="標楷體"/>
                                <w:spacing w:val="-2"/>
                                <w:sz w:val="20"/>
                              </w:rPr>
                            </w:pPr>
                            <w:r w:rsidRPr="00095E64">
                              <w:rPr>
                                <w:rFonts w:ascii="標楷體" w:eastAsia="標楷體" w:hAnsi="標楷體" w:hint="eastAsia"/>
                                <w:spacing w:val="-2"/>
                                <w:sz w:val="20"/>
                              </w:rPr>
                              <w:t>截至1</w:t>
                            </w:r>
                            <w:r w:rsidRPr="00095E64">
                              <w:rPr>
                                <w:rFonts w:ascii="標楷體" w:eastAsia="標楷體" w:hAnsi="標楷體"/>
                                <w:spacing w:val="-2"/>
                                <w:sz w:val="20"/>
                              </w:rPr>
                              <w:t>13年4月底</w:t>
                            </w:r>
                            <w:r w:rsidRPr="00095E64">
                              <w:rPr>
                                <w:rFonts w:ascii="標楷體" w:eastAsia="標楷體" w:hAnsi="標楷體" w:hint="eastAsia"/>
                                <w:spacing w:val="-2"/>
                                <w:sz w:val="20"/>
                              </w:rPr>
                              <w:t>桃園市政府辦理情形</w:t>
                            </w:r>
                          </w:p>
                        </w:tc>
                        <w:tc>
                          <w:tcPr>
                            <w:tcW w:w="1559" w:type="dxa"/>
                          </w:tcPr>
                          <w:p w14:paraId="49D2B4EC" w14:textId="77777777" w:rsidR="00A0212B" w:rsidRDefault="00A0212B" w:rsidP="000554CC">
                            <w:pPr>
                              <w:spacing w:line="220" w:lineRule="exact"/>
                              <w:jc w:val="center"/>
                              <w:rPr>
                                <w:rFonts w:ascii="標楷體" w:eastAsia="標楷體" w:hAnsi="標楷體"/>
                                <w:sz w:val="20"/>
                              </w:rPr>
                            </w:pPr>
                            <w:r w:rsidRPr="00663459">
                              <w:rPr>
                                <w:rFonts w:ascii="標楷體" w:eastAsia="標楷體" w:hAnsi="標楷體" w:hint="eastAsia"/>
                                <w:sz w:val="20"/>
                              </w:rPr>
                              <w:t>委辦協議書</w:t>
                            </w:r>
                          </w:p>
                          <w:p w14:paraId="33739415" w14:textId="77777777" w:rsidR="00A0212B" w:rsidRPr="00663459" w:rsidRDefault="00A0212B" w:rsidP="000554CC">
                            <w:pPr>
                              <w:spacing w:line="220" w:lineRule="exact"/>
                              <w:jc w:val="center"/>
                              <w:rPr>
                                <w:rFonts w:ascii="標楷體" w:eastAsia="標楷體" w:hAnsi="標楷體"/>
                                <w:sz w:val="20"/>
                              </w:rPr>
                            </w:pPr>
                            <w:r>
                              <w:rPr>
                                <w:rFonts w:ascii="標楷體" w:eastAsia="標楷體" w:hAnsi="標楷體" w:hint="eastAsia"/>
                                <w:sz w:val="20"/>
                              </w:rPr>
                              <w:t>列</w:t>
                            </w:r>
                            <w:r>
                              <w:rPr>
                                <w:rFonts w:ascii="標楷體" w:eastAsia="標楷體" w:hAnsi="標楷體"/>
                                <w:sz w:val="20"/>
                              </w:rPr>
                              <w:t>委辦事項</w:t>
                            </w:r>
                          </w:p>
                        </w:tc>
                        <w:tc>
                          <w:tcPr>
                            <w:tcW w:w="3402" w:type="dxa"/>
                            <w:vAlign w:val="center"/>
                          </w:tcPr>
                          <w:p w14:paraId="7404B501" w14:textId="77777777" w:rsidR="00A0212B" w:rsidRPr="00095E64" w:rsidRDefault="00A0212B" w:rsidP="000554CC">
                            <w:pPr>
                              <w:spacing w:line="220" w:lineRule="exact"/>
                              <w:rPr>
                                <w:rFonts w:ascii="標楷體" w:eastAsia="標楷體" w:hAnsi="標楷體"/>
                                <w:spacing w:val="-4"/>
                                <w:sz w:val="20"/>
                              </w:rPr>
                            </w:pPr>
                            <w:r w:rsidRPr="00095E64">
                              <w:rPr>
                                <w:rFonts w:ascii="標楷體" w:eastAsia="標楷體" w:hAnsi="標楷體" w:hint="eastAsia"/>
                                <w:spacing w:val="-4"/>
                                <w:sz w:val="20"/>
                              </w:rPr>
                              <w:t>截至1</w:t>
                            </w:r>
                            <w:r w:rsidRPr="00095E64">
                              <w:rPr>
                                <w:rFonts w:ascii="標楷體" w:eastAsia="標楷體" w:hAnsi="標楷體"/>
                                <w:spacing w:val="-4"/>
                                <w:sz w:val="20"/>
                              </w:rPr>
                              <w:t>13年4月底</w:t>
                            </w:r>
                            <w:r w:rsidRPr="00095E64">
                              <w:rPr>
                                <w:rFonts w:ascii="標楷體" w:eastAsia="標楷體" w:hAnsi="標楷體" w:hint="eastAsia"/>
                                <w:spacing w:val="-4"/>
                                <w:sz w:val="20"/>
                              </w:rPr>
                              <w:t>桃園市政府辦理情形</w:t>
                            </w:r>
                          </w:p>
                        </w:tc>
                      </w:tr>
                      <w:tr w:rsidR="00A0212B" w:rsidRPr="00663459" w14:paraId="3A02529E" w14:textId="77777777" w:rsidTr="00095E64">
                        <w:trPr>
                          <w:trHeight w:val="1127"/>
                        </w:trPr>
                        <w:tc>
                          <w:tcPr>
                            <w:tcW w:w="1478" w:type="dxa"/>
                            <w:vAlign w:val="center"/>
                          </w:tcPr>
                          <w:p w14:paraId="7D53C944" w14:textId="77777777" w:rsidR="00A0212B" w:rsidRPr="00663459" w:rsidRDefault="00A0212B" w:rsidP="000554CC">
                            <w:pPr>
                              <w:spacing w:line="220" w:lineRule="exact"/>
                              <w:ind w:leftChars="-27" w:left="-65" w:rightChars="-33" w:right="-79"/>
                              <w:jc w:val="both"/>
                              <w:rPr>
                                <w:rFonts w:ascii="標楷體" w:eastAsia="標楷體" w:hAnsi="標楷體"/>
                                <w:sz w:val="20"/>
                              </w:rPr>
                            </w:pPr>
                            <w:r w:rsidRPr="00663459">
                              <w:rPr>
                                <w:rFonts w:ascii="標楷體" w:eastAsia="標楷體" w:hAnsi="標楷體" w:hint="eastAsia"/>
                                <w:sz w:val="20"/>
                              </w:rPr>
                              <w:t>IOC</w:t>
                            </w:r>
                            <w:r w:rsidRPr="00663459">
                              <w:rPr>
                                <w:rFonts w:ascii="標楷體" w:eastAsia="標楷體" w:hAnsi="標楷體"/>
                                <w:sz w:val="20"/>
                              </w:rPr>
                              <w:t>及</w:t>
                            </w:r>
                            <w:r w:rsidRPr="00663459">
                              <w:rPr>
                                <w:rFonts w:ascii="標楷體" w:eastAsia="標楷體" w:hAnsi="標楷體" w:hint="eastAsia"/>
                                <w:sz w:val="20"/>
                              </w:rPr>
                              <w:t>IDC</w:t>
                            </w:r>
                            <w:r w:rsidRPr="00663459">
                              <w:rPr>
                                <w:rFonts w:ascii="標楷體" w:eastAsia="標楷體" w:hAnsi="標楷體"/>
                                <w:sz w:val="20"/>
                              </w:rPr>
                              <w:t>之建置及</w:t>
                            </w:r>
                            <w:r w:rsidRPr="00663459">
                              <w:rPr>
                                <w:rFonts w:ascii="標楷體" w:eastAsia="標楷體" w:hAnsi="標楷體" w:hint="eastAsia"/>
                                <w:sz w:val="20"/>
                              </w:rPr>
                              <w:t>營運規劃</w:t>
                            </w:r>
                          </w:p>
                        </w:tc>
                        <w:tc>
                          <w:tcPr>
                            <w:tcW w:w="3450" w:type="dxa"/>
                          </w:tcPr>
                          <w:p w14:paraId="125D35C2" w14:textId="77777777" w:rsidR="00A0212B" w:rsidRPr="000554CC" w:rsidRDefault="00A0212B" w:rsidP="000554CC">
                            <w:pPr>
                              <w:spacing w:line="220" w:lineRule="exact"/>
                              <w:ind w:leftChars="-27" w:left="-65" w:rightChars="-33" w:right="-79"/>
                              <w:jc w:val="both"/>
                              <w:rPr>
                                <w:rFonts w:ascii="標楷體" w:eastAsia="標楷體" w:hAnsi="標楷體"/>
                                <w:spacing w:val="4"/>
                                <w:sz w:val="20"/>
                              </w:rPr>
                            </w:pPr>
                            <w:r w:rsidRPr="000554CC">
                              <w:rPr>
                                <w:rFonts w:ascii="標楷體" w:eastAsia="標楷體" w:hAnsi="標楷體" w:hint="eastAsia"/>
                                <w:spacing w:val="4"/>
                                <w:sz w:val="20"/>
                              </w:rPr>
                              <w:t>由於</w:t>
                            </w:r>
                            <w:r w:rsidRPr="000554CC">
                              <w:rPr>
                                <w:rFonts w:ascii="標楷體" w:eastAsia="標楷體" w:hAnsi="標楷體"/>
                                <w:spacing w:val="4"/>
                                <w:sz w:val="20"/>
                              </w:rPr>
                              <w:t>亞矽創研中心</w:t>
                            </w:r>
                            <w:r w:rsidRPr="000554CC">
                              <w:rPr>
                                <w:rFonts w:ascii="標楷體" w:eastAsia="標楷體" w:hAnsi="標楷體" w:hint="eastAsia"/>
                                <w:spacing w:val="4"/>
                                <w:sz w:val="20"/>
                              </w:rPr>
                              <w:t>因財務風險高等因素動工時程延宕，尚無法依原提案計畫規劃於該中心主體建物內布建I</w:t>
                            </w:r>
                            <w:r w:rsidRPr="000554CC">
                              <w:rPr>
                                <w:rFonts w:ascii="標楷體" w:eastAsia="標楷體" w:hAnsi="標楷體"/>
                                <w:spacing w:val="4"/>
                                <w:sz w:val="20"/>
                              </w:rPr>
                              <w:t>DC</w:t>
                            </w:r>
                            <w:r w:rsidRPr="000554CC">
                              <w:rPr>
                                <w:rFonts w:ascii="標楷體" w:eastAsia="標楷體" w:hAnsi="標楷體" w:hint="eastAsia"/>
                                <w:spacing w:val="4"/>
                                <w:sz w:val="20"/>
                              </w:rPr>
                              <w:t>硬體環境，爰桃園市政府係委外完成I</w:t>
                            </w:r>
                            <w:r w:rsidRPr="000554CC">
                              <w:rPr>
                                <w:rFonts w:ascii="標楷體" w:eastAsia="標楷體" w:hAnsi="標楷體"/>
                                <w:spacing w:val="4"/>
                                <w:sz w:val="20"/>
                              </w:rPr>
                              <w:t>OC</w:t>
                            </w:r>
                            <w:r w:rsidRPr="000554CC">
                              <w:rPr>
                                <w:rFonts w:ascii="標楷體" w:eastAsia="標楷體" w:hAnsi="標楷體" w:hint="eastAsia"/>
                                <w:spacing w:val="4"/>
                                <w:sz w:val="20"/>
                              </w:rPr>
                              <w:t>、IDC之先期規劃，並採雲端設備租用方式，完成智慧運籌</w:t>
                            </w:r>
                            <w:r w:rsidRPr="000554CC">
                              <w:rPr>
                                <w:rFonts w:ascii="標楷體" w:eastAsia="標楷體" w:hAnsi="標楷體"/>
                                <w:spacing w:val="4"/>
                                <w:sz w:val="20"/>
                              </w:rPr>
                              <w:t>示範平</w:t>
                            </w:r>
                            <w:r w:rsidRPr="000554CC">
                              <w:rPr>
                                <w:rFonts w:ascii="標楷體" w:eastAsia="標楷體" w:hAnsi="標楷體" w:hint="eastAsia"/>
                                <w:spacing w:val="4"/>
                                <w:sz w:val="20"/>
                              </w:rPr>
                              <w:t>臺</w:t>
                            </w:r>
                            <w:r w:rsidRPr="000554CC">
                              <w:rPr>
                                <w:rFonts w:ascii="標楷體" w:eastAsia="標楷體" w:hAnsi="標楷體"/>
                                <w:spacing w:val="4"/>
                                <w:sz w:val="20"/>
                              </w:rPr>
                              <w:t>功能開發</w:t>
                            </w:r>
                            <w:r w:rsidRPr="000554CC">
                              <w:rPr>
                                <w:rFonts w:ascii="標楷體" w:eastAsia="標楷體" w:hAnsi="標楷體" w:hint="eastAsia"/>
                                <w:spacing w:val="4"/>
                                <w:sz w:val="20"/>
                              </w:rPr>
                              <w:t>及實證串接。</w:t>
                            </w:r>
                          </w:p>
                        </w:tc>
                        <w:tc>
                          <w:tcPr>
                            <w:tcW w:w="1559" w:type="dxa"/>
                            <w:vAlign w:val="center"/>
                          </w:tcPr>
                          <w:p w14:paraId="1CE4174A" w14:textId="77777777" w:rsidR="00A0212B" w:rsidRPr="00663459" w:rsidRDefault="00A0212B" w:rsidP="000554CC">
                            <w:pPr>
                              <w:spacing w:line="220" w:lineRule="exact"/>
                              <w:ind w:leftChars="-27" w:left="-65" w:rightChars="-33" w:right="-79"/>
                              <w:jc w:val="both"/>
                              <w:rPr>
                                <w:rFonts w:ascii="標楷體" w:eastAsia="標楷體" w:hAnsi="標楷體"/>
                                <w:sz w:val="20"/>
                              </w:rPr>
                            </w:pPr>
                            <w:r>
                              <w:rPr>
                                <w:rFonts w:ascii="標楷體" w:eastAsia="標楷體" w:hAnsi="標楷體" w:hint="eastAsia"/>
                                <w:sz w:val="20"/>
                              </w:rPr>
                              <w:t>提出IOC</w:t>
                            </w:r>
                            <w:r>
                              <w:rPr>
                                <w:rFonts w:ascii="標楷體" w:eastAsia="標楷體" w:hAnsi="標楷體"/>
                                <w:sz w:val="20"/>
                              </w:rPr>
                              <w:t>及</w:t>
                            </w:r>
                            <w:r>
                              <w:rPr>
                                <w:rFonts w:ascii="標楷體" w:eastAsia="標楷體" w:hAnsi="標楷體" w:hint="eastAsia"/>
                                <w:sz w:val="20"/>
                              </w:rPr>
                              <w:t>IDC</w:t>
                            </w:r>
                            <w:r>
                              <w:rPr>
                                <w:rFonts w:ascii="標楷體" w:eastAsia="標楷體" w:hAnsi="標楷體"/>
                                <w:sz w:val="20"/>
                              </w:rPr>
                              <w:t>進駐亞矽創研中心</w:t>
                            </w:r>
                            <w:r>
                              <w:rPr>
                                <w:rFonts w:ascii="標楷體" w:eastAsia="標楷體" w:hAnsi="標楷體" w:hint="eastAsia"/>
                                <w:sz w:val="20"/>
                              </w:rPr>
                              <w:t>規劃</w:t>
                            </w:r>
                          </w:p>
                        </w:tc>
                        <w:tc>
                          <w:tcPr>
                            <w:tcW w:w="3402" w:type="dxa"/>
                            <w:vMerge w:val="restart"/>
                          </w:tcPr>
                          <w:p w14:paraId="755E341E" w14:textId="77777777" w:rsidR="00A0212B" w:rsidRPr="00663459" w:rsidRDefault="00A0212B" w:rsidP="000554CC">
                            <w:pPr>
                              <w:spacing w:line="240" w:lineRule="exact"/>
                              <w:ind w:leftChars="-27" w:left="-65" w:rightChars="-33" w:right="-79"/>
                              <w:jc w:val="both"/>
                              <w:rPr>
                                <w:rFonts w:ascii="標楷體" w:eastAsia="標楷體" w:hAnsi="標楷體"/>
                                <w:sz w:val="20"/>
                              </w:rPr>
                            </w:pPr>
                            <w:r w:rsidRPr="00663459">
                              <w:rPr>
                                <w:rFonts w:ascii="標楷體" w:eastAsia="標楷體" w:hAnsi="標楷體" w:hint="eastAsia"/>
                                <w:sz w:val="20"/>
                              </w:rPr>
                              <w:t>桃園市政府於112年10月31日確認各委辦工作項目主責單位，及依據112年12月18</w:t>
                            </w:r>
                            <w:r>
                              <w:rPr>
                                <w:rFonts w:ascii="標楷體" w:eastAsia="標楷體" w:hAnsi="標楷體" w:hint="eastAsia"/>
                                <w:sz w:val="20"/>
                              </w:rPr>
                              <w:t>日國家發展委員會</w:t>
                            </w:r>
                            <w:r w:rsidRPr="00663459">
                              <w:rPr>
                                <w:rFonts w:ascii="標楷體" w:eastAsia="標楷體" w:hAnsi="標楷體" w:hint="eastAsia"/>
                                <w:sz w:val="20"/>
                              </w:rPr>
                              <w:t>與桃園市政府溝通會議結論，確定IOC及IDC將改設置於亞矽創研中心一期工程已興建完成之既有建物亞洲．矽谷物聯網展廳後，該府為執行第二期委辦計畫</w:t>
                            </w:r>
                            <w:r>
                              <w:rPr>
                                <w:rFonts w:ascii="標楷體" w:eastAsia="標楷體" w:hAnsi="標楷體" w:hint="eastAsia"/>
                                <w:sz w:val="20"/>
                              </w:rPr>
                              <w:t>，辦理建置IDC設備環境、</w:t>
                            </w:r>
                            <w:r w:rsidRPr="00FF69C0">
                              <w:rPr>
                                <w:rFonts w:ascii="標楷體" w:eastAsia="標楷體" w:hAnsi="標楷體" w:hint="eastAsia"/>
                                <w:sz w:val="20"/>
                              </w:rPr>
                              <w:t>建構IOC</w:t>
                            </w:r>
                            <w:r>
                              <w:rPr>
                                <w:rFonts w:ascii="標楷體" w:eastAsia="標楷體" w:hAnsi="標楷體" w:hint="eastAsia"/>
                                <w:sz w:val="20"/>
                              </w:rPr>
                              <w:t>平臺、推動</w:t>
                            </w:r>
                            <w:r w:rsidRPr="00FF69C0">
                              <w:rPr>
                                <w:rFonts w:ascii="標楷體" w:eastAsia="標楷體" w:hAnsi="標楷體" w:hint="eastAsia"/>
                                <w:sz w:val="20"/>
                              </w:rPr>
                              <w:t>AI號誌控制</w:t>
                            </w:r>
                            <w:r>
                              <w:rPr>
                                <w:rFonts w:ascii="標楷體" w:eastAsia="標楷體" w:hAnsi="標楷體" w:hint="eastAsia"/>
                                <w:sz w:val="20"/>
                              </w:rPr>
                              <w:t>交通應用相關</w:t>
                            </w:r>
                            <w:r w:rsidRPr="00663459">
                              <w:rPr>
                                <w:rFonts w:ascii="標楷體" w:eastAsia="標楷體" w:hAnsi="標楷體" w:hint="eastAsia"/>
                                <w:sz w:val="20"/>
                              </w:rPr>
                              <w:t>4項採購案分別於113年1月至4月間決標</w:t>
                            </w:r>
                            <w:r>
                              <w:rPr>
                                <w:rFonts w:ascii="標楷體" w:eastAsia="標楷體" w:hAnsi="標楷體" w:hint="eastAsia"/>
                                <w:sz w:val="20"/>
                              </w:rPr>
                              <w:t>。</w:t>
                            </w:r>
                          </w:p>
                        </w:tc>
                      </w:tr>
                      <w:tr w:rsidR="00A0212B" w:rsidRPr="00663459" w14:paraId="16C42408" w14:textId="77777777" w:rsidTr="00095E64">
                        <w:tc>
                          <w:tcPr>
                            <w:tcW w:w="1478" w:type="dxa"/>
                            <w:vAlign w:val="center"/>
                          </w:tcPr>
                          <w:p w14:paraId="06284AA6" w14:textId="77777777" w:rsidR="00A0212B" w:rsidRPr="00663459" w:rsidRDefault="00A0212B" w:rsidP="000554CC">
                            <w:pPr>
                              <w:spacing w:line="220" w:lineRule="exact"/>
                              <w:ind w:leftChars="-27" w:left="-65" w:rightChars="-33" w:right="-79"/>
                              <w:jc w:val="both"/>
                              <w:rPr>
                                <w:rFonts w:ascii="標楷體" w:eastAsia="標楷體" w:hAnsi="標楷體"/>
                                <w:sz w:val="20"/>
                              </w:rPr>
                            </w:pPr>
                            <w:r w:rsidRPr="00663459">
                              <w:rPr>
                                <w:rFonts w:ascii="標楷體" w:eastAsia="標楷體" w:hAnsi="標楷體" w:hint="eastAsia"/>
                                <w:sz w:val="20"/>
                              </w:rPr>
                              <w:t>大數據</w:t>
                            </w:r>
                            <w:r w:rsidRPr="00663459">
                              <w:rPr>
                                <w:rFonts w:ascii="標楷體" w:eastAsia="標楷體" w:hAnsi="標楷體"/>
                                <w:sz w:val="20"/>
                              </w:rPr>
                              <w:t>平臺資料串接服務與驗證</w:t>
                            </w:r>
                          </w:p>
                        </w:tc>
                        <w:tc>
                          <w:tcPr>
                            <w:tcW w:w="3450" w:type="dxa"/>
                          </w:tcPr>
                          <w:p w14:paraId="52C46E36" w14:textId="77777777" w:rsidR="00A0212B" w:rsidRPr="00095E64" w:rsidRDefault="00A0212B" w:rsidP="000554CC">
                            <w:pPr>
                              <w:spacing w:line="220" w:lineRule="exact"/>
                              <w:ind w:leftChars="-27" w:left="-65" w:rightChars="-33" w:right="-79"/>
                              <w:jc w:val="both"/>
                              <w:rPr>
                                <w:rFonts w:ascii="標楷體" w:eastAsia="標楷體" w:hAnsi="標楷體"/>
                                <w:spacing w:val="-2"/>
                                <w:sz w:val="20"/>
                              </w:rPr>
                            </w:pPr>
                            <w:r w:rsidRPr="00095E64">
                              <w:rPr>
                                <w:rFonts w:ascii="標楷體" w:eastAsia="標楷體" w:hAnsi="標楷體" w:hint="eastAsia"/>
                                <w:spacing w:val="-2"/>
                                <w:sz w:val="20"/>
                              </w:rPr>
                              <w:t>辦理市政資料治理暨大數據分析平臺等4個桃園市政府既有大數據相關平臺之系統功能（架構）調整及資料維護擴充。</w:t>
                            </w:r>
                          </w:p>
                        </w:tc>
                        <w:tc>
                          <w:tcPr>
                            <w:tcW w:w="1559" w:type="dxa"/>
                            <w:vAlign w:val="center"/>
                          </w:tcPr>
                          <w:p w14:paraId="54C4F864" w14:textId="77777777" w:rsidR="00A0212B" w:rsidRPr="00095E64" w:rsidRDefault="00A0212B" w:rsidP="000554CC">
                            <w:pPr>
                              <w:spacing w:line="220" w:lineRule="exact"/>
                              <w:ind w:leftChars="-27" w:left="-65" w:rightChars="-33" w:right="-79"/>
                              <w:jc w:val="both"/>
                              <w:rPr>
                                <w:rFonts w:ascii="標楷體" w:eastAsia="標楷體" w:hAnsi="標楷體"/>
                                <w:sz w:val="20"/>
                              </w:rPr>
                            </w:pPr>
                            <w:r w:rsidRPr="00095E64">
                              <w:rPr>
                                <w:rFonts w:ascii="標楷體" w:eastAsia="標楷體" w:hAnsi="標楷體" w:hint="eastAsia"/>
                                <w:sz w:val="20"/>
                              </w:rPr>
                              <w:t>強化IOC</w:t>
                            </w:r>
                            <w:r w:rsidRPr="00095E64">
                              <w:rPr>
                                <w:rFonts w:ascii="標楷體" w:eastAsia="標楷體" w:hAnsi="標楷體"/>
                                <w:sz w:val="20"/>
                              </w:rPr>
                              <w:t>即時資料收集及</w:t>
                            </w:r>
                            <w:r w:rsidRPr="00095E64">
                              <w:rPr>
                                <w:rFonts w:ascii="標楷體" w:eastAsia="標楷體" w:hAnsi="標楷體" w:hint="eastAsia"/>
                                <w:sz w:val="20"/>
                              </w:rPr>
                              <w:t>介接</w:t>
                            </w:r>
                            <w:r w:rsidRPr="00095E64">
                              <w:rPr>
                                <w:rFonts w:ascii="標楷體" w:eastAsia="標楷體" w:hAnsi="標楷體"/>
                                <w:sz w:val="20"/>
                              </w:rPr>
                              <w:t>功能</w:t>
                            </w:r>
                          </w:p>
                        </w:tc>
                        <w:tc>
                          <w:tcPr>
                            <w:tcW w:w="3402" w:type="dxa"/>
                            <w:vMerge/>
                          </w:tcPr>
                          <w:p w14:paraId="2379E7F3" w14:textId="77777777" w:rsidR="00A0212B" w:rsidRPr="00663459" w:rsidRDefault="00A0212B" w:rsidP="000554CC">
                            <w:pPr>
                              <w:spacing w:line="220" w:lineRule="exact"/>
                              <w:jc w:val="both"/>
                              <w:rPr>
                                <w:rFonts w:ascii="標楷體" w:eastAsia="標楷體" w:hAnsi="標楷體"/>
                                <w:sz w:val="20"/>
                              </w:rPr>
                            </w:pPr>
                          </w:p>
                        </w:tc>
                      </w:tr>
                      <w:tr w:rsidR="00A0212B" w:rsidRPr="00663459" w14:paraId="3B215784" w14:textId="77777777" w:rsidTr="00095E64">
                        <w:tc>
                          <w:tcPr>
                            <w:tcW w:w="1478" w:type="dxa"/>
                            <w:tcBorders>
                              <w:bottom w:val="single" w:sz="4" w:space="0" w:color="auto"/>
                            </w:tcBorders>
                            <w:vAlign w:val="center"/>
                          </w:tcPr>
                          <w:p w14:paraId="7DA6F6B5" w14:textId="77777777" w:rsidR="00A0212B" w:rsidRPr="001D0878" w:rsidRDefault="00A0212B" w:rsidP="000554CC">
                            <w:pPr>
                              <w:spacing w:line="220" w:lineRule="exact"/>
                              <w:ind w:leftChars="-27" w:left="-65" w:rightChars="-33" w:right="-79"/>
                              <w:jc w:val="both"/>
                              <w:rPr>
                                <w:rFonts w:ascii="標楷體" w:eastAsia="標楷體" w:hAnsi="標楷體"/>
                                <w:spacing w:val="-4"/>
                                <w:sz w:val="20"/>
                              </w:rPr>
                            </w:pPr>
                            <w:r w:rsidRPr="001D0878">
                              <w:rPr>
                                <w:rFonts w:ascii="標楷體" w:eastAsia="標楷體" w:hAnsi="標楷體"/>
                                <w:spacing w:val="-4"/>
                                <w:sz w:val="20"/>
                              </w:rPr>
                              <w:t>5G示範應用服務</w:t>
                            </w:r>
                          </w:p>
                        </w:tc>
                        <w:tc>
                          <w:tcPr>
                            <w:tcW w:w="3450" w:type="dxa"/>
                            <w:tcBorders>
                              <w:bottom w:val="single" w:sz="4" w:space="0" w:color="auto"/>
                            </w:tcBorders>
                          </w:tcPr>
                          <w:p w14:paraId="0953799D" w14:textId="77777777" w:rsidR="00A0212B" w:rsidRPr="00663459" w:rsidRDefault="00A0212B" w:rsidP="000554CC">
                            <w:pPr>
                              <w:spacing w:line="220" w:lineRule="exact"/>
                              <w:ind w:leftChars="-27" w:left="-65" w:rightChars="-33" w:right="-79"/>
                              <w:jc w:val="both"/>
                              <w:rPr>
                                <w:rFonts w:ascii="標楷體" w:eastAsia="標楷體" w:hAnsi="標楷體"/>
                                <w:sz w:val="20"/>
                              </w:rPr>
                            </w:pPr>
                            <w:r w:rsidRPr="00663459">
                              <w:rPr>
                                <w:rFonts w:ascii="標楷體" w:eastAsia="標楷體" w:hAnsi="標楷體" w:hint="eastAsia"/>
                                <w:sz w:val="20"/>
                              </w:rPr>
                              <w:t>推動擴大AI號誌控制範圍、建置大客車盲區內輪差主動警示系統、維護租賃停車資訊導引系統相關設備等3項交通應用服務</w:t>
                            </w:r>
                            <w:r>
                              <w:rPr>
                                <w:rFonts w:ascii="標楷體" w:eastAsia="標楷體" w:hAnsi="標楷體" w:hint="eastAsia"/>
                                <w:sz w:val="20"/>
                              </w:rPr>
                              <w:t>。</w:t>
                            </w:r>
                          </w:p>
                        </w:tc>
                        <w:tc>
                          <w:tcPr>
                            <w:tcW w:w="1559" w:type="dxa"/>
                            <w:vAlign w:val="center"/>
                          </w:tcPr>
                          <w:p w14:paraId="626D3940" w14:textId="77777777" w:rsidR="00A0212B" w:rsidRPr="00663459" w:rsidRDefault="00A0212B" w:rsidP="000554CC">
                            <w:pPr>
                              <w:spacing w:line="220" w:lineRule="exact"/>
                              <w:ind w:leftChars="-27" w:left="-65" w:rightChars="-33" w:right="-79"/>
                              <w:jc w:val="both"/>
                              <w:rPr>
                                <w:rFonts w:ascii="標楷體" w:eastAsia="標楷體" w:hAnsi="標楷體"/>
                                <w:sz w:val="20"/>
                              </w:rPr>
                            </w:pPr>
                            <w:r>
                              <w:rPr>
                                <w:rFonts w:ascii="標楷體" w:eastAsia="標楷體" w:hAnsi="標楷體" w:hint="eastAsia"/>
                                <w:sz w:val="20"/>
                              </w:rPr>
                              <w:t>5G</w:t>
                            </w:r>
                            <w:r>
                              <w:rPr>
                                <w:rFonts w:ascii="標楷體" w:eastAsia="標楷體" w:hAnsi="標楷體"/>
                                <w:sz w:val="20"/>
                              </w:rPr>
                              <w:t>智慧交通示範案由點至面擴散應用</w:t>
                            </w:r>
                          </w:p>
                        </w:tc>
                        <w:tc>
                          <w:tcPr>
                            <w:tcW w:w="3402" w:type="dxa"/>
                            <w:vMerge/>
                          </w:tcPr>
                          <w:p w14:paraId="133A3574" w14:textId="77777777" w:rsidR="00A0212B" w:rsidRPr="00663459" w:rsidRDefault="00A0212B" w:rsidP="000554CC">
                            <w:pPr>
                              <w:spacing w:line="220" w:lineRule="exact"/>
                              <w:jc w:val="both"/>
                              <w:rPr>
                                <w:rFonts w:ascii="標楷體" w:eastAsia="標楷體" w:hAnsi="標楷體"/>
                                <w:sz w:val="20"/>
                              </w:rPr>
                            </w:pPr>
                          </w:p>
                        </w:tc>
                      </w:tr>
                      <w:tr w:rsidR="00A0212B" w:rsidRPr="00663459" w14:paraId="12AFB01F" w14:textId="77777777" w:rsidTr="00095E64">
                        <w:trPr>
                          <w:trHeight w:val="714"/>
                        </w:trPr>
                        <w:tc>
                          <w:tcPr>
                            <w:tcW w:w="4928" w:type="dxa"/>
                            <w:gridSpan w:val="2"/>
                            <w:tcBorders>
                              <w:tl2br w:val="single" w:sz="4" w:space="0" w:color="auto"/>
                            </w:tcBorders>
                          </w:tcPr>
                          <w:p w14:paraId="09273B86" w14:textId="77777777" w:rsidR="00A0212B" w:rsidRPr="00663459" w:rsidRDefault="00A0212B" w:rsidP="000554CC">
                            <w:pPr>
                              <w:spacing w:line="220" w:lineRule="exact"/>
                              <w:rPr>
                                <w:rFonts w:ascii="標楷體" w:eastAsia="標楷體" w:hAnsi="標楷體"/>
                                <w:sz w:val="20"/>
                              </w:rPr>
                            </w:pPr>
                          </w:p>
                        </w:tc>
                        <w:tc>
                          <w:tcPr>
                            <w:tcW w:w="1559" w:type="dxa"/>
                            <w:vAlign w:val="center"/>
                          </w:tcPr>
                          <w:p w14:paraId="41232B9E" w14:textId="77777777" w:rsidR="00A0212B" w:rsidRPr="00663459" w:rsidRDefault="00A0212B" w:rsidP="000554CC">
                            <w:pPr>
                              <w:spacing w:line="220" w:lineRule="exact"/>
                              <w:ind w:leftChars="-27" w:left="-65" w:rightChars="-33" w:right="-79"/>
                              <w:jc w:val="both"/>
                              <w:rPr>
                                <w:rFonts w:ascii="標楷體" w:eastAsia="標楷體" w:hAnsi="標楷體"/>
                                <w:sz w:val="20"/>
                              </w:rPr>
                            </w:pPr>
                            <w:r>
                              <w:rPr>
                                <w:rFonts w:ascii="標楷體" w:eastAsia="標楷體" w:hAnsi="標楷體"/>
                                <w:sz w:val="20"/>
                              </w:rPr>
                              <w:t>參加</w:t>
                            </w:r>
                            <w:r>
                              <w:rPr>
                                <w:rFonts w:ascii="標楷體" w:eastAsia="標楷體" w:hAnsi="標楷體" w:hint="eastAsia"/>
                                <w:sz w:val="20"/>
                              </w:rPr>
                              <w:t>113</w:t>
                            </w:r>
                            <w:r>
                              <w:rPr>
                                <w:rFonts w:ascii="標楷體" w:eastAsia="標楷體" w:hAnsi="標楷體"/>
                                <w:sz w:val="20"/>
                              </w:rPr>
                              <w:t>年「</w:t>
                            </w:r>
                            <w:r>
                              <w:rPr>
                                <w:rFonts w:ascii="標楷體" w:eastAsia="標楷體" w:hAnsi="標楷體" w:hint="eastAsia"/>
                                <w:sz w:val="20"/>
                              </w:rPr>
                              <w:t>智慧</w:t>
                            </w:r>
                            <w:r>
                              <w:rPr>
                                <w:rFonts w:ascii="標楷體" w:eastAsia="標楷體" w:hAnsi="標楷體"/>
                                <w:sz w:val="20"/>
                              </w:rPr>
                              <w:t>城市論壇暨展覽」</w:t>
                            </w:r>
                            <w:r>
                              <w:rPr>
                                <w:rFonts w:ascii="標楷體" w:eastAsia="標楷體" w:hAnsi="標楷體" w:hint="eastAsia"/>
                                <w:sz w:val="20"/>
                              </w:rPr>
                              <w:t>展示成果</w:t>
                            </w:r>
                          </w:p>
                        </w:tc>
                        <w:tc>
                          <w:tcPr>
                            <w:tcW w:w="3402" w:type="dxa"/>
                            <w:vMerge/>
                          </w:tcPr>
                          <w:p w14:paraId="7D4D1F1E" w14:textId="77777777" w:rsidR="00A0212B" w:rsidRPr="00663459" w:rsidRDefault="00A0212B" w:rsidP="000554CC">
                            <w:pPr>
                              <w:spacing w:line="220" w:lineRule="exact"/>
                              <w:rPr>
                                <w:rFonts w:ascii="標楷體" w:eastAsia="標楷體" w:hAnsi="標楷體"/>
                                <w:sz w:val="20"/>
                              </w:rPr>
                            </w:pPr>
                          </w:p>
                        </w:tc>
                      </w:tr>
                    </w:tbl>
                    <w:p w14:paraId="7904503A" w14:textId="77777777" w:rsidR="00A0212B" w:rsidRDefault="00A0212B" w:rsidP="00CF7E87">
                      <w:pPr>
                        <w:spacing w:line="200" w:lineRule="exact"/>
                        <w:ind w:leftChars="-50" w:left="-120"/>
                        <w:jc w:val="both"/>
                      </w:pPr>
                      <w:r w:rsidRPr="000208BF">
                        <w:rPr>
                          <w:rFonts w:ascii="標楷體" w:eastAsia="標楷體" w:hAnsi="標楷體" w:hint="eastAsia"/>
                          <w:sz w:val="18"/>
                          <w:szCs w:val="18"/>
                        </w:rPr>
                        <w:t>資料來源</w:t>
                      </w:r>
                      <w:r w:rsidRPr="000208BF">
                        <w:rPr>
                          <w:rFonts w:ascii="標楷體" w:eastAsia="標楷體" w:hAnsi="標楷體"/>
                          <w:sz w:val="18"/>
                          <w:szCs w:val="18"/>
                        </w:rPr>
                        <w:t>：</w:t>
                      </w:r>
                      <w:r>
                        <w:rPr>
                          <w:rFonts w:ascii="標楷體" w:eastAsia="標楷體" w:hAnsi="標楷體" w:hint="eastAsia"/>
                          <w:sz w:val="18"/>
                          <w:szCs w:val="18"/>
                        </w:rPr>
                        <w:t>整理自國家發展委員會</w:t>
                      </w:r>
                      <w:r>
                        <w:rPr>
                          <w:rFonts w:ascii="標楷體" w:eastAsia="標楷體" w:hAnsi="標楷體"/>
                          <w:sz w:val="18"/>
                          <w:szCs w:val="18"/>
                        </w:rPr>
                        <w:t>委辦協議書及桃園市政府提供資料</w:t>
                      </w:r>
                      <w:r>
                        <w:rPr>
                          <w:rFonts w:ascii="標楷體" w:eastAsia="標楷體" w:hAnsi="標楷體" w:hint="eastAsia"/>
                          <w:sz w:val="18"/>
                          <w:szCs w:val="18"/>
                        </w:rPr>
                        <w:t>。</w:t>
                      </w:r>
                    </w:p>
                  </w:txbxContent>
                </v:textbox>
                <w10:wrap type="square" anchorx="margin" anchory="margin"/>
              </v:shape>
            </w:pict>
          </mc:Fallback>
        </mc:AlternateContent>
      </w:r>
      <w:r w:rsidRPr="000554CC">
        <w:rPr>
          <w:rFonts w:hAnsi="標楷體" w:hint="eastAsia"/>
          <w:sz w:val="24"/>
          <w:szCs w:val="24"/>
          <w:lang w:val="x-none"/>
        </w:rPr>
        <w:t>為基礎，簽訂委辦協議書委託該府辦理有關工作項目</w:t>
      </w:r>
      <w:r w:rsidRPr="000554CC">
        <w:rPr>
          <w:rFonts w:hAnsi="標楷體" w:hint="eastAsia"/>
          <w:sz w:val="24"/>
          <w:szCs w:val="24"/>
        </w:rPr>
        <w:t>（</w:t>
      </w:r>
      <w:r w:rsidRPr="006678C5">
        <w:rPr>
          <w:rFonts w:hAnsi="標楷體" w:hint="eastAsia"/>
          <w:color w:val="000000" w:themeColor="text1"/>
          <w:sz w:val="24"/>
          <w:szCs w:val="24"/>
        </w:rPr>
        <w:t>表</w:t>
      </w:r>
      <w:r w:rsidR="00CB4EFC" w:rsidRPr="006678C5">
        <w:rPr>
          <w:rFonts w:hAnsi="標楷體" w:hint="eastAsia"/>
          <w:color w:val="000000" w:themeColor="text1"/>
          <w:sz w:val="24"/>
          <w:szCs w:val="24"/>
        </w:rPr>
        <w:t>3</w:t>
      </w:r>
      <w:r w:rsidR="005E3F3E" w:rsidRPr="006678C5">
        <w:rPr>
          <w:rFonts w:hAnsi="標楷體" w:hint="eastAsia"/>
          <w:color w:val="000000" w:themeColor="text1"/>
          <w:sz w:val="24"/>
          <w:szCs w:val="24"/>
        </w:rPr>
        <w:t>3</w:t>
      </w:r>
      <w:r w:rsidRPr="000554CC">
        <w:rPr>
          <w:rFonts w:hAnsi="標楷體" w:hint="eastAsia"/>
          <w:sz w:val="24"/>
          <w:szCs w:val="24"/>
        </w:rPr>
        <w:t>）</w:t>
      </w:r>
      <w:r w:rsidRPr="000554CC">
        <w:rPr>
          <w:rFonts w:hAnsi="標楷體" w:hint="eastAsia"/>
          <w:sz w:val="24"/>
          <w:szCs w:val="24"/>
          <w:lang w:val="x-none"/>
        </w:rPr>
        <w:t>，經費2億8</w:t>
      </w:r>
      <w:r w:rsidRPr="000554CC">
        <w:rPr>
          <w:rFonts w:hAnsi="標楷體"/>
          <w:sz w:val="24"/>
          <w:szCs w:val="24"/>
          <w:lang w:val="x-none"/>
        </w:rPr>
        <w:t>,000</w:t>
      </w:r>
      <w:r w:rsidRPr="000554CC">
        <w:rPr>
          <w:rFonts w:hAnsi="標楷體" w:hint="eastAsia"/>
          <w:sz w:val="24"/>
          <w:szCs w:val="24"/>
          <w:lang w:val="x-none"/>
        </w:rPr>
        <w:t>萬元，截至112年底止，累計執行數2億1,</w:t>
      </w:r>
      <w:r w:rsidRPr="000554CC">
        <w:rPr>
          <w:rFonts w:hAnsi="標楷體"/>
          <w:sz w:val="24"/>
          <w:szCs w:val="24"/>
          <w:lang w:val="x-none"/>
        </w:rPr>
        <w:t>093</w:t>
      </w:r>
      <w:r w:rsidRPr="000554CC">
        <w:rPr>
          <w:rFonts w:hAnsi="標楷體" w:hint="eastAsia"/>
          <w:sz w:val="24"/>
          <w:szCs w:val="24"/>
          <w:lang w:val="x-none"/>
        </w:rPr>
        <w:t>萬餘元，分別由國家發展委員會中央政府前瞻基礎建設計畫第3期、第4期特別預算，及桃園市政府自籌款支應。</w:t>
      </w:r>
      <w:bookmarkStart w:id="16" w:name="意見2永續1"/>
      <w:bookmarkEnd w:id="16"/>
      <w:r w:rsidRPr="000554CC">
        <w:rPr>
          <w:rFonts w:hAnsi="標楷體" w:hint="eastAsia"/>
          <w:bCs/>
          <w:sz w:val="24"/>
          <w:szCs w:val="24"/>
          <w:lang w:val="x-none"/>
        </w:rPr>
        <w:t>經查執行情形，核有：（1）</w:t>
      </w:r>
      <w:r w:rsidRPr="000554CC">
        <w:rPr>
          <w:rFonts w:hAnsi="標楷體" w:hint="eastAsia"/>
          <w:sz w:val="24"/>
          <w:szCs w:val="24"/>
          <w:lang w:val="x-none"/>
        </w:rPr>
        <w:t>桃園市政府於第一期委辦計畫，委託廠商辦理智慧運籌平臺營運規劃與示範平臺建置，主要以智慧運籌管理平臺勾勒之藍圖願景，研析國際數據應用服務案例並與桃園市政府相關單位訪談結果，盤點生活機能、經濟產業、交通運輸、基礎設施、政府服務、天氣環境、智慧能源、公共安全、健康照護等9大主題數據資源，規劃跨域串接相關數據主管機關或民間業者資料計116筆，並建置智慧運籌示範平臺</w:t>
      </w:r>
      <w:r w:rsidRPr="000554CC">
        <w:rPr>
          <w:rFonts w:hAnsi="標楷體"/>
          <w:sz w:val="24"/>
          <w:szCs w:val="24"/>
          <w:lang w:val="x-none"/>
        </w:rPr>
        <w:t>（下稱IOC</w:t>
      </w:r>
      <w:r w:rsidRPr="000554CC">
        <w:rPr>
          <w:rFonts w:hAnsi="標楷體" w:hint="eastAsia"/>
          <w:sz w:val="24"/>
          <w:szCs w:val="24"/>
          <w:lang w:val="x-none"/>
        </w:rPr>
        <w:t>示範</w:t>
      </w:r>
      <w:r w:rsidRPr="000554CC">
        <w:rPr>
          <w:rFonts w:hAnsi="標楷體"/>
          <w:sz w:val="24"/>
          <w:szCs w:val="24"/>
          <w:lang w:val="x-none"/>
        </w:rPr>
        <w:t>平</w:t>
      </w:r>
      <w:r w:rsidRPr="000554CC">
        <w:rPr>
          <w:rFonts w:hAnsi="標楷體" w:hint="eastAsia"/>
          <w:sz w:val="24"/>
          <w:szCs w:val="24"/>
          <w:lang w:val="x-none"/>
        </w:rPr>
        <w:t>臺</w:t>
      </w:r>
      <w:r w:rsidRPr="000554CC">
        <w:rPr>
          <w:rFonts w:hAnsi="標楷體"/>
          <w:sz w:val="24"/>
          <w:szCs w:val="24"/>
          <w:lang w:val="x-none"/>
        </w:rPr>
        <w:t>）</w:t>
      </w:r>
      <w:r w:rsidRPr="000554CC">
        <w:rPr>
          <w:rFonts w:hAnsi="標楷體" w:hint="eastAsia"/>
          <w:sz w:val="24"/>
          <w:szCs w:val="24"/>
          <w:lang w:val="x-none"/>
        </w:rPr>
        <w:t>完成介接其中19筆資料（其餘97筆則建議未來再行介接），另於I</w:t>
      </w:r>
      <w:r w:rsidRPr="000554CC">
        <w:rPr>
          <w:rFonts w:hAnsi="標楷體"/>
          <w:sz w:val="24"/>
          <w:szCs w:val="24"/>
          <w:lang w:val="x-none"/>
        </w:rPr>
        <w:t>OC</w:t>
      </w:r>
      <w:r w:rsidRPr="000554CC">
        <w:rPr>
          <w:rFonts w:hAnsi="標楷體" w:hint="eastAsia"/>
          <w:sz w:val="24"/>
          <w:szCs w:val="24"/>
          <w:lang w:val="x-none"/>
        </w:rPr>
        <w:t>示範平臺上架自行開發之API，及完成測試串接該府既有A</w:t>
      </w:r>
      <w:r w:rsidRPr="000554CC">
        <w:rPr>
          <w:rFonts w:hAnsi="標楷體"/>
          <w:sz w:val="24"/>
          <w:szCs w:val="24"/>
          <w:lang w:val="x-none"/>
        </w:rPr>
        <w:t>PI</w:t>
      </w:r>
      <w:r w:rsidRPr="000554CC">
        <w:rPr>
          <w:rFonts w:hAnsi="標楷體" w:hint="eastAsia"/>
          <w:sz w:val="24"/>
          <w:szCs w:val="24"/>
          <w:lang w:val="x-none"/>
        </w:rPr>
        <w:t>，再藉由產業儀表</w:t>
      </w:r>
      <w:r w:rsidRPr="003176AE">
        <w:rPr>
          <w:rFonts w:hAnsi="標楷體" w:hint="eastAsia"/>
          <w:sz w:val="24"/>
          <w:szCs w:val="24"/>
          <w:lang w:val="x-none"/>
        </w:rPr>
        <w:t>板、數據管理、戰情儀表板等平臺功能，呈現介接之資料，進而實證智慧運籌管理平臺強化城</w:t>
      </w:r>
      <w:r w:rsidRPr="00D5016F">
        <w:rPr>
          <w:rFonts w:hAnsi="標楷體" w:hint="eastAsia"/>
          <w:sz w:val="24"/>
          <w:szCs w:val="24"/>
          <w:lang w:val="x-none"/>
        </w:rPr>
        <w:t>市治理，並吸引業者加值應用，促進智慧產業創新發展之可行性。桃園市政府考</w:t>
      </w:r>
      <w:r w:rsidRPr="00D5016F">
        <w:rPr>
          <w:rFonts w:hAnsi="標楷體" w:hint="eastAsia"/>
          <w:sz w:val="24"/>
          <w:szCs w:val="24"/>
          <w:lang w:val="x-none"/>
        </w:rPr>
        <w:lastRenderedPageBreak/>
        <w:t>量國家發展委</w:t>
      </w:r>
      <w:r w:rsidRPr="000554CC">
        <w:rPr>
          <w:rFonts w:hAnsi="標楷體" w:hint="eastAsia"/>
          <w:sz w:val="24"/>
          <w:szCs w:val="24"/>
          <w:lang w:val="x-none"/>
        </w:rPr>
        <w:t>員會未承諾委辦計畫結束後提供後續相關經費支援，爰衡酌整體財務負擔縮減辦理規模，於第二期委辦計畫聚焦於經濟產業面，另規劃建置產業數據分析平臺（下稱產業</w:t>
      </w:r>
      <w:r w:rsidRPr="000554CC">
        <w:rPr>
          <w:rFonts w:hAnsi="標楷體"/>
          <w:sz w:val="24"/>
          <w:szCs w:val="24"/>
          <w:lang w:val="x-none"/>
        </w:rPr>
        <w:t>IOC平臺</w:t>
      </w:r>
      <w:r w:rsidRPr="000554CC">
        <w:rPr>
          <w:rFonts w:hAnsi="標楷體" w:hint="eastAsia"/>
          <w:sz w:val="24"/>
          <w:szCs w:val="24"/>
          <w:lang w:val="x-none"/>
        </w:rPr>
        <w:t>）、數據API管理平臺以延續推動建構IOC之工作項目。復據產業I</w:t>
      </w:r>
      <w:r w:rsidRPr="000554CC">
        <w:rPr>
          <w:rFonts w:hAnsi="標楷體"/>
          <w:sz w:val="24"/>
          <w:szCs w:val="24"/>
          <w:lang w:val="x-none"/>
        </w:rPr>
        <w:t>OC</w:t>
      </w:r>
      <w:r w:rsidRPr="000554CC">
        <w:rPr>
          <w:rFonts w:hAnsi="標楷體" w:hint="eastAsia"/>
          <w:sz w:val="24"/>
          <w:szCs w:val="24"/>
          <w:lang w:val="x-none"/>
        </w:rPr>
        <w:t>平臺、數據API管理平臺相關採購案之需求說明書，產業I</w:t>
      </w:r>
      <w:r w:rsidRPr="000554CC">
        <w:rPr>
          <w:rFonts w:hAnsi="標楷體"/>
          <w:sz w:val="24"/>
          <w:szCs w:val="24"/>
          <w:lang w:val="x-none"/>
        </w:rPr>
        <w:t>OC</w:t>
      </w:r>
      <w:r w:rsidRPr="000554CC">
        <w:rPr>
          <w:rFonts w:hAnsi="標楷體" w:hint="eastAsia"/>
          <w:sz w:val="24"/>
          <w:szCs w:val="24"/>
          <w:lang w:val="x-none"/>
        </w:rPr>
        <w:t>平臺主要係規劃蒐集質化及量化資料，整合呈現於產業數據儀表板，及支援使用者視覺化分析處理資料，數據API管理平臺則規劃介接桃園市政府各局處相關數據，提供外部單位加值運用等。截至113年4月底止，產業IOC平臺規劃介接資料計3</w:t>
      </w:r>
      <w:r w:rsidRPr="000554CC">
        <w:rPr>
          <w:rFonts w:hAnsi="標楷體"/>
          <w:sz w:val="24"/>
          <w:szCs w:val="24"/>
          <w:lang w:val="x-none"/>
        </w:rPr>
        <w:t>4</w:t>
      </w:r>
      <w:r w:rsidRPr="000554CC">
        <w:rPr>
          <w:rFonts w:hAnsi="標楷體" w:hint="eastAsia"/>
          <w:sz w:val="24"/>
          <w:szCs w:val="24"/>
          <w:lang w:val="x-none"/>
        </w:rPr>
        <w:t>筆，惟整體規劃介接資料偏重經濟產業面，介接資料符合第一期委辦計畫之9大主題範疇者僅9筆，且尚乏亞洲．矽谷5G創新應用計畫、第二期委辦計畫協議書所列整合水情、海岸環境監測、智慧建築、地理資訊等面向資料，又現階段訂有具體介接時程之28筆資料，主要為政府公開之歷史統計資料，亦乏建構5G智慧城市應用服務所需之即時動態資料，未能有效彰顯亞洲．矽谷5G創新應用計畫規劃以智慧運籌管理平臺串接5G智慧城市應用服務之目標定位。另桃園市政府規劃透由建置數據A</w:t>
      </w:r>
      <w:r w:rsidRPr="000554CC">
        <w:rPr>
          <w:rFonts w:hAnsi="標楷體"/>
          <w:sz w:val="24"/>
          <w:szCs w:val="24"/>
          <w:lang w:val="x-none"/>
        </w:rPr>
        <w:t>PI</w:t>
      </w:r>
      <w:r w:rsidRPr="000554CC">
        <w:rPr>
          <w:rFonts w:hAnsi="標楷體" w:hint="eastAsia"/>
          <w:sz w:val="24"/>
          <w:szCs w:val="24"/>
          <w:lang w:val="x-none"/>
        </w:rPr>
        <w:t>管理平臺，帶動數據加值應用，截至1</w:t>
      </w:r>
      <w:r w:rsidRPr="000554CC">
        <w:rPr>
          <w:rFonts w:hAnsi="標楷體"/>
          <w:sz w:val="24"/>
          <w:szCs w:val="24"/>
          <w:lang w:val="x-none"/>
        </w:rPr>
        <w:t>13</w:t>
      </w:r>
      <w:r w:rsidRPr="000554CC">
        <w:rPr>
          <w:rFonts w:hAnsi="標楷體" w:hint="eastAsia"/>
          <w:sz w:val="24"/>
          <w:szCs w:val="24"/>
          <w:lang w:val="x-none"/>
        </w:rPr>
        <w:t>年4月底止，該府係藉由內部單位需求訪談，盤點可提供外界介接之資料，惟按亞洲．</w:t>
      </w:r>
      <w:r w:rsidRPr="00BC2940">
        <w:rPr>
          <w:rFonts w:hAnsi="標楷體" w:hint="eastAsia"/>
          <w:sz w:val="24"/>
          <w:szCs w:val="24"/>
          <w:lang w:val="x-none"/>
        </w:rPr>
        <w:t>矽谷</w:t>
      </w:r>
      <w:r w:rsidRPr="004E0E8E">
        <w:rPr>
          <w:rFonts w:hAnsi="標楷體" w:hint="eastAsia"/>
          <w:sz w:val="24"/>
          <w:szCs w:val="24"/>
          <w:lang w:val="x-none"/>
        </w:rPr>
        <w:t>5G創新應用計畫</w:t>
      </w:r>
      <w:r w:rsidRPr="00FD015E">
        <w:rPr>
          <w:rFonts w:hAnsi="標楷體" w:hint="eastAsia"/>
          <w:sz w:val="24"/>
          <w:szCs w:val="24"/>
          <w:lang w:val="x-none"/>
        </w:rPr>
        <w:t>數</w:t>
      </w:r>
      <w:r w:rsidRPr="000554CC">
        <w:rPr>
          <w:rFonts w:hAnsi="標楷體" w:hint="eastAsia"/>
          <w:sz w:val="24"/>
          <w:szCs w:val="24"/>
          <w:lang w:val="x-none"/>
        </w:rPr>
        <w:t>據應用需求對象為5G及A</w:t>
      </w:r>
      <w:r w:rsidRPr="000554CC">
        <w:rPr>
          <w:rFonts w:hAnsi="標楷體"/>
          <w:sz w:val="24"/>
          <w:szCs w:val="24"/>
          <w:lang w:val="x-none"/>
        </w:rPr>
        <w:t>I</w:t>
      </w:r>
      <w:r w:rsidRPr="000554CC">
        <w:rPr>
          <w:rFonts w:hAnsi="標楷體" w:hint="eastAsia"/>
          <w:sz w:val="24"/>
          <w:szCs w:val="24"/>
          <w:lang w:val="x-none"/>
        </w:rPr>
        <w:t>oT相關產業，該府以內部需求角度盤點提供外部介接資料，恐無法契合產業應用數據之實際需求；（2）桃園市政府於第一期委辦計畫之「IOC及IDC之建置與營運規劃」委辦事項，列有研擬IOC及IDC之資訊安全防護、機房標準等工作項目，惟該府委外辦理亞矽智慧運籌平臺智慧安控規劃專業委託服務案，投入經費149萬元，僅建置亞矽智慧運籌平臺示範中心管控人員出入之安控系統，尚非就IOC及IDC實體機房或相關資訊安全進行安全控制，與委辦事項無涉，又該府依「5G示範應用服務」委辦事項，委外辦理桃園高鐵聯絡道暨周邊路網AI號誌控制示範計畫第二期、桃園市111年度公有路外停車場資訊導引系統建構維護租賃等案，投入經費2</w:t>
      </w:r>
      <w:r w:rsidRPr="000554CC">
        <w:rPr>
          <w:rFonts w:hAnsi="標楷體"/>
          <w:sz w:val="24"/>
          <w:szCs w:val="24"/>
          <w:lang w:val="x-none"/>
        </w:rPr>
        <w:t>,</w:t>
      </w:r>
      <w:r w:rsidRPr="000554CC">
        <w:rPr>
          <w:rFonts w:hAnsi="標楷體" w:hint="eastAsia"/>
          <w:sz w:val="24"/>
          <w:szCs w:val="24"/>
          <w:lang w:val="x-none"/>
        </w:rPr>
        <w:t>708萬餘元，惟</w:t>
      </w:r>
      <w:r w:rsidR="00A52D18">
        <w:rPr>
          <w:rFonts w:hAnsi="標楷體" w:hint="eastAsia"/>
          <w:sz w:val="24"/>
          <w:szCs w:val="24"/>
          <w:lang w:val="x-none"/>
        </w:rPr>
        <w:t>建構或執行</w:t>
      </w:r>
      <w:r w:rsidRPr="000554CC">
        <w:rPr>
          <w:rFonts w:hAnsi="標楷體" w:hint="eastAsia"/>
          <w:sz w:val="24"/>
          <w:szCs w:val="24"/>
          <w:lang w:val="x-none"/>
        </w:rPr>
        <w:t>採購案件，均未使用5G相關通訊技術，後續自無實作案例可供其他市縣政府運用，無以擴散5G智慧城市服務運用效益；（3）桃園市政府於「大數據平臺資料串接服務與驗證」委辦事項，委外辦理該府既有之市政資料治理暨大數據分析平臺（原智慧運籌管理暨大數據分析平臺）、資料探勘數據分析平臺、資料開放平臺、空間決策分析平臺等系統功能（架構）調整及資料維護擴充，投入經費4</w:t>
      </w:r>
      <w:r w:rsidRPr="000554CC">
        <w:rPr>
          <w:rFonts w:hAnsi="標楷體"/>
          <w:sz w:val="24"/>
          <w:szCs w:val="24"/>
          <w:lang w:val="x-none"/>
        </w:rPr>
        <w:t>,</w:t>
      </w:r>
      <w:r w:rsidRPr="000554CC">
        <w:rPr>
          <w:rFonts w:hAnsi="標楷體" w:hint="eastAsia"/>
          <w:sz w:val="24"/>
          <w:szCs w:val="24"/>
          <w:lang w:val="x-none"/>
        </w:rPr>
        <w:t>568萬餘元，截至113年</w:t>
      </w:r>
      <w:r w:rsidRPr="000554CC">
        <w:rPr>
          <w:rFonts w:hAnsi="標楷體"/>
          <w:sz w:val="24"/>
          <w:szCs w:val="24"/>
          <w:lang w:val="x-none"/>
        </w:rPr>
        <w:t>4</w:t>
      </w:r>
      <w:r w:rsidRPr="000554CC">
        <w:rPr>
          <w:rFonts w:hAnsi="標楷體" w:hint="eastAsia"/>
          <w:sz w:val="24"/>
          <w:szCs w:val="24"/>
          <w:lang w:val="x-none"/>
        </w:rPr>
        <w:t>月底止，僅有資料開放平臺規劃與產業IOC平臺介接12筆資料，其餘市政資料治理暨大數據分析平臺、資料探勘數據分析平臺（相關功能及資料整併至市政資料治理暨大數據分析平臺）、空間決策分析平臺等3個平臺相關資料，尚無介接至產業IOC平臺之具體規劃，以</w:t>
      </w:r>
      <w:r w:rsidRPr="000554CC">
        <w:rPr>
          <w:rFonts w:hAnsi="標楷體" w:hint="eastAsia"/>
          <w:sz w:val="24"/>
          <w:szCs w:val="24"/>
        </w:rPr>
        <w:t>5G創新應用計畫經費挹注調整或維護擴充桃園市政府既有系統，對於完善亞矽創研中心智慧運籌管理平臺之效益，尚有疑慮等情事</w:t>
      </w:r>
      <w:r w:rsidR="009A294F">
        <w:rPr>
          <w:rFonts w:hAnsi="標楷體" w:hint="eastAsia"/>
          <w:sz w:val="24"/>
          <w:szCs w:val="24"/>
        </w:rPr>
        <w:t>。</w:t>
      </w:r>
      <w:r w:rsidRPr="000554CC">
        <w:rPr>
          <w:rFonts w:hAnsi="標楷體" w:hint="eastAsia"/>
          <w:sz w:val="24"/>
          <w:szCs w:val="24"/>
        </w:rPr>
        <w:t>經函請國家發展委員會</w:t>
      </w:r>
      <w:r w:rsidRPr="000554CC">
        <w:rPr>
          <w:rFonts w:hAnsi="標楷體" w:hint="eastAsia"/>
          <w:bCs/>
          <w:sz w:val="24"/>
          <w:szCs w:val="24"/>
          <w:lang w:val="x-none"/>
        </w:rPr>
        <w:t>加強督導桃園市政府落實執行委辦事項，強化各類採購案件執行結果與亞洲．矽谷</w:t>
      </w:r>
      <w:r w:rsidRPr="000554CC">
        <w:rPr>
          <w:rFonts w:hAnsi="標楷體"/>
          <w:bCs/>
          <w:sz w:val="24"/>
          <w:szCs w:val="24"/>
          <w:lang w:val="x-none"/>
        </w:rPr>
        <w:t>5G創新應用計畫關連性</w:t>
      </w:r>
      <w:r w:rsidRPr="000554CC">
        <w:rPr>
          <w:rFonts w:hAnsi="標楷體" w:hint="eastAsia"/>
          <w:bCs/>
          <w:sz w:val="24"/>
          <w:szCs w:val="24"/>
          <w:lang w:val="x-none"/>
        </w:rPr>
        <w:t>，</w:t>
      </w:r>
      <w:r w:rsidRPr="000554CC">
        <w:rPr>
          <w:rFonts w:hAnsi="標楷體"/>
          <w:bCs/>
          <w:sz w:val="24"/>
          <w:szCs w:val="24"/>
          <w:lang w:val="x-none"/>
        </w:rPr>
        <w:t>並持續評估</w:t>
      </w:r>
      <w:r w:rsidRPr="000554CC">
        <w:rPr>
          <w:rFonts w:hAnsi="標楷體" w:hint="eastAsia"/>
          <w:bCs/>
          <w:sz w:val="24"/>
          <w:szCs w:val="24"/>
          <w:lang w:val="x-none"/>
        </w:rPr>
        <w:t>以該府</w:t>
      </w:r>
      <w:r w:rsidRPr="000554CC">
        <w:rPr>
          <w:rFonts w:hAnsi="標楷體"/>
          <w:bCs/>
          <w:sz w:val="24"/>
          <w:szCs w:val="24"/>
          <w:lang w:val="x-none"/>
        </w:rPr>
        <w:t>既有平</w:t>
      </w:r>
      <w:r w:rsidRPr="000554CC">
        <w:rPr>
          <w:rFonts w:hAnsi="標楷體" w:hint="eastAsia"/>
          <w:bCs/>
          <w:sz w:val="24"/>
          <w:szCs w:val="24"/>
          <w:lang w:val="x-none"/>
        </w:rPr>
        <w:t>臺及依</w:t>
      </w:r>
      <w:r w:rsidRPr="000554CC">
        <w:rPr>
          <w:rFonts w:hAnsi="標楷體"/>
          <w:bCs/>
          <w:sz w:val="24"/>
          <w:szCs w:val="24"/>
          <w:lang w:val="x-none"/>
        </w:rPr>
        <w:t>產業</w:t>
      </w:r>
      <w:r w:rsidRPr="003176AE">
        <w:rPr>
          <w:rFonts w:hAnsi="標楷體"/>
          <w:bCs/>
          <w:sz w:val="24"/>
          <w:szCs w:val="24"/>
          <w:lang w:val="x-none"/>
        </w:rPr>
        <w:t>需求產製資料</w:t>
      </w:r>
      <w:r w:rsidRPr="003176AE">
        <w:rPr>
          <w:rFonts w:hAnsi="標楷體" w:hint="eastAsia"/>
          <w:bCs/>
          <w:sz w:val="24"/>
          <w:szCs w:val="24"/>
          <w:lang w:val="x-none"/>
        </w:rPr>
        <w:t>，介接產業</w:t>
      </w:r>
      <w:r w:rsidRPr="003176AE">
        <w:rPr>
          <w:rFonts w:hAnsi="標楷體"/>
          <w:bCs/>
          <w:sz w:val="24"/>
          <w:szCs w:val="24"/>
          <w:lang w:val="x-none"/>
        </w:rPr>
        <w:t>IOC</w:t>
      </w:r>
      <w:r w:rsidRPr="003176AE">
        <w:rPr>
          <w:rFonts w:hAnsi="標楷體" w:hint="eastAsia"/>
          <w:bCs/>
          <w:sz w:val="24"/>
          <w:szCs w:val="24"/>
          <w:lang w:val="x-none"/>
        </w:rPr>
        <w:t>平臺之適足性</w:t>
      </w:r>
      <w:r w:rsidRPr="003176AE">
        <w:rPr>
          <w:rFonts w:hAnsi="標楷體"/>
          <w:bCs/>
          <w:sz w:val="24"/>
          <w:szCs w:val="24"/>
          <w:lang w:val="x-none"/>
        </w:rPr>
        <w:t>，</w:t>
      </w:r>
      <w:r w:rsidRPr="003176AE">
        <w:rPr>
          <w:rFonts w:hAnsi="標楷體" w:hint="eastAsia"/>
          <w:bCs/>
          <w:sz w:val="24"/>
          <w:szCs w:val="24"/>
          <w:lang w:val="x-none"/>
        </w:rPr>
        <w:t>俾有效驅動</w:t>
      </w:r>
      <w:r w:rsidRPr="003176AE">
        <w:rPr>
          <w:rFonts w:hAnsi="標楷體"/>
          <w:bCs/>
          <w:sz w:val="24"/>
          <w:szCs w:val="24"/>
          <w:lang w:val="x-none"/>
        </w:rPr>
        <w:t>5G及AIoT智慧城市應用服務商業擴</w:t>
      </w:r>
      <w:r w:rsidRPr="000554CC">
        <w:rPr>
          <w:rFonts w:hAnsi="標楷體"/>
          <w:bCs/>
          <w:sz w:val="24"/>
          <w:szCs w:val="24"/>
          <w:lang w:val="x-none"/>
        </w:rPr>
        <w:t>散與生態圈形成</w:t>
      </w:r>
      <w:r w:rsidRPr="000554CC">
        <w:rPr>
          <w:rFonts w:hAnsi="標楷體" w:hint="eastAsia"/>
          <w:bCs/>
          <w:sz w:val="24"/>
          <w:szCs w:val="24"/>
          <w:lang w:val="x-none"/>
        </w:rPr>
        <w:t>，達成</w:t>
      </w:r>
      <w:r w:rsidRPr="000554CC">
        <w:rPr>
          <w:rFonts w:hAnsi="標楷體"/>
          <w:bCs/>
          <w:sz w:val="24"/>
          <w:szCs w:val="24"/>
          <w:lang w:val="x-none"/>
        </w:rPr>
        <w:t>智慧運籌</w:t>
      </w:r>
      <w:r w:rsidRPr="000554CC">
        <w:rPr>
          <w:rFonts w:hAnsi="標楷體" w:hint="eastAsia"/>
          <w:bCs/>
          <w:sz w:val="24"/>
          <w:szCs w:val="24"/>
          <w:lang w:val="x-none"/>
        </w:rPr>
        <w:t>管理</w:t>
      </w:r>
      <w:r w:rsidRPr="000554CC">
        <w:rPr>
          <w:rFonts w:hAnsi="標楷體"/>
          <w:bCs/>
          <w:sz w:val="24"/>
          <w:szCs w:val="24"/>
          <w:lang w:val="x-none"/>
        </w:rPr>
        <w:t>平</w:t>
      </w:r>
      <w:r w:rsidRPr="000554CC">
        <w:rPr>
          <w:rFonts w:hAnsi="標楷體" w:hint="eastAsia"/>
          <w:bCs/>
          <w:sz w:val="24"/>
          <w:szCs w:val="24"/>
          <w:lang w:val="x-none"/>
        </w:rPr>
        <w:t>臺建置目的</w:t>
      </w:r>
      <w:r w:rsidRPr="000554CC">
        <w:rPr>
          <w:rFonts w:hAnsi="標楷體"/>
          <w:bCs/>
          <w:sz w:val="24"/>
          <w:szCs w:val="24"/>
          <w:lang w:val="x-none"/>
        </w:rPr>
        <w:t>。</w:t>
      </w:r>
      <w:r w:rsidRPr="000554CC">
        <w:rPr>
          <w:rFonts w:hAnsi="標楷體" w:hint="eastAsia"/>
          <w:bCs/>
          <w:sz w:val="24"/>
          <w:szCs w:val="24"/>
          <w:lang w:val="x-none"/>
        </w:rPr>
        <w:t>據復：將透過請桃園市政</w:t>
      </w:r>
      <w:r w:rsidRPr="000554CC">
        <w:rPr>
          <w:rFonts w:hAnsi="標楷體" w:hint="eastAsia"/>
          <w:bCs/>
          <w:sz w:val="24"/>
          <w:szCs w:val="24"/>
          <w:lang w:val="x-none"/>
        </w:rPr>
        <w:lastRenderedPageBreak/>
        <w:t>府繳交月報及辦理管考會議等方式加強督導該府執行相關工作項目，若發現未如預期情事，將要求桃園市政府改善，以克盡委辦機關監督之責，並確保如期如質達成計畫目標。</w:t>
      </w:r>
    </w:p>
    <w:p w14:paraId="636BD422" w14:textId="16EDF48B" w:rsidR="000554CC" w:rsidRPr="000554CC" w:rsidRDefault="000554CC" w:rsidP="003176AE">
      <w:pPr>
        <w:pStyle w:val="affb"/>
        <w:overflowPunct w:val="0"/>
        <w:spacing w:line="434" w:lineRule="exact"/>
        <w:ind w:left="0" w:firstLineChars="450" w:firstLine="1081"/>
        <w:jc w:val="both"/>
        <w:rPr>
          <w:rFonts w:hAnsi="標楷體"/>
          <w:color w:val="000000" w:themeColor="text1"/>
          <w:sz w:val="24"/>
          <w:szCs w:val="24"/>
        </w:rPr>
      </w:pPr>
      <w:r w:rsidRPr="000554CC">
        <w:rPr>
          <w:rFonts w:hAnsi="標楷體" w:hint="eastAsia"/>
          <w:b/>
          <w:sz w:val="24"/>
          <w:szCs w:val="24"/>
        </w:rPr>
        <w:t>2.　補助國內廠商辦理智慧城鄉示範場域應用計畫，部分補助案件結案後逾1年無具體5G應用服務擴散成果：</w:t>
      </w:r>
      <w:r w:rsidRPr="000554CC">
        <w:rPr>
          <w:rFonts w:hAnsi="標楷體" w:hint="eastAsia"/>
          <w:sz w:val="24"/>
          <w:szCs w:val="24"/>
        </w:rPr>
        <w:t>國家發展委員會為落實亞洲．矽谷 5G 創新應用計畫所列「推動5G智慧城鄉示範」執行策略，以補助方式鼓勵國內依法登記成立之獨資、合夥、有限合夥事業、公司（下稱受補助廠商），以5G、AIoT之技術為基礎，辦理智慧城鄉示範場域應用計畫，期帶動國內產業創新發展，加速5G應用服務落地與擴散。截至112年底止，國家發展委員會已核定補助計畫23案（110年度核定9案，已於111年底前完成結案，下稱第一期補助計畫；112年度核定補助14案，執行期程至113年9月底止，下稱第二期補助計畫）、核定補助金額6億2,895萬元，受補助廠商自行投入6億4,767萬元。經查，第一期補助計畫經國家發展委員會召開審查會議，就國內廠商提出申請計畫之可行性、創新性、計畫效益及長期營運規劃等予以審議後核定，計畫內容涵蓋智慧交通、智慧健康、智慧展演、智慧災防等領域，各受補助廠商提出5G應用服務並於示範場域實際驗證其可行性（舉如辦理5G運輸智慧即時監控平臺以臺北捷運為示範場域，布署5G環境與專網，增加隧道內網路覆蓋率，建置捷運車廂AI即時應變系統，即時辨識車廂內危安異常行為），並於補助計畫書提出國內場域擴散應用模式及國際輸出等中長期營運及後續成果落實規劃；又該會於「亞洲．矽谷-5G 智慧城鄉產業應用計畫」委託台北市電腦商業同業公會（契約金額7,300萬元，履約期間為110年4月8日至111年12月31日）辦理第一期補助計畫之管考，及擴大補助計畫輸出商機等成果效益擴散相關工作，另於「亞洲</w:t>
      </w:r>
      <w:r w:rsidR="000C18E6" w:rsidRPr="000554CC">
        <w:rPr>
          <w:rFonts w:hAnsi="標楷體" w:hint="eastAsia"/>
          <w:sz w:val="24"/>
          <w:szCs w:val="24"/>
          <w:lang w:val="x-none"/>
        </w:rPr>
        <w:t>．</w:t>
      </w:r>
      <w:r w:rsidRPr="000554CC">
        <w:rPr>
          <w:rFonts w:hAnsi="標楷體" w:hint="eastAsia"/>
          <w:sz w:val="24"/>
          <w:szCs w:val="24"/>
        </w:rPr>
        <w:t>矽谷</w:t>
      </w:r>
      <w:r w:rsidR="00E00872" w:rsidRPr="00E00872">
        <w:rPr>
          <w:rFonts w:hAnsi="標楷體" w:hint="eastAsia"/>
          <w:sz w:val="24"/>
          <w:szCs w:val="24"/>
        </w:rPr>
        <w:t>－</w:t>
      </w:r>
      <w:r w:rsidRPr="000554CC">
        <w:rPr>
          <w:rFonts w:hAnsi="標楷體" w:hint="eastAsia"/>
          <w:sz w:val="24"/>
          <w:szCs w:val="24"/>
        </w:rPr>
        <w:t>5G ORAN智慧城鄉及推廣計畫」續委託該同業公會（契約金額1億395萬元，履約期間為112年1月19日至113年12月31日）辦理第二期補助計畫之補助作業管理、產業交流與商機媒合，並盤點具擴散潛力之第一期補助計畫案例，協助案例推廣應用服務擴散與輸出。按國家發展委員會追蹤第一期補助計畫截至113年3月底止之辦理成效，多數補助案件於示範場域辦理之5G應用服務相關實證成果，實際已發展擴散至國內場域或國際輸出（舉如5G運輸智慧即時監控平臺計畫，將相關系統擴散運用於海運船隻供跨洋航行使用影像通訊，並輸出至印尼雅加達），惟5G跨平台OMO多功能互動系統計畫、智慧展演</w:t>
      </w:r>
      <w:r w:rsidR="00117EEB" w:rsidRPr="00117EEB">
        <w:rPr>
          <w:rFonts w:hAnsi="標楷體" w:hint="eastAsia"/>
          <w:sz w:val="24"/>
          <w:szCs w:val="24"/>
        </w:rPr>
        <w:t>－</w:t>
      </w:r>
      <w:r w:rsidRPr="000554CC">
        <w:rPr>
          <w:rFonts w:hAnsi="標楷體" w:hint="eastAsia"/>
          <w:sz w:val="24"/>
          <w:szCs w:val="24"/>
        </w:rPr>
        <w:t>VR360度環景演唱會計畫等2項補助案件結案後逾1年，仍處於參展拓展國內外潛在客戶階段，尚未按原規劃產出提供車站智慧展覽服務及商圈店家企業行動廣告訂閱收取租金及展覽收入，或推出新VR 360度演場會及提供體育賽事、電影戲劇等多元服務收取門票及廣告收入等具體擴散成果。經函請國家發展委員會持續輔導受補助廠商行銷推廣，積極媒合國內外商業契機，並汲取相關推動經驗，加強辦理第二期補助計畫之國內外市場拓展事宜，以發揮補助經費成效，促進國內產業創新發展。據復：已透過帶領受補助廠商至泰國參訪及參與產業論壇，與當地產官學研人士分享補助計畫成果，協助其開拓海外市場，另</w:t>
      </w:r>
      <w:r w:rsidRPr="000554CC">
        <w:rPr>
          <w:rFonts w:hAnsi="標楷體" w:hint="eastAsia"/>
          <w:bCs/>
          <w:sz w:val="24"/>
          <w:szCs w:val="24"/>
          <w:lang w:val="x-none"/>
        </w:rPr>
        <w:t>預計將於113年底邀集14案受補助廠商參與5G補助計畫成果展，增</w:t>
      </w:r>
      <w:r w:rsidRPr="000554CC">
        <w:rPr>
          <w:rFonts w:hAnsi="標楷體" w:hint="eastAsia"/>
          <w:bCs/>
          <w:sz w:val="24"/>
          <w:szCs w:val="24"/>
          <w:lang w:val="x-none"/>
        </w:rPr>
        <w:lastRenderedPageBreak/>
        <w:t>進其曝光機會，拓展行銷管道。</w:t>
      </w:r>
    </w:p>
    <w:p w14:paraId="0F2E9747" w14:textId="426BD9AA" w:rsidR="00B96626" w:rsidRPr="00757893" w:rsidRDefault="00B96626" w:rsidP="005D2E44">
      <w:pPr>
        <w:overflowPunct w:val="0"/>
        <w:snapToGrid w:val="0"/>
        <w:spacing w:beforeLines="20" w:before="72" w:afterLines="20" w:after="72" w:line="430" w:lineRule="exact"/>
        <w:ind w:firstLineChars="200" w:firstLine="561"/>
        <w:jc w:val="both"/>
        <w:outlineLvl w:val="1"/>
        <w:rPr>
          <w:rFonts w:ascii="標楷體" w:eastAsia="標楷體" w:hAnsi="標楷體"/>
          <w:b/>
          <w:color w:val="000000" w:themeColor="text1"/>
          <w:sz w:val="28"/>
          <w:szCs w:val="28"/>
        </w:rPr>
      </w:pPr>
      <w:r w:rsidRPr="00757893">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二十</w:t>
      </w:r>
      <w:r w:rsidR="00781889">
        <w:rPr>
          <w:rFonts w:ascii="標楷體" w:eastAsia="標楷體" w:hAnsi="標楷體" w:hint="eastAsia"/>
          <w:b/>
          <w:color w:val="000000" w:themeColor="text1"/>
          <w:sz w:val="28"/>
          <w:szCs w:val="28"/>
        </w:rPr>
        <w:t>四</w:t>
      </w:r>
      <w:r w:rsidRPr="00757893">
        <w:rPr>
          <w:rFonts w:ascii="標楷體" w:eastAsia="標楷體" w:hAnsi="標楷體" w:hint="eastAsia"/>
          <w:b/>
          <w:color w:val="000000" w:themeColor="text1"/>
          <w:sz w:val="28"/>
          <w:szCs w:val="28"/>
        </w:rPr>
        <w:t>）　故宮</w:t>
      </w:r>
      <w:r w:rsidRPr="00757893">
        <w:rPr>
          <w:rFonts w:ascii="標楷體" w:eastAsia="標楷體" w:hAnsi="標楷體" w:hint="eastAsia"/>
          <w:b/>
          <w:color w:val="000000" w:themeColor="text1"/>
          <w:kern w:val="0"/>
          <w:sz w:val="28"/>
          <w:szCs w:val="28"/>
        </w:rPr>
        <w:t>因應數位時代趨勢，推動數位轉型，惟未依資訊安全管理</w:t>
      </w:r>
      <w:r w:rsidRPr="00757893">
        <w:rPr>
          <w:rFonts w:ascii="標楷體" w:eastAsia="標楷體" w:hAnsi="標楷體" w:hint="eastAsia"/>
          <w:b/>
          <w:color w:val="000000" w:themeColor="text1"/>
          <w:sz w:val="28"/>
          <w:szCs w:val="28"/>
        </w:rPr>
        <w:t>規範</w:t>
      </w:r>
      <w:r w:rsidRPr="00757893">
        <w:rPr>
          <w:rFonts w:ascii="標楷體" w:eastAsia="標楷體" w:hAnsi="標楷體" w:hint="eastAsia"/>
          <w:b/>
          <w:color w:val="000000" w:themeColor="text1"/>
          <w:kern w:val="0"/>
          <w:sz w:val="28"/>
          <w:szCs w:val="28"/>
        </w:rPr>
        <w:t>，落實辦理資通系統變更管理及作業環境控制措施等情事，</w:t>
      </w:r>
      <w:r w:rsidR="00DB319D">
        <w:rPr>
          <w:rFonts w:ascii="標楷體" w:eastAsia="標楷體" w:hAnsi="標楷體" w:hint="eastAsia"/>
          <w:b/>
          <w:color w:val="000000" w:themeColor="text1"/>
          <w:kern w:val="0"/>
          <w:sz w:val="28"/>
          <w:szCs w:val="28"/>
        </w:rPr>
        <w:t>允宜</w:t>
      </w:r>
      <w:r w:rsidRPr="00757893">
        <w:rPr>
          <w:rFonts w:ascii="標楷體" w:eastAsia="標楷體" w:hAnsi="標楷體" w:hint="eastAsia"/>
          <w:b/>
          <w:color w:val="000000" w:themeColor="text1"/>
          <w:kern w:val="0"/>
          <w:sz w:val="28"/>
          <w:szCs w:val="28"/>
        </w:rPr>
        <w:t>研謀改善</w:t>
      </w:r>
      <w:r w:rsidRPr="00757893">
        <w:rPr>
          <w:rFonts w:ascii="標楷體" w:eastAsia="標楷體" w:hAnsi="標楷體" w:hint="eastAsia"/>
          <w:b/>
          <w:color w:val="000000" w:themeColor="text1"/>
          <w:sz w:val="28"/>
          <w:szCs w:val="28"/>
        </w:rPr>
        <w:t>。</w:t>
      </w:r>
    </w:p>
    <w:p w14:paraId="096E28FB" w14:textId="77777777" w:rsidR="00B96626" w:rsidRPr="00757893" w:rsidRDefault="00B96626" w:rsidP="005D2E44">
      <w:pPr>
        <w:overflowPunct w:val="0"/>
        <w:snapToGrid w:val="0"/>
        <w:spacing w:beforeLines="20" w:before="72" w:afterLines="20" w:after="72" w:line="430" w:lineRule="exact"/>
        <w:ind w:firstLineChars="200" w:firstLine="480"/>
        <w:jc w:val="both"/>
        <w:rPr>
          <w:rFonts w:ascii="標楷體" w:eastAsia="標楷體" w:hAnsi="標楷體"/>
          <w:color w:val="000000" w:themeColor="text1"/>
          <w:kern w:val="0"/>
          <w:szCs w:val="24"/>
        </w:rPr>
      </w:pPr>
      <w:r w:rsidRPr="00757893">
        <w:rPr>
          <w:rFonts w:ascii="標楷體" w:eastAsia="標楷體" w:hAnsi="標楷體" w:hint="eastAsia"/>
          <w:color w:val="000000" w:themeColor="text1"/>
          <w:kern w:val="0"/>
          <w:szCs w:val="24"/>
        </w:rPr>
        <w:t>國立故宮博物院（下稱故宮）為典藏國家文物資源、維護文物安全，辦理文物數位圖檔等資訊檔案之輸出入保存及加值運用，並依資通安全管理法、資通安全事件通報及應變辦法等規定，建立故宮資訊安全政策、資通安全維護計畫及資訊安全管理制度（Information Security Management System, ISMS），進行資訊網路資安架構調整，嚴控對外服務設備存放區域權限，管制各區域網路連通等作業，以建立安全資訊作業環境。經查執行情形，核有下列事項：</w:t>
      </w:r>
    </w:p>
    <w:p w14:paraId="6226E2C6" w14:textId="2059FE0D" w:rsidR="00B96626" w:rsidRPr="00757893" w:rsidRDefault="00B96626" w:rsidP="003176AE">
      <w:pPr>
        <w:overflowPunct w:val="0"/>
        <w:snapToGrid w:val="0"/>
        <w:spacing w:line="450" w:lineRule="exact"/>
        <w:ind w:firstLineChars="450" w:firstLine="1081"/>
        <w:jc w:val="both"/>
        <w:rPr>
          <w:rFonts w:ascii="標楷體" w:eastAsia="標楷體" w:hAnsi="標楷體"/>
          <w:color w:val="000000" w:themeColor="text1"/>
          <w:kern w:val="0"/>
          <w:szCs w:val="24"/>
        </w:rPr>
      </w:pPr>
      <w:r w:rsidRPr="00757893">
        <w:rPr>
          <w:rFonts w:ascii="標楷體" w:eastAsia="標楷體" w:hAnsi="標楷體" w:hint="eastAsia"/>
          <w:b/>
          <w:color w:val="000000" w:themeColor="text1"/>
          <w:kern w:val="0"/>
          <w:szCs w:val="24"/>
        </w:rPr>
        <w:t>1.</w:t>
      </w:r>
      <w:r w:rsidRPr="00757893">
        <w:rPr>
          <w:rFonts w:ascii="標楷體" w:eastAsia="標楷體" w:hAnsi="標楷體" w:hint="eastAsia"/>
          <w:b/>
          <w:color w:val="000000" w:themeColor="text1"/>
          <w:szCs w:val="24"/>
        </w:rPr>
        <w:t xml:space="preserve">　</w:t>
      </w:r>
      <w:r w:rsidRPr="00757893">
        <w:rPr>
          <w:rFonts w:ascii="標楷體" w:eastAsia="標楷體" w:hAnsi="標楷體" w:hint="eastAsia"/>
          <w:b/>
          <w:color w:val="000000" w:themeColor="text1"/>
          <w:kern w:val="0"/>
          <w:szCs w:val="24"/>
        </w:rPr>
        <w:t>辦理文物數位化圖檔等資訊輸出入保存及加值運用，惟未依故宮ISMS規範，落實辦理資通系統變更管理、區隔測試及正式作業環境等控制措施：</w:t>
      </w:r>
      <w:r w:rsidRPr="00757893">
        <w:rPr>
          <w:rFonts w:ascii="標楷體" w:eastAsia="標楷體" w:hAnsi="標楷體" w:hint="eastAsia"/>
          <w:color w:val="000000" w:themeColor="text1"/>
          <w:kern w:val="0"/>
          <w:szCs w:val="24"/>
        </w:rPr>
        <w:t>依資通安全責任等級分級辦法第11條第2項規定，各機關自行或委外開發之資通系統應完成資通系統分級，並依附表十所定資通系統防護基準執行控制措施，其中「系統與服務獲得」構面之「獲得程序」控制措施規定，系統防護需求屬中、高級者，機關辦理系統開發、測試及正式作業環境應為區隔。故宮為落實上開規定，於ISMS操作安全管理規範程序書陸、一、（二）3規定，機房設備進行系統升級、變更設定及組態變更等作業程序，需求單位應填具資訊服務申請單，經管理單位依需求進行變更；陸、三、（一）規定，作業環境管理應區分開發、測試及正式上線區，以降低正式運作環境因意外或未經授權存取、變更，造成機敏資料外洩</w:t>
      </w:r>
      <w:r w:rsidR="00995696">
        <w:rPr>
          <w:rFonts w:ascii="標楷體" w:eastAsia="標楷體" w:hAnsi="標楷體" w:hint="eastAsia"/>
          <w:color w:val="000000" w:themeColor="text1"/>
          <w:kern w:val="0"/>
          <w:szCs w:val="24"/>
        </w:rPr>
        <w:t>風險</w:t>
      </w:r>
      <w:r w:rsidRPr="00757893">
        <w:rPr>
          <w:rFonts w:ascii="標楷體" w:eastAsia="標楷體" w:hAnsi="標楷體" w:hint="eastAsia"/>
          <w:color w:val="000000" w:themeColor="text1"/>
          <w:kern w:val="0"/>
          <w:szCs w:val="24"/>
        </w:rPr>
        <w:t>。故宮自110年開發文物高階圖檔影像降階程式（下稱影像降階程式），並置於內部伺服器使用，文物高階圖檔經降階處理後始開放於數位典藏系統供外界讀取，嗣因檔案降階作業之資料量過大</w:t>
      </w:r>
      <w:r>
        <w:rPr>
          <w:rFonts w:ascii="標楷體" w:eastAsia="標楷體" w:hAnsi="標楷體" w:hint="eastAsia"/>
          <w:color w:val="000000" w:themeColor="text1"/>
          <w:kern w:val="0"/>
          <w:szCs w:val="24"/>
        </w:rPr>
        <w:t>處理費時</w:t>
      </w:r>
      <w:r w:rsidRPr="00757893">
        <w:rPr>
          <w:rFonts w:ascii="標楷體" w:eastAsia="標楷體" w:hAnsi="標楷體" w:hint="eastAsia"/>
          <w:color w:val="000000" w:themeColor="text1"/>
          <w:kern w:val="0"/>
          <w:szCs w:val="24"/>
        </w:rPr>
        <w:t>，逕將影像降階程式移至對外服務伺服器（下稱VM○○），致遭人以自動化程式多次讀取局部高階圖像原始檔後，拼接成原圖販售，影響故宮智慧財產權利。經查</w:t>
      </w:r>
      <w:r w:rsidR="00995696">
        <w:rPr>
          <w:rFonts w:ascii="標楷體" w:eastAsia="標楷體" w:hAnsi="標楷體" w:hint="eastAsia"/>
          <w:color w:val="000000" w:themeColor="text1"/>
          <w:kern w:val="0"/>
          <w:szCs w:val="24"/>
        </w:rPr>
        <w:t>影像降階程式存取安全控制，</w:t>
      </w:r>
      <w:r w:rsidRPr="00757893">
        <w:rPr>
          <w:rFonts w:ascii="標楷體" w:eastAsia="標楷體" w:hAnsi="標楷體" w:hint="eastAsia"/>
          <w:color w:val="000000" w:themeColor="text1"/>
          <w:kern w:val="0"/>
          <w:szCs w:val="24"/>
        </w:rPr>
        <w:t>核有：（1）</w:t>
      </w:r>
      <w:r w:rsidR="00631240" w:rsidRPr="00631240">
        <w:rPr>
          <w:rFonts w:ascii="標楷體" w:eastAsia="標楷體" w:hAnsi="標楷體" w:hint="eastAsia"/>
          <w:color w:val="000000" w:themeColor="text1"/>
          <w:kern w:val="0"/>
          <w:szCs w:val="24"/>
        </w:rPr>
        <w:t>申請單位</w:t>
      </w:r>
      <w:r w:rsidRPr="00631240">
        <w:rPr>
          <w:rFonts w:ascii="標楷體" w:eastAsia="標楷體" w:hAnsi="標楷體" w:hint="eastAsia"/>
          <w:color w:val="000000" w:themeColor="text1"/>
          <w:kern w:val="0"/>
          <w:szCs w:val="24"/>
        </w:rPr>
        <w:t>未填具資訊</w:t>
      </w:r>
      <w:r w:rsidRPr="00757893">
        <w:rPr>
          <w:rFonts w:ascii="標楷體" w:eastAsia="標楷體" w:hAnsi="標楷體" w:hint="eastAsia"/>
          <w:color w:val="000000" w:themeColor="text1"/>
          <w:kern w:val="0"/>
          <w:szCs w:val="24"/>
        </w:rPr>
        <w:t>服務申請單經管理單位審核同意，即新增VM○○並將影像降階程式移至該伺服器；（2）文物高階圖檔外流事件發生後，故宮已移除VM○○，並於112年1月建置文物圖像上傳及調檔系統（下稱圖像上傳系統）採內部封閉式儲存設備及系統程式自動化處理作業，以阻絕文物高階圖檔外流風險，惟該院於系統未上線前，即審核同意可自測試環境存取文物高階圖檔儲存區之權限，且有實際讀取紀錄；（3）故宮以圖像上傳系統屬內部網路使用且功能數量不多為由，未填具資訊服務申請單，於系統完成後即將測試環境轉換為正式環境之組態變更設定等情事，經函請故宮研謀改善。據復：上述3項缺失事項，將依ISMS操作安全管理規範程序書規定，落實組態變更設定作業程序及作業環境管理區分等控制措施，強化資訊單位人員教育訓練，以避免機敏資料外洩。</w:t>
      </w:r>
    </w:p>
    <w:p w14:paraId="08D6AB9C" w14:textId="77777777" w:rsidR="00B96626" w:rsidRPr="00757893" w:rsidRDefault="00B96626" w:rsidP="00E31547">
      <w:pPr>
        <w:overflowPunct w:val="0"/>
        <w:snapToGrid w:val="0"/>
        <w:spacing w:line="440" w:lineRule="exact"/>
        <w:ind w:firstLineChars="450" w:firstLine="1081"/>
        <w:jc w:val="both"/>
        <w:rPr>
          <w:rFonts w:ascii="標楷體" w:eastAsia="標楷體" w:hAnsi="標楷體"/>
          <w:color w:val="000000" w:themeColor="text1"/>
          <w:kern w:val="0"/>
          <w:szCs w:val="24"/>
        </w:rPr>
      </w:pPr>
      <w:r w:rsidRPr="00757893">
        <w:rPr>
          <w:rFonts w:ascii="標楷體" w:eastAsia="標楷體" w:hAnsi="標楷體"/>
          <w:b/>
          <w:color w:val="000000" w:themeColor="text1"/>
          <w:kern w:val="0"/>
          <w:szCs w:val="24"/>
        </w:rPr>
        <w:t>2.</w:t>
      </w:r>
      <w:r w:rsidRPr="00757893">
        <w:rPr>
          <w:rFonts w:ascii="標楷體" w:eastAsia="標楷體" w:hAnsi="標楷體" w:hint="eastAsia"/>
          <w:b/>
          <w:color w:val="000000" w:themeColor="text1"/>
          <w:szCs w:val="24"/>
        </w:rPr>
        <w:t xml:space="preserve">　</w:t>
      </w:r>
      <w:r w:rsidRPr="00757893">
        <w:rPr>
          <w:rFonts w:ascii="標楷體" w:eastAsia="標楷體" w:hAnsi="標楷體" w:hint="eastAsia"/>
          <w:b/>
          <w:color w:val="000000" w:themeColor="text1"/>
          <w:kern w:val="0"/>
          <w:szCs w:val="24"/>
        </w:rPr>
        <w:t>持續進行資訊網路資安架構調整，惟對下載交付使用之文物高階圖檔未實施保存</w:t>
      </w:r>
      <w:r w:rsidRPr="00757893">
        <w:rPr>
          <w:rFonts w:ascii="標楷體" w:eastAsia="標楷體" w:hAnsi="標楷體" w:hint="eastAsia"/>
          <w:b/>
          <w:color w:val="000000" w:themeColor="text1"/>
          <w:kern w:val="0"/>
          <w:szCs w:val="24"/>
        </w:rPr>
        <w:lastRenderedPageBreak/>
        <w:t>與使</w:t>
      </w:r>
      <w:r>
        <w:rPr>
          <w:rFonts w:ascii="標楷體" w:eastAsia="標楷體" w:hAnsi="標楷體" w:hint="eastAsia"/>
          <w:b/>
          <w:color w:val="000000" w:themeColor="text1"/>
          <w:kern w:val="0"/>
          <w:szCs w:val="24"/>
        </w:rPr>
        <w:t>用情形之追蹤查察，</w:t>
      </w:r>
      <w:r w:rsidRPr="00757893">
        <w:rPr>
          <w:rFonts w:ascii="標楷體" w:eastAsia="標楷體" w:hAnsi="標楷體" w:hint="eastAsia"/>
          <w:b/>
          <w:color w:val="000000" w:themeColor="text1"/>
          <w:kern w:val="0"/>
          <w:szCs w:val="24"/>
        </w:rPr>
        <w:t>未於使用單位使用目的完成後要求刪除及銷毀：</w:t>
      </w:r>
      <w:r w:rsidRPr="00757893">
        <w:rPr>
          <w:rFonts w:ascii="標楷體" w:eastAsia="標楷體" w:hAnsi="標楷體" w:hint="eastAsia"/>
          <w:color w:val="000000" w:themeColor="text1"/>
          <w:kern w:val="0"/>
          <w:szCs w:val="24"/>
        </w:rPr>
        <w:t>依故宮ISMS資訊安全政策貳、十五、（六）規定，文物圖像數位檔案應採取相關保護措施。另ISMS資訊資產管理規範程序書陸、三、（三）1規定，各類資訊資產依其性質，應指定資產權責、保管及使用單位或相關負責人進行管理。</w:t>
      </w:r>
      <w:r w:rsidRPr="00757893">
        <w:rPr>
          <w:rFonts w:ascii="標楷體" w:eastAsia="標楷體" w:hAnsi="標楷體"/>
          <w:color w:val="000000" w:themeColor="text1"/>
          <w:kern w:val="0"/>
          <w:szCs w:val="24"/>
        </w:rPr>
        <w:t>ISMS存取控制管理規範程序書陸、十三</w:t>
      </w:r>
      <w:r w:rsidRPr="00757893">
        <w:rPr>
          <w:rFonts w:ascii="標楷體" w:eastAsia="標楷體" w:hAnsi="標楷體" w:hint="eastAsia"/>
          <w:color w:val="000000" w:themeColor="text1"/>
          <w:kern w:val="0"/>
          <w:szCs w:val="24"/>
        </w:rPr>
        <w:t>、（三）</w:t>
      </w:r>
      <w:r w:rsidRPr="00757893">
        <w:rPr>
          <w:rFonts w:ascii="標楷體" w:eastAsia="標楷體" w:hAnsi="標楷體"/>
          <w:color w:val="000000" w:themeColor="text1"/>
          <w:kern w:val="0"/>
          <w:szCs w:val="24"/>
        </w:rPr>
        <w:t>規定，</w:t>
      </w:r>
      <w:r w:rsidRPr="00757893">
        <w:rPr>
          <w:rFonts w:ascii="標楷體" w:eastAsia="標楷體" w:hAnsi="標楷體" w:hint="eastAsia"/>
          <w:color w:val="000000" w:themeColor="text1"/>
          <w:kern w:val="0"/>
          <w:szCs w:val="24"/>
        </w:rPr>
        <w:t>應依系統資源使用的風險評估，建置系統資源使用情形之監控管理系統與作業程序，確保使用者只能執行授權範圍內的作業管理事項，以有效且安全的管理系統資源之使用。經查故宮文物高階圖檔外流事件發生後，已移除VM○○以阻絕文物高階圖檔外流風險，並強化存取權限控制及由專責管理人員依簽准之資訊服務申請單下載文物圖像數位原始檔案，交付申請單位，惟對下載後交付使用之文物圖像數位原始檔案，未實施保存及使用情形之追蹤查察，以確保申請單位於授權使用目的之範圍內使用及未任意進行檔案複製或保留；亦未追蹤使用單位於使用目的完成後有無進行檔案刪除與銷毀，核與故宮ISMS資訊資產管理規範及存取控制管理規範等程序書均有未合，經函請故宮研謀改善。據復：已訂定故宮資通網路管理作業要點、數位典藏圖像產製取用及備份作業須知，嚴格控管存取權限及網路連通狀況，及留存圖檔作業存取紀錄，作為稽核及監督使用，以降低數位資產流失、不當使用及人為疏失之風險。</w:t>
      </w:r>
    </w:p>
    <w:p w14:paraId="2E8245CE" w14:textId="2D84BB17" w:rsidR="00B96626" w:rsidRPr="00757893" w:rsidRDefault="0054724C" w:rsidP="009B423E">
      <w:pPr>
        <w:overflowPunct w:val="0"/>
        <w:snapToGrid w:val="0"/>
        <w:spacing w:line="460" w:lineRule="exact"/>
        <w:ind w:firstLineChars="350" w:firstLine="1121"/>
        <w:jc w:val="both"/>
        <w:rPr>
          <w:rFonts w:ascii="標楷體" w:eastAsia="標楷體" w:hAnsi="標楷體"/>
          <w:color w:val="000000" w:themeColor="text1"/>
          <w:kern w:val="0"/>
          <w:szCs w:val="24"/>
        </w:rPr>
      </w:pPr>
      <w:r w:rsidRPr="00757893">
        <w:rPr>
          <w:rFonts w:ascii="標楷體" w:eastAsia="標楷體" w:hAnsi="標楷體" w:hint="eastAsia"/>
          <w:b/>
          <w:noProof/>
          <w:color w:val="000000" w:themeColor="text1"/>
          <w:sz w:val="32"/>
          <w:szCs w:val="32"/>
        </w:rPr>
        <mc:AlternateContent>
          <mc:Choice Requires="wps">
            <w:drawing>
              <wp:anchor distT="0" distB="0" distL="114300" distR="114300" simplePos="0" relativeHeight="251625472" behindDoc="0" locked="0" layoutInCell="1" allowOverlap="1" wp14:anchorId="23A8C27D" wp14:editId="21B8D068">
                <wp:simplePos x="0" y="0"/>
                <wp:positionH relativeFrom="margin">
                  <wp:posOffset>3403600</wp:posOffset>
                </wp:positionH>
                <wp:positionV relativeFrom="margin">
                  <wp:posOffset>6991350</wp:posOffset>
                </wp:positionV>
                <wp:extent cx="2846705" cy="1880235"/>
                <wp:effectExtent l="0" t="0" r="0" b="5715"/>
                <wp:wrapSquare wrapText="bothSides"/>
                <wp:docPr id="16" name="文字方塊 16"/>
                <wp:cNvGraphicFramePr/>
                <a:graphic xmlns:a="http://schemas.openxmlformats.org/drawingml/2006/main">
                  <a:graphicData uri="http://schemas.microsoft.com/office/word/2010/wordprocessingShape">
                    <wps:wsp>
                      <wps:cNvSpPr txBox="1"/>
                      <wps:spPr>
                        <a:xfrm>
                          <a:off x="0" y="0"/>
                          <a:ext cx="2846705" cy="1880235"/>
                        </a:xfrm>
                        <a:prstGeom prst="rect">
                          <a:avLst/>
                        </a:prstGeom>
                        <a:solidFill>
                          <a:schemeClr val="lt1"/>
                        </a:solidFill>
                        <a:ln w="6350">
                          <a:noFill/>
                        </a:ln>
                      </wps:spPr>
                      <wps:txbx>
                        <w:txbxContent>
                          <w:p w14:paraId="3C803B4A" w14:textId="1FB5E212" w:rsidR="00A0212B" w:rsidRPr="0098393C" w:rsidRDefault="00A0212B" w:rsidP="00B96626">
                            <w:pPr>
                              <w:overflowPunct w:val="0"/>
                              <w:adjustRightInd w:val="0"/>
                              <w:snapToGrid w:val="0"/>
                              <w:spacing w:line="320" w:lineRule="exact"/>
                              <w:jc w:val="center"/>
                              <w:rPr>
                                <w:rFonts w:ascii="標楷體" w:eastAsia="標楷體" w:hAnsi="標楷體"/>
                                <w:b/>
                                <w:bCs/>
                                <w:spacing w:val="-18"/>
                                <w:szCs w:val="24"/>
                                <w:lang w:val="x-none"/>
                              </w:rPr>
                            </w:pPr>
                            <w:r w:rsidRPr="005D2E44">
                              <w:rPr>
                                <w:rFonts w:ascii="標楷體" w:eastAsia="標楷體" w:hAnsi="標楷體" w:hint="eastAsia"/>
                                <w:b/>
                                <w:color w:val="000000" w:themeColor="text1"/>
                                <w:szCs w:val="24"/>
                              </w:rPr>
                              <w:t>表</w:t>
                            </w:r>
                            <w:r>
                              <w:rPr>
                                <w:rFonts w:ascii="標楷體" w:eastAsia="標楷體" w:hAnsi="標楷體"/>
                                <w:b/>
                                <w:color w:val="000000" w:themeColor="text1"/>
                                <w:szCs w:val="24"/>
                              </w:rPr>
                              <w:t>34</w:t>
                            </w:r>
                            <w:r>
                              <w:rPr>
                                <w:rFonts w:ascii="標楷體" w:eastAsia="標楷體" w:hAnsi="標楷體" w:hint="eastAsia"/>
                                <w:b/>
                                <w:szCs w:val="24"/>
                              </w:rPr>
                              <w:t xml:space="preserve">　</w:t>
                            </w:r>
                            <w:r w:rsidRPr="00E31547">
                              <w:rPr>
                                <w:rFonts w:ascii="標楷體" w:eastAsia="標楷體" w:hAnsi="標楷體"/>
                                <w:b/>
                                <w:bCs/>
                                <w:szCs w:val="24"/>
                                <w:lang w:val="x-none"/>
                              </w:rPr>
                              <w:t>112年度資通系統防護需求等級</w:t>
                            </w:r>
                          </w:p>
                          <w:p w14:paraId="1E6F54DC" w14:textId="77777777" w:rsidR="00A0212B" w:rsidRPr="00335040" w:rsidRDefault="00A0212B" w:rsidP="00B96626">
                            <w:pPr>
                              <w:overflowPunct w:val="0"/>
                              <w:adjustRightInd w:val="0"/>
                              <w:snapToGrid w:val="0"/>
                              <w:spacing w:line="240" w:lineRule="exact"/>
                              <w:jc w:val="right"/>
                              <w:rPr>
                                <w:rFonts w:ascii="標楷體" w:eastAsia="標楷體" w:hAnsi="標楷體"/>
                                <w:spacing w:val="-18"/>
                                <w:sz w:val="20"/>
                                <w:szCs w:val="24"/>
                              </w:rPr>
                            </w:pPr>
                            <w:r w:rsidRPr="00335040">
                              <w:rPr>
                                <w:rFonts w:ascii="標楷體" w:eastAsia="標楷體" w:hAnsi="標楷體" w:hint="eastAsia"/>
                                <w:bCs/>
                                <w:spacing w:val="-18"/>
                                <w:sz w:val="20"/>
                                <w:szCs w:val="24"/>
                                <w:lang w:val="x-none"/>
                              </w:rPr>
                              <w:t>單位：項</w:t>
                            </w:r>
                          </w:p>
                          <w:tbl>
                            <w:tblPr>
                              <w:tblStyle w:val="afff"/>
                              <w:tblW w:w="0" w:type="auto"/>
                              <w:tblLook w:val="04A0" w:firstRow="1" w:lastRow="0" w:firstColumn="1" w:lastColumn="0" w:noHBand="0" w:noVBand="1"/>
                            </w:tblPr>
                            <w:tblGrid>
                              <w:gridCol w:w="1526"/>
                              <w:gridCol w:w="708"/>
                              <w:gridCol w:w="709"/>
                              <w:gridCol w:w="709"/>
                              <w:gridCol w:w="709"/>
                            </w:tblGrid>
                            <w:tr w:rsidR="00A0212B" w:rsidRPr="0098393C" w14:paraId="313C2CBC" w14:textId="77777777" w:rsidTr="005C22EC">
                              <w:trPr>
                                <w:trHeight w:val="1042"/>
                              </w:trPr>
                              <w:tc>
                                <w:tcPr>
                                  <w:tcW w:w="1526" w:type="dxa"/>
                                  <w:tcBorders>
                                    <w:tl2br w:val="single" w:sz="4" w:space="0" w:color="auto"/>
                                  </w:tcBorders>
                                  <w:vAlign w:val="center"/>
                                </w:tcPr>
                                <w:p w14:paraId="301740A2" w14:textId="77777777" w:rsidR="00A0212B" w:rsidRPr="00E31547" w:rsidRDefault="00A0212B" w:rsidP="005C22EC">
                                  <w:pPr>
                                    <w:wordWrap w:val="0"/>
                                    <w:overflowPunct w:val="0"/>
                                    <w:adjustRightInd w:val="0"/>
                                    <w:snapToGrid w:val="0"/>
                                    <w:spacing w:line="280" w:lineRule="exact"/>
                                    <w:ind w:leftChars="-40" w:left="-96" w:rightChars="-49" w:right="-118"/>
                                    <w:jc w:val="right"/>
                                    <w:rPr>
                                      <w:rFonts w:ascii="標楷體" w:eastAsia="標楷體" w:hAnsi="標楷體"/>
                                      <w:bCs/>
                                      <w:sz w:val="20"/>
                                      <w:lang w:val="x-none"/>
                                    </w:rPr>
                                  </w:pPr>
                                  <w:r w:rsidRPr="00E31547">
                                    <w:rPr>
                                      <w:rFonts w:ascii="標楷體" w:eastAsia="標楷體" w:hAnsi="標楷體" w:hint="eastAsia"/>
                                      <w:bCs/>
                                      <w:sz w:val="20"/>
                                      <w:lang w:val="x-none"/>
                                    </w:rPr>
                                    <w:t>等級</w:t>
                                  </w:r>
                                  <w:r w:rsidRPr="00E31547">
                                    <w:rPr>
                                      <w:rFonts w:ascii="標楷體" w:eastAsia="標楷體" w:hAnsi="標楷體"/>
                                      <w:bCs/>
                                      <w:sz w:val="20"/>
                                      <w:lang w:val="x-none"/>
                                    </w:rPr>
                                    <w:t xml:space="preserve"> </w:t>
                                  </w:r>
                                </w:p>
                                <w:p w14:paraId="07174FFC" w14:textId="77777777" w:rsidR="00A0212B" w:rsidRPr="00E31547" w:rsidRDefault="00A0212B" w:rsidP="005C22EC">
                                  <w:pPr>
                                    <w:overflowPunct w:val="0"/>
                                    <w:adjustRightInd w:val="0"/>
                                    <w:snapToGrid w:val="0"/>
                                    <w:spacing w:line="280" w:lineRule="exact"/>
                                    <w:ind w:rightChars="-49" w:right="-118"/>
                                    <w:rPr>
                                      <w:rFonts w:ascii="標楷體" w:eastAsia="標楷體" w:hAnsi="標楷體"/>
                                      <w:b/>
                                      <w:bCs/>
                                      <w:sz w:val="20"/>
                                      <w:lang w:val="x-none"/>
                                    </w:rPr>
                                  </w:pPr>
                                  <w:r w:rsidRPr="00E31547">
                                    <w:rPr>
                                      <w:rFonts w:ascii="標楷體" w:eastAsia="標楷體" w:hAnsi="標楷體" w:hint="eastAsia"/>
                                      <w:bCs/>
                                      <w:sz w:val="20"/>
                                      <w:lang w:val="x-none"/>
                                    </w:rPr>
                                    <w:t>類別</w:t>
                                  </w:r>
                                </w:p>
                              </w:tc>
                              <w:tc>
                                <w:tcPr>
                                  <w:tcW w:w="708" w:type="dxa"/>
                                  <w:vAlign w:val="center"/>
                                </w:tcPr>
                                <w:p w14:paraId="246434D0" w14:textId="77777777" w:rsidR="00A0212B" w:rsidRPr="00E31547" w:rsidRDefault="00A0212B" w:rsidP="005C22EC">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Cs/>
                                      <w:sz w:val="20"/>
                                      <w:lang w:val="x-none"/>
                                    </w:rPr>
                                    <w:t>合計</w:t>
                                  </w:r>
                                </w:p>
                              </w:tc>
                              <w:tc>
                                <w:tcPr>
                                  <w:tcW w:w="709" w:type="dxa"/>
                                  <w:vAlign w:val="center"/>
                                </w:tcPr>
                                <w:p w14:paraId="334AE73B" w14:textId="77777777" w:rsidR="00A0212B" w:rsidRPr="00E31547" w:rsidRDefault="00A0212B" w:rsidP="005C22EC">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Cs/>
                                      <w:sz w:val="20"/>
                                      <w:lang w:val="x-none"/>
                                    </w:rPr>
                                    <w:t>普</w:t>
                                  </w:r>
                                </w:p>
                              </w:tc>
                              <w:tc>
                                <w:tcPr>
                                  <w:tcW w:w="709" w:type="dxa"/>
                                  <w:vAlign w:val="center"/>
                                </w:tcPr>
                                <w:p w14:paraId="5B9589D7" w14:textId="77777777" w:rsidR="00A0212B" w:rsidRPr="00E31547" w:rsidRDefault="00A0212B" w:rsidP="005C22EC">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Cs/>
                                      <w:sz w:val="20"/>
                                      <w:lang w:val="x-none"/>
                                    </w:rPr>
                                    <w:t>中</w:t>
                                  </w:r>
                                </w:p>
                              </w:tc>
                              <w:tc>
                                <w:tcPr>
                                  <w:tcW w:w="709" w:type="dxa"/>
                                  <w:vAlign w:val="center"/>
                                </w:tcPr>
                                <w:p w14:paraId="12D5DAEB" w14:textId="77777777" w:rsidR="00A0212B" w:rsidRPr="00E31547" w:rsidRDefault="00A0212B" w:rsidP="005C22EC">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Cs/>
                                      <w:sz w:val="20"/>
                                      <w:lang w:val="x-none"/>
                                    </w:rPr>
                                    <w:t>高</w:t>
                                  </w:r>
                                </w:p>
                              </w:tc>
                            </w:tr>
                            <w:tr w:rsidR="00A0212B" w:rsidRPr="0098393C" w14:paraId="19A3E426" w14:textId="77777777" w:rsidTr="005C22EC">
                              <w:tc>
                                <w:tcPr>
                                  <w:tcW w:w="1526" w:type="dxa"/>
                                  <w:vAlign w:val="center"/>
                                </w:tcPr>
                                <w:p w14:paraId="6C8CE716" w14:textId="77777777" w:rsidR="00A0212B" w:rsidRPr="00E31547" w:rsidRDefault="00A0212B" w:rsidP="00E31547">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
                                      <w:bCs/>
                                      <w:sz w:val="20"/>
                                      <w:lang w:val="x-none"/>
                                    </w:rPr>
                                    <w:t>合計</w:t>
                                  </w:r>
                                </w:p>
                              </w:tc>
                              <w:tc>
                                <w:tcPr>
                                  <w:tcW w:w="708" w:type="dxa"/>
                                  <w:vAlign w:val="center"/>
                                </w:tcPr>
                                <w:p w14:paraId="748A1912"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26</w:t>
                                  </w:r>
                                </w:p>
                              </w:tc>
                              <w:tc>
                                <w:tcPr>
                                  <w:tcW w:w="709" w:type="dxa"/>
                                  <w:vAlign w:val="center"/>
                                </w:tcPr>
                                <w:p w14:paraId="70F0BEE6"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12</w:t>
                                  </w:r>
                                </w:p>
                              </w:tc>
                              <w:tc>
                                <w:tcPr>
                                  <w:tcW w:w="709" w:type="dxa"/>
                                  <w:vAlign w:val="center"/>
                                </w:tcPr>
                                <w:p w14:paraId="5ED86507"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12</w:t>
                                  </w:r>
                                </w:p>
                              </w:tc>
                              <w:tc>
                                <w:tcPr>
                                  <w:tcW w:w="709" w:type="dxa"/>
                                </w:tcPr>
                                <w:p w14:paraId="2EA8B7E7"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2</w:t>
                                  </w:r>
                                </w:p>
                              </w:tc>
                            </w:tr>
                            <w:tr w:rsidR="00A0212B" w:rsidRPr="0098393C" w14:paraId="465568F6" w14:textId="77777777" w:rsidTr="005C22EC">
                              <w:tc>
                                <w:tcPr>
                                  <w:tcW w:w="1526" w:type="dxa"/>
                                  <w:vAlign w:val="center"/>
                                </w:tcPr>
                                <w:p w14:paraId="3F74475E"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核心系統</w:t>
                                  </w:r>
                                </w:p>
                              </w:tc>
                              <w:tc>
                                <w:tcPr>
                                  <w:tcW w:w="708" w:type="dxa"/>
                                  <w:vAlign w:val="center"/>
                                </w:tcPr>
                                <w:p w14:paraId="6AE2B883"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3</w:t>
                                  </w:r>
                                </w:p>
                              </w:tc>
                              <w:tc>
                                <w:tcPr>
                                  <w:tcW w:w="709" w:type="dxa"/>
                                  <w:vAlign w:val="center"/>
                                </w:tcPr>
                                <w:p w14:paraId="16CD71DA" w14:textId="272624A6" w:rsidR="00A0212B" w:rsidRPr="00E31547" w:rsidRDefault="00332577" w:rsidP="005C22EC">
                                  <w:pPr>
                                    <w:overflowPunct w:val="0"/>
                                    <w:adjustRightInd w:val="0"/>
                                    <w:snapToGrid w:val="0"/>
                                    <w:spacing w:line="280" w:lineRule="exact"/>
                                    <w:jc w:val="right"/>
                                    <w:rPr>
                                      <w:rFonts w:ascii="標楷體" w:eastAsia="標楷體" w:hAnsi="標楷體"/>
                                      <w:bCs/>
                                      <w:sz w:val="20"/>
                                      <w:lang w:val="x-none"/>
                                    </w:rPr>
                                  </w:pPr>
                                  <w:r>
                                    <w:rPr>
                                      <w:rFonts w:ascii="標楷體" w:eastAsia="標楷體" w:hAnsi="標楷體" w:hint="eastAsia"/>
                                      <w:bCs/>
                                      <w:sz w:val="20"/>
                                      <w:lang w:val="x-none"/>
                                    </w:rPr>
                                    <w:t>－</w:t>
                                  </w:r>
                                </w:p>
                              </w:tc>
                              <w:tc>
                                <w:tcPr>
                                  <w:tcW w:w="709" w:type="dxa"/>
                                  <w:vAlign w:val="center"/>
                                </w:tcPr>
                                <w:p w14:paraId="62958033" w14:textId="77777777" w:rsidR="00A0212B" w:rsidRPr="00E31547" w:rsidRDefault="00A0212B" w:rsidP="005C22EC">
                                  <w:pPr>
                                    <w:overflowPunct w:val="0"/>
                                    <w:adjustRightInd w:val="0"/>
                                    <w:snapToGrid w:val="0"/>
                                    <w:spacing w:line="280" w:lineRule="exact"/>
                                    <w:jc w:val="right"/>
                                    <w:rPr>
                                      <w:rFonts w:ascii="標楷體" w:eastAsia="標楷體" w:hAnsi="標楷體"/>
                                      <w:bCs/>
                                      <w:sz w:val="20"/>
                                      <w:lang w:val="x-none"/>
                                    </w:rPr>
                                  </w:pPr>
                                  <w:r w:rsidRPr="00E31547">
                                    <w:rPr>
                                      <w:rFonts w:ascii="標楷體" w:eastAsia="標楷體" w:hAnsi="標楷體"/>
                                      <w:bCs/>
                                      <w:sz w:val="20"/>
                                      <w:lang w:val="x-none"/>
                                    </w:rPr>
                                    <w:t>1</w:t>
                                  </w:r>
                                </w:p>
                              </w:tc>
                              <w:tc>
                                <w:tcPr>
                                  <w:tcW w:w="709" w:type="dxa"/>
                                </w:tcPr>
                                <w:p w14:paraId="1C6413B9" w14:textId="77777777" w:rsidR="00A0212B" w:rsidRPr="00E31547" w:rsidRDefault="00A0212B" w:rsidP="005C22EC">
                                  <w:pPr>
                                    <w:overflowPunct w:val="0"/>
                                    <w:adjustRightInd w:val="0"/>
                                    <w:snapToGrid w:val="0"/>
                                    <w:spacing w:line="280" w:lineRule="exact"/>
                                    <w:jc w:val="right"/>
                                    <w:rPr>
                                      <w:rFonts w:ascii="標楷體" w:eastAsia="標楷體" w:hAnsi="標楷體"/>
                                      <w:bCs/>
                                      <w:sz w:val="20"/>
                                      <w:lang w:val="x-none"/>
                                    </w:rPr>
                                  </w:pPr>
                                  <w:r w:rsidRPr="00E31547">
                                    <w:rPr>
                                      <w:rFonts w:ascii="標楷體" w:eastAsia="標楷體" w:hAnsi="標楷體"/>
                                      <w:bCs/>
                                      <w:sz w:val="20"/>
                                      <w:lang w:val="x-none"/>
                                    </w:rPr>
                                    <w:t>2</w:t>
                                  </w:r>
                                </w:p>
                              </w:tc>
                            </w:tr>
                            <w:tr w:rsidR="00A0212B" w:rsidRPr="0098393C" w14:paraId="5716905A" w14:textId="77777777" w:rsidTr="005C22EC">
                              <w:tc>
                                <w:tcPr>
                                  <w:tcW w:w="1526" w:type="dxa"/>
                                  <w:vAlign w:val="center"/>
                                </w:tcPr>
                                <w:p w14:paraId="55A88D84"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非核心系統</w:t>
                                  </w:r>
                                </w:p>
                              </w:tc>
                              <w:tc>
                                <w:tcPr>
                                  <w:tcW w:w="708" w:type="dxa"/>
                                  <w:vAlign w:val="center"/>
                                </w:tcPr>
                                <w:p w14:paraId="3E49ED3A"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23</w:t>
                                  </w:r>
                                </w:p>
                              </w:tc>
                              <w:tc>
                                <w:tcPr>
                                  <w:tcW w:w="709" w:type="dxa"/>
                                  <w:vAlign w:val="center"/>
                                </w:tcPr>
                                <w:p w14:paraId="351E8F9B" w14:textId="77777777" w:rsidR="00A0212B" w:rsidRPr="00E31547" w:rsidRDefault="00A0212B" w:rsidP="005C22EC">
                                  <w:pPr>
                                    <w:overflowPunct w:val="0"/>
                                    <w:adjustRightInd w:val="0"/>
                                    <w:snapToGrid w:val="0"/>
                                    <w:spacing w:line="280" w:lineRule="exact"/>
                                    <w:jc w:val="right"/>
                                    <w:rPr>
                                      <w:rFonts w:ascii="標楷體" w:eastAsia="標楷體" w:hAnsi="標楷體"/>
                                      <w:bCs/>
                                      <w:sz w:val="20"/>
                                      <w:lang w:val="x-none"/>
                                    </w:rPr>
                                  </w:pPr>
                                  <w:r w:rsidRPr="00E31547">
                                    <w:rPr>
                                      <w:rFonts w:ascii="標楷體" w:eastAsia="標楷體" w:hAnsi="標楷體"/>
                                      <w:bCs/>
                                      <w:sz w:val="20"/>
                                      <w:lang w:val="x-none"/>
                                    </w:rPr>
                                    <w:t>12</w:t>
                                  </w:r>
                                </w:p>
                              </w:tc>
                              <w:tc>
                                <w:tcPr>
                                  <w:tcW w:w="709" w:type="dxa"/>
                                  <w:vAlign w:val="center"/>
                                </w:tcPr>
                                <w:p w14:paraId="7077F65C" w14:textId="77777777" w:rsidR="00A0212B" w:rsidRPr="00E31547" w:rsidRDefault="00A0212B" w:rsidP="005C22EC">
                                  <w:pPr>
                                    <w:overflowPunct w:val="0"/>
                                    <w:adjustRightInd w:val="0"/>
                                    <w:snapToGrid w:val="0"/>
                                    <w:spacing w:line="280" w:lineRule="exact"/>
                                    <w:jc w:val="right"/>
                                    <w:rPr>
                                      <w:rFonts w:ascii="標楷體" w:eastAsia="標楷體" w:hAnsi="標楷體"/>
                                      <w:bCs/>
                                      <w:sz w:val="20"/>
                                      <w:lang w:val="x-none"/>
                                    </w:rPr>
                                  </w:pPr>
                                  <w:r w:rsidRPr="00E31547">
                                    <w:rPr>
                                      <w:rFonts w:ascii="標楷體" w:eastAsia="標楷體" w:hAnsi="標楷體"/>
                                      <w:bCs/>
                                      <w:sz w:val="20"/>
                                      <w:lang w:val="x-none"/>
                                    </w:rPr>
                                    <w:t>11</w:t>
                                  </w:r>
                                </w:p>
                              </w:tc>
                              <w:tc>
                                <w:tcPr>
                                  <w:tcW w:w="709" w:type="dxa"/>
                                </w:tcPr>
                                <w:p w14:paraId="45332B72" w14:textId="7C245C88" w:rsidR="00A0212B" w:rsidRPr="00E31547" w:rsidRDefault="00332577" w:rsidP="005C22EC">
                                  <w:pPr>
                                    <w:overflowPunct w:val="0"/>
                                    <w:adjustRightInd w:val="0"/>
                                    <w:snapToGrid w:val="0"/>
                                    <w:spacing w:line="280" w:lineRule="exact"/>
                                    <w:jc w:val="right"/>
                                    <w:rPr>
                                      <w:rFonts w:ascii="標楷體" w:eastAsia="標楷體" w:hAnsi="標楷體"/>
                                      <w:bCs/>
                                      <w:sz w:val="20"/>
                                      <w:lang w:val="x-none"/>
                                    </w:rPr>
                                  </w:pPr>
                                  <w:r>
                                    <w:rPr>
                                      <w:rFonts w:ascii="標楷體" w:eastAsia="標楷體" w:hAnsi="標楷體" w:hint="eastAsia"/>
                                      <w:bCs/>
                                      <w:sz w:val="20"/>
                                      <w:lang w:val="x-none"/>
                                    </w:rPr>
                                    <w:t>－</w:t>
                                  </w:r>
                                </w:p>
                              </w:tc>
                            </w:tr>
                          </w:tbl>
                          <w:p w14:paraId="17ACA1AB" w14:textId="7DD7EF19" w:rsidR="00A0212B" w:rsidRPr="0098393C" w:rsidRDefault="00A0212B" w:rsidP="00B96626">
                            <w:pPr>
                              <w:overflowPunct w:val="0"/>
                              <w:adjustRightInd w:val="0"/>
                              <w:snapToGrid w:val="0"/>
                              <w:spacing w:line="280" w:lineRule="exact"/>
                              <w:ind w:leftChars="-35" w:left="-8" w:hangingChars="42" w:hanging="76"/>
                              <w:jc w:val="both"/>
                              <w:rPr>
                                <w:sz w:val="22"/>
                              </w:rPr>
                            </w:pPr>
                            <w:r w:rsidRPr="0098393C">
                              <w:rPr>
                                <w:rFonts w:ascii="標楷體" w:eastAsia="標楷體" w:hAnsi="標楷體" w:hint="eastAsia"/>
                                <w:bCs/>
                                <w:sz w:val="18"/>
                                <w:lang w:val="x-none"/>
                              </w:rPr>
                              <w:t>資料來源：整理自</w:t>
                            </w:r>
                            <w:r w:rsidRPr="00E20AFC">
                              <w:rPr>
                                <w:rFonts w:ascii="標楷體" w:eastAsia="標楷體" w:hAnsi="標楷體" w:hint="eastAsia"/>
                                <w:bCs/>
                                <w:sz w:val="18"/>
                                <w:lang w:val="x-none"/>
                              </w:rPr>
                              <w:t>國立故宮博物院</w:t>
                            </w:r>
                            <w:r w:rsidRPr="0098393C">
                              <w:rPr>
                                <w:rFonts w:ascii="標楷體" w:eastAsia="標楷體" w:hAnsi="標楷體" w:hint="eastAsia"/>
                                <w:bCs/>
                                <w:sz w:val="18"/>
                                <w:lang w:val="x-none"/>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8C27D" id="文字方塊 16" o:spid="_x0000_s1099" type="#_x0000_t202" style="position:absolute;left:0;text-align:left;margin-left:268pt;margin-top:550.5pt;width:224.15pt;height:148.05pt;z-index:251625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" fillcolor="white [3201]" stroked="f" strokeweight=".5pt">
                <v:textbox>
                  <w:txbxContent>
                    <w:p w14:paraId="3C803B4A" w14:textId="1FB5E212" w:rsidR="00A0212B" w:rsidRPr="0098393C" w:rsidRDefault="00A0212B" w:rsidP="00B96626">
                      <w:pPr>
                        <w:overflowPunct w:val="0"/>
                        <w:adjustRightInd w:val="0"/>
                        <w:snapToGrid w:val="0"/>
                        <w:spacing w:line="320" w:lineRule="exact"/>
                        <w:jc w:val="center"/>
                        <w:rPr>
                          <w:rFonts w:ascii="標楷體" w:eastAsia="標楷體" w:hAnsi="標楷體"/>
                          <w:b/>
                          <w:bCs/>
                          <w:spacing w:val="-18"/>
                          <w:szCs w:val="24"/>
                          <w:lang w:val="x-none"/>
                        </w:rPr>
                      </w:pPr>
                      <w:r w:rsidRPr="005D2E44">
                        <w:rPr>
                          <w:rFonts w:ascii="標楷體" w:eastAsia="標楷體" w:hAnsi="標楷體" w:hint="eastAsia"/>
                          <w:b/>
                          <w:color w:val="000000" w:themeColor="text1"/>
                          <w:szCs w:val="24"/>
                        </w:rPr>
                        <w:t>表</w:t>
                      </w:r>
                      <w:r>
                        <w:rPr>
                          <w:rFonts w:ascii="標楷體" w:eastAsia="標楷體" w:hAnsi="標楷體"/>
                          <w:b/>
                          <w:color w:val="000000" w:themeColor="text1"/>
                          <w:szCs w:val="24"/>
                        </w:rPr>
                        <w:t>34</w:t>
                      </w:r>
                      <w:r>
                        <w:rPr>
                          <w:rFonts w:ascii="標楷體" w:eastAsia="標楷體" w:hAnsi="標楷體" w:hint="eastAsia"/>
                          <w:b/>
                          <w:szCs w:val="24"/>
                        </w:rPr>
                        <w:t xml:space="preserve">　</w:t>
                      </w:r>
                      <w:r w:rsidRPr="00E31547">
                        <w:rPr>
                          <w:rFonts w:ascii="標楷體" w:eastAsia="標楷體" w:hAnsi="標楷體"/>
                          <w:b/>
                          <w:bCs/>
                          <w:szCs w:val="24"/>
                          <w:lang w:val="x-none"/>
                        </w:rPr>
                        <w:t>112年度資通系統防護需求等級</w:t>
                      </w:r>
                    </w:p>
                    <w:p w14:paraId="1E6F54DC" w14:textId="77777777" w:rsidR="00A0212B" w:rsidRPr="00335040" w:rsidRDefault="00A0212B" w:rsidP="00B96626">
                      <w:pPr>
                        <w:overflowPunct w:val="0"/>
                        <w:adjustRightInd w:val="0"/>
                        <w:snapToGrid w:val="0"/>
                        <w:spacing w:line="240" w:lineRule="exact"/>
                        <w:jc w:val="right"/>
                        <w:rPr>
                          <w:rFonts w:ascii="標楷體" w:eastAsia="標楷體" w:hAnsi="標楷體"/>
                          <w:spacing w:val="-18"/>
                          <w:sz w:val="20"/>
                          <w:szCs w:val="24"/>
                        </w:rPr>
                      </w:pPr>
                      <w:r w:rsidRPr="00335040">
                        <w:rPr>
                          <w:rFonts w:ascii="標楷體" w:eastAsia="標楷體" w:hAnsi="標楷體" w:hint="eastAsia"/>
                          <w:bCs/>
                          <w:spacing w:val="-18"/>
                          <w:sz w:val="20"/>
                          <w:szCs w:val="24"/>
                          <w:lang w:val="x-none"/>
                        </w:rPr>
                        <w:t>單位：項</w:t>
                      </w:r>
                    </w:p>
                    <w:tbl>
                      <w:tblPr>
                        <w:tblStyle w:val="afff"/>
                        <w:tblW w:w="0" w:type="auto"/>
                        <w:tblLook w:val="04A0" w:firstRow="1" w:lastRow="0" w:firstColumn="1" w:lastColumn="0" w:noHBand="0" w:noVBand="1"/>
                      </w:tblPr>
                      <w:tblGrid>
                        <w:gridCol w:w="1526"/>
                        <w:gridCol w:w="708"/>
                        <w:gridCol w:w="709"/>
                        <w:gridCol w:w="709"/>
                        <w:gridCol w:w="709"/>
                      </w:tblGrid>
                      <w:tr w:rsidR="00A0212B" w:rsidRPr="0098393C" w14:paraId="313C2CBC" w14:textId="77777777" w:rsidTr="005C22EC">
                        <w:trPr>
                          <w:trHeight w:val="1042"/>
                        </w:trPr>
                        <w:tc>
                          <w:tcPr>
                            <w:tcW w:w="1526" w:type="dxa"/>
                            <w:tcBorders>
                              <w:tl2br w:val="single" w:sz="4" w:space="0" w:color="auto"/>
                            </w:tcBorders>
                            <w:vAlign w:val="center"/>
                          </w:tcPr>
                          <w:p w14:paraId="301740A2" w14:textId="77777777" w:rsidR="00A0212B" w:rsidRPr="00E31547" w:rsidRDefault="00A0212B" w:rsidP="005C22EC">
                            <w:pPr>
                              <w:wordWrap w:val="0"/>
                              <w:overflowPunct w:val="0"/>
                              <w:adjustRightInd w:val="0"/>
                              <w:snapToGrid w:val="0"/>
                              <w:spacing w:line="280" w:lineRule="exact"/>
                              <w:ind w:leftChars="-40" w:left="-96" w:rightChars="-49" w:right="-118"/>
                              <w:jc w:val="right"/>
                              <w:rPr>
                                <w:rFonts w:ascii="標楷體" w:eastAsia="標楷體" w:hAnsi="標楷體"/>
                                <w:bCs/>
                                <w:sz w:val="20"/>
                                <w:lang w:val="x-none"/>
                              </w:rPr>
                            </w:pPr>
                            <w:r w:rsidRPr="00E31547">
                              <w:rPr>
                                <w:rFonts w:ascii="標楷體" w:eastAsia="標楷體" w:hAnsi="標楷體" w:hint="eastAsia"/>
                                <w:bCs/>
                                <w:sz w:val="20"/>
                                <w:lang w:val="x-none"/>
                              </w:rPr>
                              <w:t>等級</w:t>
                            </w:r>
                            <w:r w:rsidRPr="00E31547">
                              <w:rPr>
                                <w:rFonts w:ascii="標楷體" w:eastAsia="標楷體" w:hAnsi="標楷體"/>
                                <w:bCs/>
                                <w:sz w:val="20"/>
                                <w:lang w:val="x-none"/>
                              </w:rPr>
                              <w:t xml:space="preserve"> </w:t>
                            </w:r>
                          </w:p>
                          <w:p w14:paraId="07174FFC" w14:textId="77777777" w:rsidR="00A0212B" w:rsidRPr="00E31547" w:rsidRDefault="00A0212B" w:rsidP="005C22EC">
                            <w:pPr>
                              <w:overflowPunct w:val="0"/>
                              <w:adjustRightInd w:val="0"/>
                              <w:snapToGrid w:val="0"/>
                              <w:spacing w:line="280" w:lineRule="exact"/>
                              <w:ind w:rightChars="-49" w:right="-118"/>
                              <w:rPr>
                                <w:rFonts w:ascii="標楷體" w:eastAsia="標楷體" w:hAnsi="標楷體"/>
                                <w:b/>
                                <w:bCs/>
                                <w:sz w:val="20"/>
                                <w:lang w:val="x-none"/>
                              </w:rPr>
                            </w:pPr>
                            <w:r w:rsidRPr="00E31547">
                              <w:rPr>
                                <w:rFonts w:ascii="標楷體" w:eastAsia="標楷體" w:hAnsi="標楷體" w:hint="eastAsia"/>
                                <w:bCs/>
                                <w:sz w:val="20"/>
                                <w:lang w:val="x-none"/>
                              </w:rPr>
                              <w:t>類別</w:t>
                            </w:r>
                          </w:p>
                        </w:tc>
                        <w:tc>
                          <w:tcPr>
                            <w:tcW w:w="708" w:type="dxa"/>
                            <w:vAlign w:val="center"/>
                          </w:tcPr>
                          <w:p w14:paraId="246434D0" w14:textId="77777777" w:rsidR="00A0212B" w:rsidRPr="00E31547" w:rsidRDefault="00A0212B" w:rsidP="005C22EC">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Cs/>
                                <w:sz w:val="20"/>
                                <w:lang w:val="x-none"/>
                              </w:rPr>
                              <w:t>合計</w:t>
                            </w:r>
                          </w:p>
                        </w:tc>
                        <w:tc>
                          <w:tcPr>
                            <w:tcW w:w="709" w:type="dxa"/>
                            <w:vAlign w:val="center"/>
                          </w:tcPr>
                          <w:p w14:paraId="334AE73B" w14:textId="77777777" w:rsidR="00A0212B" w:rsidRPr="00E31547" w:rsidRDefault="00A0212B" w:rsidP="005C22EC">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Cs/>
                                <w:sz w:val="20"/>
                                <w:lang w:val="x-none"/>
                              </w:rPr>
                              <w:t>普</w:t>
                            </w:r>
                          </w:p>
                        </w:tc>
                        <w:tc>
                          <w:tcPr>
                            <w:tcW w:w="709" w:type="dxa"/>
                            <w:vAlign w:val="center"/>
                          </w:tcPr>
                          <w:p w14:paraId="5B9589D7" w14:textId="77777777" w:rsidR="00A0212B" w:rsidRPr="00E31547" w:rsidRDefault="00A0212B" w:rsidP="005C22EC">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Cs/>
                                <w:sz w:val="20"/>
                                <w:lang w:val="x-none"/>
                              </w:rPr>
                              <w:t>中</w:t>
                            </w:r>
                          </w:p>
                        </w:tc>
                        <w:tc>
                          <w:tcPr>
                            <w:tcW w:w="709" w:type="dxa"/>
                            <w:vAlign w:val="center"/>
                          </w:tcPr>
                          <w:p w14:paraId="12D5DAEB" w14:textId="77777777" w:rsidR="00A0212B" w:rsidRPr="00E31547" w:rsidRDefault="00A0212B" w:rsidP="005C22EC">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Cs/>
                                <w:sz w:val="20"/>
                                <w:lang w:val="x-none"/>
                              </w:rPr>
                              <w:t>高</w:t>
                            </w:r>
                          </w:p>
                        </w:tc>
                      </w:tr>
                      <w:tr w:rsidR="00A0212B" w:rsidRPr="0098393C" w14:paraId="19A3E426" w14:textId="77777777" w:rsidTr="005C22EC">
                        <w:tc>
                          <w:tcPr>
                            <w:tcW w:w="1526" w:type="dxa"/>
                            <w:vAlign w:val="center"/>
                          </w:tcPr>
                          <w:p w14:paraId="6C8CE716" w14:textId="77777777" w:rsidR="00A0212B" w:rsidRPr="00E31547" w:rsidRDefault="00A0212B" w:rsidP="00E31547">
                            <w:pPr>
                              <w:overflowPunct w:val="0"/>
                              <w:adjustRightInd w:val="0"/>
                              <w:snapToGrid w:val="0"/>
                              <w:spacing w:line="280" w:lineRule="exact"/>
                              <w:jc w:val="center"/>
                              <w:rPr>
                                <w:rFonts w:ascii="標楷體" w:eastAsia="標楷體" w:hAnsi="標楷體"/>
                                <w:b/>
                                <w:bCs/>
                                <w:sz w:val="20"/>
                                <w:lang w:val="x-none"/>
                              </w:rPr>
                            </w:pPr>
                            <w:r w:rsidRPr="00E31547">
                              <w:rPr>
                                <w:rFonts w:ascii="標楷體" w:eastAsia="標楷體" w:hAnsi="標楷體" w:hint="eastAsia"/>
                                <w:b/>
                                <w:bCs/>
                                <w:sz w:val="20"/>
                                <w:lang w:val="x-none"/>
                              </w:rPr>
                              <w:t>合計</w:t>
                            </w:r>
                          </w:p>
                        </w:tc>
                        <w:tc>
                          <w:tcPr>
                            <w:tcW w:w="708" w:type="dxa"/>
                            <w:vAlign w:val="center"/>
                          </w:tcPr>
                          <w:p w14:paraId="748A1912"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26</w:t>
                            </w:r>
                          </w:p>
                        </w:tc>
                        <w:tc>
                          <w:tcPr>
                            <w:tcW w:w="709" w:type="dxa"/>
                            <w:vAlign w:val="center"/>
                          </w:tcPr>
                          <w:p w14:paraId="70F0BEE6"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12</w:t>
                            </w:r>
                          </w:p>
                        </w:tc>
                        <w:tc>
                          <w:tcPr>
                            <w:tcW w:w="709" w:type="dxa"/>
                            <w:vAlign w:val="center"/>
                          </w:tcPr>
                          <w:p w14:paraId="5ED86507"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12</w:t>
                            </w:r>
                          </w:p>
                        </w:tc>
                        <w:tc>
                          <w:tcPr>
                            <w:tcW w:w="709" w:type="dxa"/>
                          </w:tcPr>
                          <w:p w14:paraId="2EA8B7E7"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2</w:t>
                            </w:r>
                          </w:p>
                        </w:tc>
                      </w:tr>
                      <w:tr w:rsidR="00A0212B" w:rsidRPr="0098393C" w14:paraId="465568F6" w14:textId="77777777" w:rsidTr="005C22EC">
                        <w:tc>
                          <w:tcPr>
                            <w:tcW w:w="1526" w:type="dxa"/>
                            <w:vAlign w:val="center"/>
                          </w:tcPr>
                          <w:p w14:paraId="3F74475E"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核心系統</w:t>
                            </w:r>
                          </w:p>
                        </w:tc>
                        <w:tc>
                          <w:tcPr>
                            <w:tcW w:w="708" w:type="dxa"/>
                            <w:vAlign w:val="center"/>
                          </w:tcPr>
                          <w:p w14:paraId="6AE2B883"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3</w:t>
                            </w:r>
                          </w:p>
                        </w:tc>
                        <w:tc>
                          <w:tcPr>
                            <w:tcW w:w="709" w:type="dxa"/>
                            <w:vAlign w:val="center"/>
                          </w:tcPr>
                          <w:p w14:paraId="16CD71DA" w14:textId="272624A6" w:rsidR="00A0212B" w:rsidRPr="00E31547" w:rsidRDefault="00332577" w:rsidP="005C22EC">
                            <w:pPr>
                              <w:overflowPunct w:val="0"/>
                              <w:adjustRightInd w:val="0"/>
                              <w:snapToGrid w:val="0"/>
                              <w:spacing w:line="280" w:lineRule="exact"/>
                              <w:jc w:val="right"/>
                              <w:rPr>
                                <w:rFonts w:ascii="標楷體" w:eastAsia="標楷體" w:hAnsi="標楷體"/>
                                <w:bCs/>
                                <w:sz w:val="20"/>
                                <w:lang w:val="x-none"/>
                              </w:rPr>
                            </w:pPr>
                            <w:r>
                              <w:rPr>
                                <w:rFonts w:ascii="標楷體" w:eastAsia="標楷體" w:hAnsi="標楷體" w:hint="eastAsia"/>
                                <w:bCs/>
                                <w:sz w:val="20"/>
                                <w:lang w:val="x-none"/>
                              </w:rPr>
                              <w:t>－</w:t>
                            </w:r>
                          </w:p>
                        </w:tc>
                        <w:tc>
                          <w:tcPr>
                            <w:tcW w:w="709" w:type="dxa"/>
                            <w:vAlign w:val="center"/>
                          </w:tcPr>
                          <w:p w14:paraId="62958033" w14:textId="77777777" w:rsidR="00A0212B" w:rsidRPr="00E31547" w:rsidRDefault="00A0212B" w:rsidP="005C22EC">
                            <w:pPr>
                              <w:overflowPunct w:val="0"/>
                              <w:adjustRightInd w:val="0"/>
                              <w:snapToGrid w:val="0"/>
                              <w:spacing w:line="280" w:lineRule="exact"/>
                              <w:jc w:val="right"/>
                              <w:rPr>
                                <w:rFonts w:ascii="標楷體" w:eastAsia="標楷體" w:hAnsi="標楷體"/>
                                <w:bCs/>
                                <w:sz w:val="20"/>
                                <w:lang w:val="x-none"/>
                              </w:rPr>
                            </w:pPr>
                            <w:r w:rsidRPr="00E31547">
                              <w:rPr>
                                <w:rFonts w:ascii="標楷體" w:eastAsia="標楷體" w:hAnsi="標楷體"/>
                                <w:bCs/>
                                <w:sz w:val="20"/>
                                <w:lang w:val="x-none"/>
                              </w:rPr>
                              <w:t>1</w:t>
                            </w:r>
                          </w:p>
                        </w:tc>
                        <w:tc>
                          <w:tcPr>
                            <w:tcW w:w="709" w:type="dxa"/>
                          </w:tcPr>
                          <w:p w14:paraId="1C6413B9" w14:textId="77777777" w:rsidR="00A0212B" w:rsidRPr="00E31547" w:rsidRDefault="00A0212B" w:rsidP="005C22EC">
                            <w:pPr>
                              <w:overflowPunct w:val="0"/>
                              <w:adjustRightInd w:val="0"/>
                              <w:snapToGrid w:val="0"/>
                              <w:spacing w:line="280" w:lineRule="exact"/>
                              <w:jc w:val="right"/>
                              <w:rPr>
                                <w:rFonts w:ascii="標楷體" w:eastAsia="標楷體" w:hAnsi="標楷體"/>
                                <w:bCs/>
                                <w:sz w:val="20"/>
                                <w:lang w:val="x-none"/>
                              </w:rPr>
                            </w:pPr>
                            <w:r w:rsidRPr="00E31547">
                              <w:rPr>
                                <w:rFonts w:ascii="標楷體" w:eastAsia="標楷體" w:hAnsi="標楷體"/>
                                <w:bCs/>
                                <w:sz w:val="20"/>
                                <w:lang w:val="x-none"/>
                              </w:rPr>
                              <w:t>2</w:t>
                            </w:r>
                          </w:p>
                        </w:tc>
                      </w:tr>
                      <w:tr w:rsidR="00A0212B" w:rsidRPr="0098393C" w14:paraId="5716905A" w14:textId="77777777" w:rsidTr="005C22EC">
                        <w:tc>
                          <w:tcPr>
                            <w:tcW w:w="1526" w:type="dxa"/>
                            <w:vAlign w:val="center"/>
                          </w:tcPr>
                          <w:p w14:paraId="55A88D84"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非核心系統</w:t>
                            </w:r>
                          </w:p>
                        </w:tc>
                        <w:tc>
                          <w:tcPr>
                            <w:tcW w:w="708" w:type="dxa"/>
                            <w:vAlign w:val="center"/>
                          </w:tcPr>
                          <w:p w14:paraId="3E49ED3A" w14:textId="77777777" w:rsidR="00A0212B" w:rsidRPr="00E31547" w:rsidRDefault="00A0212B" w:rsidP="005C22EC">
                            <w:pPr>
                              <w:overflowPunct w:val="0"/>
                              <w:adjustRightInd w:val="0"/>
                              <w:snapToGrid w:val="0"/>
                              <w:spacing w:line="280" w:lineRule="exact"/>
                              <w:jc w:val="right"/>
                              <w:rPr>
                                <w:rFonts w:ascii="標楷體" w:eastAsia="標楷體" w:hAnsi="標楷體"/>
                                <w:b/>
                                <w:bCs/>
                                <w:sz w:val="20"/>
                                <w:lang w:val="x-none"/>
                              </w:rPr>
                            </w:pPr>
                            <w:r w:rsidRPr="00E31547">
                              <w:rPr>
                                <w:rFonts w:ascii="標楷體" w:eastAsia="標楷體" w:hAnsi="標楷體"/>
                                <w:b/>
                                <w:bCs/>
                                <w:sz w:val="20"/>
                                <w:lang w:val="x-none"/>
                              </w:rPr>
                              <w:t>23</w:t>
                            </w:r>
                          </w:p>
                        </w:tc>
                        <w:tc>
                          <w:tcPr>
                            <w:tcW w:w="709" w:type="dxa"/>
                            <w:vAlign w:val="center"/>
                          </w:tcPr>
                          <w:p w14:paraId="351E8F9B" w14:textId="77777777" w:rsidR="00A0212B" w:rsidRPr="00E31547" w:rsidRDefault="00A0212B" w:rsidP="005C22EC">
                            <w:pPr>
                              <w:overflowPunct w:val="0"/>
                              <w:adjustRightInd w:val="0"/>
                              <w:snapToGrid w:val="0"/>
                              <w:spacing w:line="280" w:lineRule="exact"/>
                              <w:jc w:val="right"/>
                              <w:rPr>
                                <w:rFonts w:ascii="標楷體" w:eastAsia="標楷體" w:hAnsi="標楷體"/>
                                <w:bCs/>
                                <w:sz w:val="20"/>
                                <w:lang w:val="x-none"/>
                              </w:rPr>
                            </w:pPr>
                            <w:r w:rsidRPr="00E31547">
                              <w:rPr>
                                <w:rFonts w:ascii="標楷體" w:eastAsia="標楷體" w:hAnsi="標楷體"/>
                                <w:bCs/>
                                <w:sz w:val="20"/>
                                <w:lang w:val="x-none"/>
                              </w:rPr>
                              <w:t>12</w:t>
                            </w:r>
                          </w:p>
                        </w:tc>
                        <w:tc>
                          <w:tcPr>
                            <w:tcW w:w="709" w:type="dxa"/>
                            <w:vAlign w:val="center"/>
                          </w:tcPr>
                          <w:p w14:paraId="7077F65C" w14:textId="77777777" w:rsidR="00A0212B" w:rsidRPr="00E31547" w:rsidRDefault="00A0212B" w:rsidP="005C22EC">
                            <w:pPr>
                              <w:overflowPunct w:val="0"/>
                              <w:adjustRightInd w:val="0"/>
                              <w:snapToGrid w:val="0"/>
                              <w:spacing w:line="280" w:lineRule="exact"/>
                              <w:jc w:val="right"/>
                              <w:rPr>
                                <w:rFonts w:ascii="標楷體" w:eastAsia="標楷體" w:hAnsi="標楷體"/>
                                <w:bCs/>
                                <w:sz w:val="20"/>
                                <w:lang w:val="x-none"/>
                              </w:rPr>
                            </w:pPr>
                            <w:r w:rsidRPr="00E31547">
                              <w:rPr>
                                <w:rFonts w:ascii="標楷體" w:eastAsia="標楷體" w:hAnsi="標楷體"/>
                                <w:bCs/>
                                <w:sz w:val="20"/>
                                <w:lang w:val="x-none"/>
                              </w:rPr>
                              <w:t>11</w:t>
                            </w:r>
                          </w:p>
                        </w:tc>
                        <w:tc>
                          <w:tcPr>
                            <w:tcW w:w="709" w:type="dxa"/>
                          </w:tcPr>
                          <w:p w14:paraId="45332B72" w14:textId="7C245C88" w:rsidR="00A0212B" w:rsidRPr="00E31547" w:rsidRDefault="00332577" w:rsidP="005C22EC">
                            <w:pPr>
                              <w:overflowPunct w:val="0"/>
                              <w:adjustRightInd w:val="0"/>
                              <w:snapToGrid w:val="0"/>
                              <w:spacing w:line="280" w:lineRule="exact"/>
                              <w:jc w:val="right"/>
                              <w:rPr>
                                <w:rFonts w:ascii="標楷體" w:eastAsia="標楷體" w:hAnsi="標楷體"/>
                                <w:bCs/>
                                <w:sz w:val="20"/>
                                <w:lang w:val="x-none"/>
                              </w:rPr>
                            </w:pPr>
                            <w:r>
                              <w:rPr>
                                <w:rFonts w:ascii="標楷體" w:eastAsia="標楷體" w:hAnsi="標楷體" w:hint="eastAsia"/>
                                <w:bCs/>
                                <w:sz w:val="20"/>
                                <w:lang w:val="x-none"/>
                              </w:rPr>
                              <w:t>－</w:t>
                            </w:r>
                          </w:p>
                        </w:tc>
                      </w:tr>
                    </w:tbl>
                    <w:p w14:paraId="17ACA1AB" w14:textId="7DD7EF19" w:rsidR="00A0212B" w:rsidRPr="0098393C" w:rsidRDefault="00A0212B" w:rsidP="00B96626">
                      <w:pPr>
                        <w:overflowPunct w:val="0"/>
                        <w:adjustRightInd w:val="0"/>
                        <w:snapToGrid w:val="0"/>
                        <w:spacing w:line="280" w:lineRule="exact"/>
                        <w:ind w:leftChars="-35" w:left="-8" w:hangingChars="42" w:hanging="76"/>
                        <w:jc w:val="both"/>
                        <w:rPr>
                          <w:sz w:val="22"/>
                        </w:rPr>
                      </w:pPr>
                      <w:r w:rsidRPr="0098393C">
                        <w:rPr>
                          <w:rFonts w:ascii="標楷體" w:eastAsia="標楷體" w:hAnsi="標楷體" w:hint="eastAsia"/>
                          <w:bCs/>
                          <w:sz w:val="18"/>
                          <w:lang w:val="x-none"/>
                        </w:rPr>
                        <w:t>資料來源：整理自</w:t>
                      </w:r>
                      <w:r w:rsidRPr="00E20AFC">
                        <w:rPr>
                          <w:rFonts w:ascii="標楷體" w:eastAsia="標楷體" w:hAnsi="標楷體" w:hint="eastAsia"/>
                          <w:bCs/>
                          <w:sz w:val="18"/>
                          <w:lang w:val="x-none"/>
                        </w:rPr>
                        <w:t>國立故宮博物院</w:t>
                      </w:r>
                      <w:r w:rsidRPr="0098393C">
                        <w:rPr>
                          <w:rFonts w:ascii="標楷體" w:eastAsia="標楷體" w:hAnsi="標楷體" w:hint="eastAsia"/>
                          <w:bCs/>
                          <w:sz w:val="18"/>
                          <w:lang w:val="x-none"/>
                        </w:rPr>
                        <w:t>提供資料。</w:t>
                      </w:r>
                    </w:p>
                  </w:txbxContent>
                </v:textbox>
                <w10:wrap type="square" anchorx="margin" anchory="margin"/>
              </v:shape>
            </w:pict>
          </mc:Fallback>
        </mc:AlternateContent>
      </w:r>
      <w:r w:rsidR="00B96626" w:rsidRPr="00757893">
        <w:rPr>
          <w:rFonts w:ascii="標楷體" w:eastAsia="標楷體" w:hAnsi="標楷體" w:hint="eastAsia"/>
          <w:b/>
          <w:color w:val="000000" w:themeColor="text1"/>
          <w:kern w:val="0"/>
          <w:szCs w:val="24"/>
        </w:rPr>
        <w:t>3.</w:t>
      </w:r>
      <w:r w:rsidR="00B96626" w:rsidRPr="00757893">
        <w:rPr>
          <w:rFonts w:ascii="標楷體" w:eastAsia="標楷體" w:hAnsi="標楷體" w:hint="eastAsia"/>
          <w:b/>
          <w:color w:val="000000" w:themeColor="text1"/>
          <w:szCs w:val="24"/>
        </w:rPr>
        <w:t xml:space="preserve">　</w:t>
      </w:r>
      <w:r w:rsidR="00B96626" w:rsidRPr="00757893">
        <w:rPr>
          <w:rFonts w:ascii="標楷體" w:eastAsia="標楷體" w:hAnsi="標楷體" w:hint="eastAsia"/>
          <w:b/>
          <w:color w:val="000000" w:themeColor="text1"/>
          <w:kern w:val="0"/>
          <w:szCs w:val="24"/>
        </w:rPr>
        <w:t>依ISMS資訊資產管理規範盤點建立資訊資產清冊，惟以系統伺服器為標的建立之資訊資產清冊未涵括全院資訊資產：</w:t>
      </w:r>
      <w:r w:rsidR="00B96626" w:rsidRPr="00757893">
        <w:rPr>
          <w:rFonts w:ascii="標楷體" w:eastAsia="標楷體" w:hAnsi="標楷體" w:hint="eastAsia"/>
          <w:color w:val="000000" w:themeColor="text1"/>
          <w:kern w:val="0"/>
          <w:szCs w:val="24"/>
        </w:rPr>
        <w:t>依資通安全管理法施行細則第6條第1項第6款規定，資通安全維護計畫應包括資通系統及資訊之盤點，並標示核心資通系統及相關資產。另依資通安全責任等級分級辦法第11條第2項規定，各機關自行或委外開發之資通系統應依資通系統防護需求分級原則完成資通系統分級，並執行相關控制措施。又故宮ISMS資訊資產管理規範程序書陸、二、（二）1規定，資訊資產依其性質不同，分為7類：資料、文件、軟體、硬體、通訊、環境、人員</w:t>
      </w:r>
      <w:r w:rsidR="00AA1FC5">
        <w:rPr>
          <w:rFonts w:ascii="標楷體" w:eastAsia="標楷體" w:hAnsi="標楷體" w:hint="eastAsia"/>
          <w:color w:val="000000" w:themeColor="text1"/>
          <w:kern w:val="0"/>
          <w:szCs w:val="24"/>
        </w:rPr>
        <w:t>；</w:t>
      </w:r>
      <w:r w:rsidR="00B96626" w:rsidRPr="00757893">
        <w:rPr>
          <w:rFonts w:ascii="標楷體" w:eastAsia="標楷體" w:hAnsi="標楷體" w:hint="eastAsia"/>
          <w:color w:val="000000" w:themeColor="text1"/>
          <w:kern w:val="0"/>
          <w:szCs w:val="24"/>
        </w:rPr>
        <w:t>三、（三）1規定，各類資訊資產依其性質，應指定資產權責、保管及使用單位或相關負責人進行管理。經查故宮盤點112年度資通系統計27項，其中1項已於112年11月30日下架，</w:t>
      </w:r>
      <w:r w:rsidR="00623FFB">
        <w:rPr>
          <w:rFonts w:ascii="標楷體" w:eastAsia="標楷體" w:hAnsi="標楷體" w:hint="eastAsia"/>
          <w:color w:val="000000" w:themeColor="text1"/>
          <w:kern w:val="0"/>
          <w:szCs w:val="24"/>
        </w:rPr>
        <w:t>其</w:t>
      </w:r>
      <w:r w:rsidR="00B96626" w:rsidRPr="00757893">
        <w:rPr>
          <w:rFonts w:ascii="標楷體" w:eastAsia="標楷體" w:hAnsi="標楷體" w:hint="eastAsia"/>
          <w:color w:val="000000" w:themeColor="text1"/>
          <w:kern w:val="0"/>
          <w:szCs w:val="24"/>
        </w:rPr>
        <w:t>餘26項系統之防護需求屬普級者12項、中級者12項、高級者2項（</w:t>
      </w:r>
      <w:r w:rsidR="00B96626" w:rsidRPr="006678C5">
        <w:rPr>
          <w:rFonts w:ascii="標楷體" w:eastAsia="標楷體" w:hAnsi="標楷體" w:hint="eastAsia"/>
          <w:color w:val="000000" w:themeColor="text1"/>
          <w:kern w:val="0"/>
          <w:szCs w:val="24"/>
        </w:rPr>
        <w:t>表</w:t>
      </w:r>
      <w:r w:rsidR="00CB4EFC" w:rsidRPr="006678C5">
        <w:rPr>
          <w:rFonts w:ascii="標楷體" w:eastAsia="標楷體" w:hAnsi="標楷體" w:hint="eastAsia"/>
          <w:color w:val="000000" w:themeColor="text1"/>
          <w:kern w:val="0"/>
          <w:szCs w:val="24"/>
        </w:rPr>
        <w:t>3</w:t>
      </w:r>
      <w:r w:rsidR="005E3F3E" w:rsidRPr="006678C5">
        <w:rPr>
          <w:rFonts w:ascii="標楷體" w:eastAsia="標楷體" w:hAnsi="標楷體" w:hint="eastAsia"/>
          <w:color w:val="000000" w:themeColor="text1"/>
          <w:kern w:val="0"/>
          <w:szCs w:val="24"/>
        </w:rPr>
        <w:t>4</w:t>
      </w:r>
      <w:r w:rsidR="00B96626" w:rsidRPr="00757893">
        <w:rPr>
          <w:rFonts w:ascii="標楷體" w:eastAsia="標楷體" w:hAnsi="標楷體" w:hint="eastAsia"/>
          <w:color w:val="000000" w:themeColor="text1"/>
          <w:kern w:val="0"/>
          <w:szCs w:val="24"/>
        </w:rPr>
        <w:t>）；並標示3項核心系統、製作資訊系統清冊及資訊資產清冊</w:t>
      </w:r>
      <w:r w:rsidR="00B96626">
        <w:rPr>
          <w:rFonts w:ascii="標楷體" w:eastAsia="標楷體" w:hAnsi="標楷體" w:hint="eastAsia"/>
          <w:color w:val="000000" w:themeColor="text1"/>
          <w:kern w:val="0"/>
          <w:szCs w:val="24"/>
        </w:rPr>
        <w:t>。上開</w:t>
      </w:r>
      <w:r w:rsidR="00B96626" w:rsidRPr="00757893">
        <w:rPr>
          <w:rFonts w:ascii="標楷體" w:eastAsia="標楷體" w:hAnsi="標楷體" w:hint="eastAsia"/>
          <w:color w:val="000000" w:themeColor="text1"/>
          <w:kern w:val="0"/>
          <w:szCs w:val="24"/>
        </w:rPr>
        <w:t>26項系統之資訊資產清冊，係以各系統伺服器端為標的，未包含員工端（辦公區域、展示空間及照相室等）之電腦及周邊設備，未能涵括全院電腦機房、控制中心與相關辦公區域等實體資訊設備之資安防護，核與資通安全管理法施行細則第6條規定未合，經函請故宮研謀改善。據復：已委外辦理ISMS輔導及驗證服務案，納入資產盤點及風險鑑別工作，以協助相關作業之推動，後續</w:t>
      </w:r>
      <w:r w:rsidR="00B96626" w:rsidRPr="00757893">
        <w:rPr>
          <w:rFonts w:ascii="標楷體" w:eastAsia="標楷體" w:hAnsi="標楷體" w:hint="eastAsia"/>
          <w:color w:val="000000" w:themeColor="text1"/>
          <w:kern w:val="0"/>
          <w:szCs w:val="24"/>
        </w:rPr>
        <w:lastRenderedPageBreak/>
        <w:t>將落實全面盤點作業。</w:t>
      </w:r>
    </w:p>
    <w:p w14:paraId="0F10131E" w14:textId="242133C4" w:rsidR="00373DAB" w:rsidRDefault="0054724C" w:rsidP="00BA061F">
      <w:pPr>
        <w:overflowPunct w:val="0"/>
        <w:snapToGrid w:val="0"/>
        <w:spacing w:line="460" w:lineRule="exact"/>
        <w:ind w:firstLineChars="350" w:firstLine="1121"/>
        <w:jc w:val="both"/>
        <w:rPr>
          <w:rFonts w:ascii="標楷體" w:eastAsia="標楷體" w:hAnsi="標楷體"/>
          <w:color w:val="000000" w:themeColor="text1"/>
          <w:szCs w:val="24"/>
        </w:rPr>
      </w:pPr>
      <w:r w:rsidRPr="00757893">
        <w:rPr>
          <w:rFonts w:ascii="標楷體" w:eastAsia="標楷體" w:hAnsi="標楷體" w:hint="eastAsia"/>
          <w:b/>
          <w:noProof/>
          <w:color w:val="000000" w:themeColor="text1"/>
          <w:sz w:val="32"/>
          <w:szCs w:val="32"/>
        </w:rPr>
        <mc:AlternateContent>
          <mc:Choice Requires="wps">
            <w:drawing>
              <wp:anchor distT="0" distB="0" distL="114300" distR="114300" simplePos="0" relativeHeight="251643904" behindDoc="0" locked="0" layoutInCell="1" allowOverlap="1" wp14:anchorId="2F75B3E6" wp14:editId="4A1FDFB3">
                <wp:simplePos x="0" y="0"/>
                <wp:positionH relativeFrom="margin">
                  <wp:posOffset>1889760</wp:posOffset>
                </wp:positionH>
                <wp:positionV relativeFrom="margin">
                  <wp:posOffset>3318510</wp:posOffset>
                </wp:positionV>
                <wp:extent cx="4399280" cy="3564890"/>
                <wp:effectExtent l="0" t="0" r="1270" b="0"/>
                <wp:wrapSquare wrapText="bothSides"/>
                <wp:docPr id="456" name="文字方塊 456"/>
                <wp:cNvGraphicFramePr/>
                <a:graphic xmlns:a="http://schemas.openxmlformats.org/drawingml/2006/main">
                  <a:graphicData uri="http://schemas.microsoft.com/office/word/2010/wordprocessingShape">
                    <wps:wsp>
                      <wps:cNvSpPr txBox="1"/>
                      <wps:spPr>
                        <a:xfrm>
                          <a:off x="0" y="0"/>
                          <a:ext cx="4399280" cy="3564890"/>
                        </a:xfrm>
                        <a:prstGeom prst="rect">
                          <a:avLst/>
                        </a:prstGeom>
                        <a:solidFill>
                          <a:sysClr val="window" lastClr="FFFFFF"/>
                        </a:solidFill>
                        <a:ln w="6350">
                          <a:noFill/>
                        </a:ln>
                      </wps:spPr>
                      <wps:txbx>
                        <w:txbxContent>
                          <w:p w14:paraId="40927FAE" w14:textId="05777F5C" w:rsidR="00A0212B" w:rsidRPr="0098393C" w:rsidRDefault="00A0212B" w:rsidP="0054724C">
                            <w:pPr>
                              <w:overflowPunct w:val="0"/>
                              <w:adjustRightInd w:val="0"/>
                              <w:snapToGrid w:val="0"/>
                              <w:spacing w:after="240" w:line="320" w:lineRule="exact"/>
                              <w:jc w:val="center"/>
                              <w:rPr>
                                <w:rFonts w:ascii="標楷體" w:eastAsia="標楷體" w:hAnsi="標楷體"/>
                                <w:b/>
                                <w:spacing w:val="-18"/>
                                <w:szCs w:val="24"/>
                              </w:rPr>
                            </w:pPr>
                            <w:r w:rsidRPr="005D2E44">
                              <w:rPr>
                                <w:rFonts w:ascii="標楷體" w:eastAsia="標楷體" w:hAnsi="標楷體" w:hint="eastAsia"/>
                                <w:b/>
                                <w:color w:val="000000" w:themeColor="text1"/>
                                <w:szCs w:val="24"/>
                              </w:rPr>
                              <w:t>表</w:t>
                            </w:r>
                            <w:r>
                              <w:rPr>
                                <w:rFonts w:ascii="標楷體" w:eastAsia="標楷體" w:hAnsi="標楷體"/>
                                <w:b/>
                                <w:color w:val="000000" w:themeColor="text1"/>
                                <w:szCs w:val="24"/>
                              </w:rPr>
                              <w:t>35</w:t>
                            </w:r>
                            <w:r>
                              <w:rPr>
                                <w:rFonts w:ascii="標楷體" w:eastAsia="標楷體" w:hAnsi="標楷體" w:hint="eastAsia"/>
                                <w:b/>
                                <w:szCs w:val="24"/>
                              </w:rPr>
                              <w:t xml:space="preserve">　</w:t>
                            </w:r>
                            <w:r w:rsidRPr="005E5FF8">
                              <w:rPr>
                                <w:rFonts w:ascii="標楷體" w:eastAsia="標楷體" w:hAnsi="標楷體" w:hint="eastAsia"/>
                                <w:b/>
                                <w:bCs/>
                                <w:spacing w:val="-4"/>
                                <w:szCs w:val="24"/>
                                <w:lang w:val="x-none"/>
                              </w:rPr>
                              <w:t>雲端服務資安管理應納入資通安全維護計畫項目及內容</w:t>
                            </w:r>
                          </w:p>
                          <w:tbl>
                            <w:tblPr>
                              <w:tblStyle w:val="afff"/>
                              <w:tblW w:w="0" w:type="auto"/>
                              <w:tblLook w:val="04A0" w:firstRow="1" w:lastRow="0" w:firstColumn="1" w:lastColumn="0" w:noHBand="0" w:noVBand="1"/>
                            </w:tblPr>
                            <w:tblGrid>
                              <w:gridCol w:w="457"/>
                              <w:gridCol w:w="2912"/>
                              <w:gridCol w:w="3402"/>
                            </w:tblGrid>
                            <w:tr w:rsidR="00A0212B" w:rsidRPr="006F5243" w14:paraId="492A2C80" w14:textId="77777777" w:rsidTr="005C22EC">
                              <w:trPr>
                                <w:trHeight w:val="516"/>
                              </w:trPr>
                              <w:tc>
                                <w:tcPr>
                                  <w:tcW w:w="457" w:type="dxa"/>
                                  <w:vAlign w:val="center"/>
                                </w:tcPr>
                                <w:p w14:paraId="4F38FB98"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hint="eastAsia"/>
                                      <w:bCs/>
                                      <w:sz w:val="20"/>
                                      <w:lang w:val="x-none"/>
                                    </w:rPr>
                                    <w:t>序號</w:t>
                                  </w:r>
                                </w:p>
                              </w:tc>
                              <w:tc>
                                <w:tcPr>
                                  <w:tcW w:w="2912" w:type="dxa"/>
                                  <w:vAlign w:val="center"/>
                                </w:tcPr>
                                <w:p w14:paraId="5818D7B3" w14:textId="77777777" w:rsidR="00A0212B" w:rsidRPr="00E31547" w:rsidRDefault="00A0212B" w:rsidP="005C22EC">
                                  <w:pPr>
                                    <w:overflowPunct w:val="0"/>
                                    <w:adjustRightInd w:val="0"/>
                                    <w:snapToGrid w:val="0"/>
                                    <w:spacing w:line="280" w:lineRule="exact"/>
                                    <w:ind w:leftChars="-40" w:left="-96" w:rightChars="-49" w:right="-118"/>
                                    <w:jc w:val="center"/>
                                    <w:rPr>
                                      <w:rFonts w:ascii="標楷體" w:eastAsia="標楷體" w:hAnsi="標楷體"/>
                                      <w:bCs/>
                                      <w:sz w:val="20"/>
                                      <w:lang w:val="x-none"/>
                                    </w:rPr>
                                  </w:pPr>
                                  <w:r w:rsidRPr="00E31547">
                                    <w:rPr>
                                      <w:rFonts w:ascii="標楷體" w:eastAsia="標楷體" w:hAnsi="標楷體" w:hint="eastAsia"/>
                                      <w:bCs/>
                                      <w:sz w:val="20"/>
                                      <w:lang w:val="x-none"/>
                                    </w:rPr>
                                    <w:t>資通安全維護計畫項目</w:t>
                                  </w:r>
                                </w:p>
                              </w:tc>
                              <w:tc>
                                <w:tcPr>
                                  <w:tcW w:w="3402" w:type="dxa"/>
                                  <w:vAlign w:val="center"/>
                                </w:tcPr>
                                <w:p w14:paraId="4C17D3EE"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hint="eastAsia"/>
                                      <w:bCs/>
                                      <w:sz w:val="20"/>
                                      <w:lang w:val="x-none"/>
                                    </w:rPr>
                                    <w:t>內容</w:t>
                                  </w:r>
                                </w:p>
                              </w:tc>
                            </w:tr>
                            <w:tr w:rsidR="00A0212B" w:rsidRPr="006F5243" w14:paraId="055DF957" w14:textId="77777777" w:rsidTr="005C22EC">
                              <w:tc>
                                <w:tcPr>
                                  <w:tcW w:w="457" w:type="dxa"/>
                                  <w:vAlign w:val="center"/>
                                </w:tcPr>
                                <w:p w14:paraId="71F9F893"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1</w:t>
                                  </w:r>
                                </w:p>
                              </w:tc>
                              <w:tc>
                                <w:tcPr>
                                  <w:tcW w:w="2912" w:type="dxa"/>
                                  <w:vAlign w:val="center"/>
                                </w:tcPr>
                                <w:p w14:paraId="1DC20395"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資通安全政策及目標</w:t>
                                  </w:r>
                                </w:p>
                              </w:tc>
                              <w:tc>
                                <w:tcPr>
                                  <w:tcW w:w="3402" w:type="dxa"/>
                                  <w:vAlign w:val="center"/>
                                </w:tcPr>
                                <w:p w14:paraId="37103F6D" w14:textId="77777777" w:rsidR="00A0212B" w:rsidRPr="00E31547" w:rsidRDefault="00A0212B" w:rsidP="005C22EC">
                                  <w:pPr>
                                    <w:overflowPunct w:val="0"/>
                                    <w:adjustRightInd w:val="0"/>
                                    <w:snapToGrid w:val="0"/>
                                    <w:spacing w:line="280" w:lineRule="exact"/>
                                    <w:jc w:val="both"/>
                                    <w:rPr>
                                      <w:rFonts w:ascii="標楷體" w:eastAsia="標楷體" w:hAnsi="標楷體"/>
                                      <w:bCs/>
                                      <w:spacing w:val="4"/>
                                      <w:sz w:val="20"/>
                                      <w:lang w:val="x-none"/>
                                    </w:rPr>
                                  </w:pPr>
                                  <w:r w:rsidRPr="00E31547">
                                    <w:rPr>
                                      <w:rFonts w:ascii="標楷體" w:eastAsia="標楷體" w:hAnsi="標楷體" w:hint="eastAsia"/>
                                      <w:bCs/>
                                      <w:spacing w:val="4"/>
                                      <w:sz w:val="20"/>
                                      <w:lang w:val="x-none"/>
                                    </w:rPr>
                                    <w:t>有獨立篇幅說明雲端服務資安政策。</w:t>
                                  </w:r>
                                </w:p>
                              </w:tc>
                            </w:tr>
                            <w:tr w:rsidR="00A0212B" w:rsidRPr="006F5243" w14:paraId="3512A306" w14:textId="77777777" w:rsidTr="005C22EC">
                              <w:tc>
                                <w:tcPr>
                                  <w:tcW w:w="457" w:type="dxa"/>
                                  <w:vMerge w:val="restart"/>
                                  <w:vAlign w:val="center"/>
                                </w:tcPr>
                                <w:p w14:paraId="01332FB0"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2</w:t>
                                  </w:r>
                                </w:p>
                              </w:tc>
                              <w:tc>
                                <w:tcPr>
                                  <w:tcW w:w="2912" w:type="dxa"/>
                                  <w:vAlign w:val="center"/>
                                </w:tcPr>
                                <w:p w14:paraId="23B92571"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資通安全推動組織</w:t>
                                  </w:r>
                                </w:p>
                              </w:tc>
                              <w:tc>
                                <w:tcPr>
                                  <w:tcW w:w="3402" w:type="dxa"/>
                                  <w:vMerge w:val="restart"/>
                                  <w:vAlign w:val="center"/>
                                </w:tcPr>
                                <w:p w14:paraId="10DE23DE"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說明機關對雲端服務資安管理人力配置。</w:t>
                                  </w:r>
                                </w:p>
                              </w:tc>
                            </w:tr>
                            <w:tr w:rsidR="00A0212B" w:rsidRPr="006F5243" w14:paraId="3E9349BB" w14:textId="77777777" w:rsidTr="005C22EC">
                              <w:tc>
                                <w:tcPr>
                                  <w:tcW w:w="457" w:type="dxa"/>
                                  <w:vMerge/>
                                  <w:vAlign w:val="center"/>
                                </w:tcPr>
                                <w:p w14:paraId="2704F52F"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p>
                              </w:tc>
                              <w:tc>
                                <w:tcPr>
                                  <w:tcW w:w="2912" w:type="dxa"/>
                                  <w:vAlign w:val="center"/>
                                </w:tcPr>
                                <w:p w14:paraId="043EDFA9"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專職（責）人力及經費配置</w:t>
                                  </w:r>
                                </w:p>
                              </w:tc>
                              <w:tc>
                                <w:tcPr>
                                  <w:tcW w:w="3402" w:type="dxa"/>
                                  <w:vMerge/>
                                  <w:vAlign w:val="center"/>
                                </w:tcPr>
                                <w:p w14:paraId="7B170E7A"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p>
                              </w:tc>
                            </w:tr>
                            <w:tr w:rsidR="00A0212B" w:rsidRPr="006F5243" w14:paraId="37B9174D" w14:textId="77777777" w:rsidTr="005C22EC">
                              <w:tc>
                                <w:tcPr>
                                  <w:tcW w:w="457" w:type="dxa"/>
                                  <w:vAlign w:val="center"/>
                                </w:tcPr>
                                <w:p w14:paraId="33806047"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3</w:t>
                                  </w:r>
                                </w:p>
                              </w:tc>
                              <w:tc>
                                <w:tcPr>
                                  <w:tcW w:w="2912" w:type="dxa"/>
                                  <w:vAlign w:val="center"/>
                                </w:tcPr>
                                <w:p w14:paraId="5EFA595C"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資通安全風險評估</w:t>
                                  </w:r>
                                </w:p>
                              </w:tc>
                              <w:tc>
                                <w:tcPr>
                                  <w:tcW w:w="3402" w:type="dxa"/>
                                  <w:vAlign w:val="center"/>
                                </w:tcPr>
                                <w:p w14:paraId="454308E5"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加入對雲端服務資安風險評鑑過程，並調整相關附件。</w:t>
                                  </w:r>
                                </w:p>
                              </w:tc>
                            </w:tr>
                            <w:tr w:rsidR="00A0212B" w:rsidRPr="006F5243" w14:paraId="33E50443" w14:textId="77777777" w:rsidTr="005C22EC">
                              <w:tc>
                                <w:tcPr>
                                  <w:tcW w:w="457" w:type="dxa"/>
                                  <w:vAlign w:val="center"/>
                                </w:tcPr>
                                <w:p w14:paraId="52BFC435"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4</w:t>
                                  </w:r>
                                </w:p>
                              </w:tc>
                              <w:tc>
                                <w:tcPr>
                                  <w:tcW w:w="2912" w:type="dxa"/>
                                  <w:vAlign w:val="center"/>
                                </w:tcPr>
                                <w:p w14:paraId="21D6F9ED"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資通安全防護及控制措施</w:t>
                                  </w:r>
                                </w:p>
                              </w:tc>
                              <w:tc>
                                <w:tcPr>
                                  <w:tcW w:w="3402" w:type="dxa"/>
                                  <w:vAlign w:val="center"/>
                                </w:tcPr>
                                <w:p w14:paraId="4F3EB650"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增修因雲端服務資安風險處理計畫而產生之額外相關控制措施。</w:t>
                                  </w:r>
                                </w:p>
                              </w:tc>
                            </w:tr>
                            <w:tr w:rsidR="00A0212B" w:rsidRPr="006F5243" w14:paraId="23FB66AD" w14:textId="77777777" w:rsidTr="005C22EC">
                              <w:tc>
                                <w:tcPr>
                                  <w:tcW w:w="457" w:type="dxa"/>
                                  <w:vAlign w:val="center"/>
                                </w:tcPr>
                                <w:p w14:paraId="73E15913"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5</w:t>
                                  </w:r>
                                </w:p>
                              </w:tc>
                              <w:tc>
                                <w:tcPr>
                                  <w:tcW w:w="2912" w:type="dxa"/>
                                  <w:vAlign w:val="center"/>
                                </w:tcPr>
                                <w:p w14:paraId="27232CD5"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資通安全系統或服務委外辦理之管理</w:t>
                                  </w:r>
                                </w:p>
                              </w:tc>
                              <w:tc>
                                <w:tcPr>
                                  <w:tcW w:w="3402" w:type="dxa"/>
                                  <w:vAlign w:val="center"/>
                                </w:tcPr>
                                <w:p w14:paraId="0B7BB5D5"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增補因雲端服務所產生之額外通報與應變流程。</w:t>
                                  </w:r>
                                </w:p>
                              </w:tc>
                            </w:tr>
                            <w:tr w:rsidR="00A0212B" w:rsidRPr="006F5243" w14:paraId="702B3C11" w14:textId="77777777" w:rsidTr="005C22EC">
                              <w:tc>
                                <w:tcPr>
                                  <w:tcW w:w="457" w:type="dxa"/>
                                  <w:vAlign w:val="center"/>
                                </w:tcPr>
                                <w:p w14:paraId="7E9EBA75"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6</w:t>
                                  </w:r>
                                </w:p>
                              </w:tc>
                              <w:tc>
                                <w:tcPr>
                                  <w:tcW w:w="2912" w:type="dxa"/>
                                  <w:vAlign w:val="center"/>
                                </w:tcPr>
                                <w:p w14:paraId="2A6422E0"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資通系統或服務委外辦理之管理</w:t>
                                  </w:r>
                                </w:p>
                              </w:tc>
                              <w:tc>
                                <w:tcPr>
                                  <w:tcW w:w="3402" w:type="dxa"/>
                                  <w:vAlign w:val="center"/>
                                </w:tcPr>
                                <w:p w14:paraId="5E9AB554"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增補對雲端服務提供者之選商與管理監督程序，並調整相關附件。</w:t>
                                  </w:r>
                                </w:p>
                              </w:tc>
                            </w:tr>
                            <w:tr w:rsidR="00A0212B" w:rsidRPr="006F5243" w14:paraId="1771EEA7" w14:textId="77777777" w:rsidTr="005C22EC">
                              <w:tc>
                                <w:tcPr>
                                  <w:tcW w:w="457" w:type="dxa"/>
                                  <w:vAlign w:val="center"/>
                                </w:tcPr>
                                <w:p w14:paraId="45AC4F3D"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7</w:t>
                                  </w:r>
                                </w:p>
                              </w:tc>
                              <w:tc>
                                <w:tcPr>
                                  <w:tcW w:w="2912" w:type="dxa"/>
                                  <w:vAlign w:val="center"/>
                                </w:tcPr>
                                <w:p w14:paraId="7E68A2C2" w14:textId="77777777" w:rsidR="00A0212B" w:rsidRPr="00E31547" w:rsidRDefault="00A0212B" w:rsidP="005C22EC">
                                  <w:pPr>
                                    <w:overflowPunct w:val="0"/>
                                    <w:adjustRightInd w:val="0"/>
                                    <w:snapToGrid w:val="0"/>
                                    <w:spacing w:line="280" w:lineRule="exact"/>
                                    <w:jc w:val="both"/>
                                    <w:rPr>
                                      <w:rFonts w:ascii="標楷體" w:eastAsia="標楷體" w:hAnsi="標楷體"/>
                                      <w:bCs/>
                                      <w:spacing w:val="4"/>
                                      <w:sz w:val="20"/>
                                      <w:lang w:val="x-none"/>
                                    </w:rPr>
                                  </w:pPr>
                                  <w:r w:rsidRPr="00E31547">
                                    <w:rPr>
                                      <w:rFonts w:ascii="標楷體" w:eastAsia="標楷體" w:hAnsi="標楷體" w:hint="eastAsia"/>
                                      <w:bCs/>
                                      <w:spacing w:val="4"/>
                                      <w:sz w:val="20"/>
                                      <w:lang w:val="x-none"/>
                                    </w:rPr>
                                    <w:t>資通安全維護計畫、實施情形之持續精進及績效管理機制</w:t>
                                  </w:r>
                                </w:p>
                              </w:tc>
                              <w:tc>
                                <w:tcPr>
                                  <w:tcW w:w="3402" w:type="dxa"/>
                                  <w:vAlign w:val="center"/>
                                </w:tcPr>
                                <w:p w14:paraId="0F38F73F"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增補對雲端服務提供者之稽核過程，並調整相關附件。</w:t>
                                  </w:r>
                                </w:p>
                              </w:tc>
                            </w:tr>
                          </w:tbl>
                          <w:p w14:paraId="08DD2A14" w14:textId="77777777" w:rsidR="00A0212B" w:rsidRDefault="00A0212B" w:rsidP="0054724C">
                            <w:pPr>
                              <w:overflowPunct w:val="0"/>
                              <w:adjustRightInd w:val="0"/>
                              <w:snapToGrid w:val="0"/>
                              <w:spacing w:line="280" w:lineRule="exact"/>
                              <w:ind w:leftChars="-50" w:left="-120"/>
                              <w:jc w:val="both"/>
                            </w:pPr>
                            <w:r w:rsidRPr="0098393C">
                              <w:rPr>
                                <w:rFonts w:ascii="標楷體" w:eastAsia="標楷體" w:hAnsi="標楷體" w:hint="eastAsia"/>
                                <w:bCs/>
                                <w:sz w:val="18"/>
                                <w:lang w:val="x-none"/>
                              </w:rPr>
                              <w:t>資料來源：整理自政府機關雲端服務應用資安參考指引（V1.2）。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75B3E6" id="文字方塊 456" o:spid="_x0000_s1100" type="#_x0000_t202" style="position:absolute;left:0;text-align:left;margin-left:148.8pt;margin-top:261.3pt;width:346.4pt;height:280.7pt;z-index:2516439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" fillcolor="window" stroked="f" strokeweight=".5pt">
                <v:textbox>
                  <w:txbxContent>
                    <w:p w14:paraId="40927FAE" w14:textId="05777F5C" w:rsidR="00A0212B" w:rsidRPr="0098393C" w:rsidRDefault="00A0212B" w:rsidP="0054724C">
                      <w:pPr>
                        <w:overflowPunct w:val="0"/>
                        <w:adjustRightInd w:val="0"/>
                        <w:snapToGrid w:val="0"/>
                        <w:spacing w:after="240" w:line="320" w:lineRule="exact"/>
                        <w:jc w:val="center"/>
                        <w:rPr>
                          <w:rFonts w:ascii="標楷體" w:eastAsia="標楷體" w:hAnsi="標楷體"/>
                          <w:b/>
                          <w:spacing w:val="-18"/>
                          <w:szCs w:val="24"/>
                        </w:rPr>
                      </w:pPr>
                      <w:r w:rsidRPr="005D2E44">
                        <w:rPr>
                          <w:rFonts w:ascii="標楷體" w:eastAsia="標楷體" w:hAnsi="標楷體" w:hint="eastAsia"/>
                          <w:b/>
                          <w:color w:val="000000" w:themeColor="text1"/>
                          <w:szCs w:val="24"/>
                        </w:rPr>
                        <w:t>表</w:t>
                      </w:r>
                      <w:r>
                        <w:rPr>
                          <w:rFonts w:ascii="標楷體" w:eastAsia="標楷體" w:hAnsi="標楷體"/>
                          <w:b/>
                          <w:color w:val="000000" w:themeColor="text1"/>
                          <w:szCs w:val="24"/>
                        </w:rPr>
                        <w:t>35</w:t>
                      </w:r>
                      <w:r>
                        <w:rPr>
                          <w:rFonts w:ascii="標楷體" w:eastAsia="標楷體" w:hAnsi="標楷體" w:hint="eastAsia"/>
                          <w:b/>
                          <w:szCs w:val="24"/>
                        </w:rPr>
                        <w:t xml:space="preserve">　</w:t>
                      </w:r>
                      <w:r w:rsidRPr="005E5FF8">
                        <w:rPr>
                          <w:rFonts w:ascii="標楷體" w:eastAsia="標楷體" w:hAnsi="標楷體" w:hint="eastAsia"/>
                          <w:b/>
                          <w:bCs/>
                          <w:spacing w:val="-4"/>
                          <w:szCs w:val="24"/>
                          <w:lang w:val="x-none"/>
                        </w:rPr>
                        <w:t>雲端服務資安管理應納入資通安全維護計畫項目及內容</w:t>
                      </w:r>
                    </w:p>
                    <w:tbl>
                      <w:tblPr>
                        <w:tblStyle w:val="afff"/>
                        <w:tblW w:w="0" w:type="auto"/>
                        <w:tblLook w:val="04A0" w:firstRow="1" w:lastRow="0" w:firstColumn="1" w:lastColumn="0" w:noHBand="0" w:noVBand="1"/>
                      </w:tblPr>
                      <w:tblGrid>
                        <w:gridCol w:w="457"/>
                        <w:gridCol w:w="2912"/>
                        <w:gridCol w:w="3402"/>
                      </w:tblGrid>
                      <w:tr w:rsidR="00A0212B" w:rsidRPr="006F5243" w14:paraId="492A2C80" w14:textId="77777777" w:rsidTr="005C22EC">
                        <w:trPr>
                          <w:trHeight w:val="516"/>
                        </w:trPr>
                        <w:tc>
                          <w:tcPr>
                            <w:tcW w:w="457" w:type="dxa"/>
                            <w:vAlign w:val="center"/>
                          </w:tcPr>
                          <w:p w14:paraId="4F38FB98"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hint="eastAsia"/>
                                <w:bCs/>
                                <w:sz w:val="20"/>
                                <w:lang w:val="x-none"/>
                              </w:rPr>
                              <w:t>序號</w:t>
                            </w:r>
                          </w:p>
                        </w:tc>
                        <w:tc>
                          <w:tcPr>
                            <w:tcW w:w="2912" w:type="dxa"/>
                            <w:vAlign w:val="center"/>
                          </w:tcPr>
                          <w:p w14:paraId="5818D7B3" w14:textId="77777777" w:rsidR="00A0212B" w:rsidRPr="00E31547" w:rsidRDefault="00A0212B" w:rsidP="005C22EC">
                            <w:pPr>
                              <w:overflowPunct w:val="0"/>
                              <w:adjustRightInd w:val="0"/>
                              <w:snapToGrid w:val="0"/>
                              <w:spacing w:line="280" w:lineRule="exact"/>
                              <w:ind w:leftChars="-40" w:left="-96" w:rightChars="-49" w:right="-118"/>
                              <w:jc w:val="center"/>
                              <w:rPr>
                                <w:rFonts w:ascii="標楷體" w:eastAsia="標楷體" w:hAnsi="標楷體"/>
                                <w:bCs/>
                                <w:sz w:val="20"/>
                                <w:lang w:val="x-none"/>
                              </w:rPr>
                            </w:pPr>
                            <w:r w:rsidRPr="00E31547">
                              <w:rPr>
                                <w:rFonts w:ascii="標楷體" w:eastAsia="標楷體" w:hAnsi="標楷體" w:hint="eastAsia"/>
                                <w:bCs/>
                                <w:sz w:val="20"/>
                                <w:lang w:val="x-none"/>
                              </w:rPr>
                              <w:t>資通安全維護計畫項目</w:t>
                            </w:r>
                          </w:p>
                        </w:tc>
                        <w:tc>
                          <w:tcPr>
                            <w:tcW w:w="3402" w:type="dxa"/>
                            <w:vAlign w:val="center"/>
                          </w:tcPr>
                          <w:p w14:paraId="4C17D3EE"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hint="eastAsia"/>
                                <w:bCs/>
                                <w:sz w:val="20"/>
                                <w:lang w:val="x-none"/>
                              </w:rPr>
                              <w:t>內容</w:t>
                            </w:r>
                          </w:p>
                        </w:tc>
                      </w:tr>
                      <w:tr w:rsidR="00A0212B" w:rsidRPr="006F5243" w14:paraId="055DF957" w14:textId="77777777" w:rsidTr="005C22EC">
                        <w:tc>
                          <w:tcPr>
                            <w:tcW w:w="457" w:type="dxa"/>
                            <w:vAlign w:val="center"/>
                          </w:tcPr>
                          <w:p w14:paraId="71F9F893"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1</w:t>
                            </w:r>
                          </w:p>
                        </w:tc>
                        <w:tc>
                          <w:tcPr>
                            <w:tcW w:w="2912" w:type="dxa"/>
                            <w:vAlign w:val="center"/>
                          </w:tcPr>
                          <w:p w14:paraId="1DC20395"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資通安全政策及目標</w:t>
                            </w:r>
                          </w:p>
                        </w:tc>
                        <w:tc>
                          <w:tcPr>
                            <w:tcW w:w="3402" w:type="dxa"/>
                            <w:vAlign w:val="center"/>
                          </w:tcPr>
                          <w:p w14:paraId="37103F6D" w14:textId="77777777" w:rsidR="00A0212B" w:rsidRPr="00E31547" w:rsidRDefault="00A0212B" w:rsidP="005C22EC">
                            <w:pPr>
                              <w:overflowPunct w:val="0"/>
                              <w:adjustRightInd w:val="0"/>
                              <w:snapToGrid w:val="0"/>
                              <w:spacing w:line="280" w:lineRule="exact"/>
                              <w:jc w:val="both"/>
                              <w:rPr>
                                <w:rFonts w:ascii="標楷體" w:eastAsia="標楷體" w:hAnsi="標楷體"/>
                                <w:bCs/>
                                <w:spacing w:val="4"/>
                                <w:sz w:val="20"/>
                                <w:lang w:val="x-none"/>
                              </w:rPr>
                            </w:pPr>
                            <w:r w:rsidRPr="00E31547">
                              <w:rPr>
                                <w:rFonts w:ascii="標楷體" w:eastAsia="標楷體" w:hAnsi="標楷體" w:hint="eastAsia"/>
                                <w:bCs/>
                                <w:spacing w:val="4"/>
                                <w:sz w:val="20"/>
                                <w:lang w:val="x-none"/>
                              </w:rPr>
                              <w:t>有獨立篇幅說明雲端服務資安政策。</w:t>
                            </w:r>
                          </w:p>
                        </w:tc>
                      </w:tr>
                      <w:tr w:rsidR="00A0212B" w:rsidRPr="006F5243" w14:paraId="3512A306" w14:textId="77777777" w:rsidTr="005C22EC">
                        <w:tc>
                          <w:tcPr>
                            <w:tcW w:w="457" w:type="dxa"/>
                            <w:vMerge w:val="restart"/>
                            <w:vAlign w:val="center"/>
                          </w:tcPr>
                          <w:p w14:paraId="01332FB0"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2</w:t>
                            </w:r>
                          </w:p>
                        </w:tc>
                        <w:tc>
                          <w:tcPr>
                            <w:tcW w:w="2912" w:type="dxa"/>
                            <w:vAlign w:val="center"/>
                          </w:tcPr>
                          <w:p w14:paraId="23B92571"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資通安全推動組織</w:t>
                            </w:r>
                          </w:p>
                        </w:tc>
                        <w:tc>
                          <w:tcPr>
                            <w:tcW w:w="3402" w:type="dxa"/>
                            <w:vMerge w:val="restart"/>
                            <w:vAlign w:val="center"/>
                          </w:tcPr>
                          <w:p w14:paraId="10DE23DE"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說明機關對雲端服務資安管理人力配置。</w:t>
                            </w:r>
                          </w:p>
                        </w:tc>
                      </w:tr>
                      <w:tr w:rsidR="00A0212B" w:rsidRPr="006F5243" w14:paraId="3E9349BB" w14:textId="77777777" w:rsidTr="005C22EC">
                        <w:tc>
                          <w:tcPr>
                            <w:tcW w:w="457" w:type="dxa"/>
                            <w:vMerge/>
                            <w:vAlign w:val="center"/>
                          </w:tcPr>
                          <w:p w14:paraId="2704F52F"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p>
                        </w:tc>
                        <w:tc>
                          <w:tcPr>
                            <w:tcW w:w="2912" w:type="dxa"/>
                            <w:vAlign w:val="center"/>
                          </w:tcPr>
                          <w:p w14:paraId="043EDFA9"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專職（責）人力及經費配置</w:t>
                            </w:r>
                          </w:p>
                        </w:tc>
                        <w:tc>
                          <w:tcPr>
                            <w:tcW w:w="3402" w:type="dxa"/>
                            <w:vMerge/>
                            <w:vAlign w:val="center"/>
                          </w:tcPr>
                          <w:p w14:paraId="7B170E7A"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p>
                        </w:tc>
                      </w:tr>
                      <w:tr w:rsidR="00A0212B" w:rsidRPr="006F5243" w14:paraId="37B9174D" w14:textId="77777777" w:rsidTr="005C22EC">
                        <w:tc>
                          <w:tcPr>
                            <w:tcW w:w="457" w:type="dxa"/>
                            <w:vAlign w:val="center"/>
                          </w:tcPr>
                          <w:p w14:paraId="33806047"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3</w:t>
                            </w:r>
                          </w:p>
                        </w:tc>
                        <w:tc>
                          <w:tcPr>
                            <w:tcW w:w="2912" w:type="dxa"/>
                            <w:vAlign w:val="center"/>
                          </w:tcPr>
                          <w:p w14:paraId="5EFA595C"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資通安全風險評估</w:t>
                            </w:r>
                          </w:p>
                        </w:tc>
                        <w:tc>
                          <w:tcPr>
                            <w:tcW w:w="3402" w:type="dxa"/>
                            <w:vAlign w:val="center"/>
                          </w:tcPr>
                          <w:p w14:paraId="454308E5"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加入對雲端服務資安風險評鑑過程，並調整相關附件。</w:t>
                            </w:r>
                          </w:p>
                        </w:tc>
                      </w:tr>
                      <w:tr w:rsidR="00A0212B" w:rsidRPr="006F5243" w14:paraId="33E50443" w14:textId="77777777" w:rsidTr="005C22EC">
                        <w:tc>
                          <w:tcPr>
                            <w:tcW w:w="457" w:type="dxa"/>
                            <w:vAlign w:val="center"/>
                          </w:tcPr>
                          <w:p w14:paraId="52BFC435"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4</w:t>
                            </w:r>
                          </w:p>
                        </w:tc>
                        <w:tc>
                          <w:tcPr>
                            <w:tcW w:w="2912" w:type="dxa"/>
                            <w:vAlign w:val="center"/>
                          </w:tcPr>
                          <w:p w14:paraId="21D6F9ED"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資通安全防護及控制措施</w:t>
                            </w:r>
                          </w:p>
                        </w:tc>
                        <w:tc>
                          <w:tcPr>
                            <w:tcW w:w="3402" w:type="dxa"/>
                            <w:vAlign w:val="center"/>
                          </w:tcPr>
                          <w:p w14:paraId="4F3EB650"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增修因雲端服務資安風險處理計畫而產生之額外相關控制措施。</w:t>
                            </w:r>
                          </w:p>
                        </w:tc>
                      </w:tr>
                      <w:tr w:rsidR="00A0212B" w:rsidRPr="006F5243" w14:paraId="23FB66AD" w14:textId="77777777" w:rsidTr="005C22EC">
                        <w:tc>
                          <w:tcPr>
                            <w:tcW w:w="457" w:type="dxa"/>
                            <w:vAlign w:val="center"/>
                          </w:tcPr>
                          <w:p w14:paraId="73E15913"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5</w:t>
                            </w:r>
                          </w:p>
                        </w:tc>
                        <w:tc>
                          <w:tcPr>
                            <w:tcW w:w="2912" w:type="dxa"/>
                            <w:vAlign w:val="center"/>
                          </w:tcPr>
                          <w:p w14:paraId="27232CD5"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資通安全系統或服務委外辦理之管理</w:t>
                            </w:r>
                          </w:p>
                        </w:tc>
                        <w:tc>
                          <w:tcPr>
                            <w:tcW w:w="3402" w:type="dxa"/>
                            <w:vAlign w:val="center"/>
                          </w:tcPr>
                          <w:p w14:paraId="0B7BB5D5"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增補因雲端服務所產生之額外通報與應變流程。</w:t>
                            </w:r>
                          </w:p>
                        </w:tc>
                      </w:tr>
                      <w:tr w:rsidR="00A0212B" w:rsidRPr="006F5243" w14:paraId="702B3C11" w14:textId="77777777" w:rsidTr="005C22EC">
                        <w:tc>
                          <w:tcPr>
                            <w:tcW w:w="457" w:type="dxa"/>
                            <w:vAlign w:val="center"/>
                          </w:tcPr>
                          <w:p w14:paraId="7E9EBA75"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6</w:t>
                            </w:r>
                          </w:p>
                        </w:tc>
                        <w:tc>
                          <w:tcPr>
                            <w:tcW w:w="2912" w:type="dxa"/>
                            <w:vAlign w:val="center"/>
                          </w:tcPr>
                          <w:p w14:paraId="2A6422E0"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資通系統或服務委外辦理之管理</w:t>
                            </w:r>
                          </w:p>
                        </w:tc>
                        <w:tc>
                          <w:tcPr>
                            <w:tcW w:w="3402" w:type="dxa"/>
                            <w:vAlign w:val="center"/>
                          </w:tcPr>
                          <w:p w14:paraId="5E9AB554"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增補對雲端服務提供者之選商與管理監督程序，並調整相關附件。</w:t>
                            </w:r>
                          </w:p>
                        </w:tc>
                      </w:tr>
                      <w:tr w:rsidR="00A0212B" w:rsidRPr="006F5243" w14:paraId="1771EEA7" w14:textId="77777777" w:rsidTr="005C22EC">
                        <w:tc>
                          <w:tcPr>
                            <w:tcW w:w="457" w:type="dxa"/>
                            <w:vAlign w:val="center"/>
                          </w:tcPr>
                          <w:p w14:paraId="45AC4F3D" w14:textId="77777777" w:rsidR="00A0212B" w:rsidRPr="00E31547" w:rsidRDefault="00A0212B" w:rsidP="005C22EC">
                            <w:pPr>
                              <w:overflowPunct w:val="0"/>
                              <w:adjustRightInd w:val="0"/>
                              <w:snapToGrid w:val="0"/>
                              <w:spacing w:line="280" w:lineRule="exact"/>
                              <w:jc w:val="center"/>
                              <w:rPr>
                                <w:rFonts w:ascii="標楷體" w:eastAsia="標楷體" w:hAnsi="標楷體"/>
                                <w:bCs/>
                                <w:sz w:val="20"/>
                                <w:lang w:val="x-none"/>
                              </w:rPr>
                            </w:pPr>
                            <w:r w:rsidRPr="00E31547">
                              <w:rPr>
                                <w:rFonts w:ascii="標楷體" w:eastAsia="標楷體" w:hAnsi="標楷體"/>
                                <w:bCs/>
                                <w:sz w:val="20"/>
                                <w:lang w:val="x-none"/>
                              </w:rPr>
                              <w:t>7</w:t>
                            </w:r>
                          </w:p>
                        </w:tc>
                        <w:tc>
                          <w:tcPr>
                            <w:tcW w:w="2912" w:type="dxa"/>
                            <w:vAlign w:val="center"/>
                          </w:tcPr>
                          <w:p w14:paraId="7E68A2C2" w14:textId="77777777" w:rsidR="00A0212B" w:rsidRPr="00E31547" w:rsidRDefault="00A0212B" w:rsidP="005C22EC">
                            <w:pPr>
                              <w:overflowPunct w:val="0"/>
                              <w:adjustRightInd w:val="0"/>
                              <w:snapToGrid w:val="0"/>
                              <w:spacing w:line="280" w:lineRule="exact"/>
                              <w:jc w:val="both"/>
                              <w:rPr>
                                <w:rFonts w:ascii="標楷體" w:eastAsia="標楷體" w:hAnsi="標楷體"/>
                                <w:bCs/>
                                <w:spacing w:val="4"/>
                                <w:sz w:val="20"/>
                                <w:lang w:val="x-none"/>
                              </w:rPr>
                            </w:pPr>
                            <w:r w:rsidRPr="00E31547">
                              <w:rPr>
                                <w:rFonts w:ascii="標楷體" w:eastAsia="標楷體" w:hAnsi="標楷體" w:hint="eastAsia"/>
                                <w:bCs/>
                                <w:spacing w:val="4"/>
                                <w:sz w:val="20"/>
                                <w:lang w:val="x-none"/>
                              </w:rPr>
                              <w:t>資通安全維護計畫、實施情形之持續精進及績效管理機制</w:t>
                            </w:r>
                          </w:p>
                        </w:tc>
                        <w:tc>
                          <w:tcPr>
                            <w:tcW w:w="3402" w:type="dxa"/>
                            <w:vAlign w:val="center"/>
                          </w:tcPr>
                          <w:p w14:paraId="0F38F73F" w14:textId="77777777" w:rsidR="00A0212B" w:rsidRPr="00E31547" w:rsidRDefault="00A0212B" w:rsidP="005C22EC">
                            <w:pPr>
                              <w:overflowPunct w:val="0"/>
                              <w:adjustRightInd w:val="0"/>
                              <w:snapToGrid w:val="0"/>
                              <w:spacing w:line="280" w:lineRule="exact"/>
                              <w:jc w:val="both"/>
                              <w:rPr>
                                <w:rFonts w:ascii="標楷體" w:eastAsia="標楷體" w:hAnsi="標楷體"/>
                                <w:bCs/>
                                <w:sz w:val="20"/>
                                <w:lang w:val="x-none"/>
                              </w:rPr>
                            </w:pPr>
                            <w:r w:rsidRPr="00E31547">
                              <w:rPr>
                                <w:rFonts w:ascii="標楷體" w:eastAsia="標楷體" w:hAnsi="標楷體" w:hint="eastAsia"/>
                                <w:bCs/>
                                <w:sz w:val="20"/>
                                <w:lang w:val="x-none"/>
                              </w:rPr>
                              <w:t>增補對雲端服務提供者之稽核過程，並調整相關附件。</w:t>
                            </w:r>
                          </w:p>
                        </w:tc>
                      </w:tr>
                    </w:tbl>
                    <w:p w14:paraId="08DD2A14" w14:textId="77777777" w:rsidR="00A0212B" w:rsidRDefault="00A0212B" w:rsidP="0054724C">
                      <w:pPr>
                        <w:overflowPunct w:val="0"/>
                        <w:adjustRightInd w:val="0"/>
                        <w:snapToGrid w:val="0"/>
                        <w:spacing w:line="280" w:lineRule="exact"/>
                        <w:ind w:leftChars="-50" w:left="-120"/>
                        <w:jc w:val="both"/>
                      </w:pPr>
                      <w:r w:rsidRPr="0098393C">
                        <w:rPr>
                          <w:rFonts w:ascii="標楷體" w:eastAsia="標楷體" w:hAnsi="標楷體" w:hint="eastAsia"/>
                          <w:bCs/>
                          <w:sz w:val="18"/>
                          <w:lang w:val="x-none"/>
                        </w:rPr>
                        <w:t>資料來源：整理自政府機關雲端服務應用資安參考指引（V1.2）。</w:t>
                      </w:r>
                    </w:p>
                  </w:txbxContent>
                </v:textbox>
                <w10:wrap type="square" anchorx="margin" anchory="margin"/>
              </v:shape>
            </w:pict>
          </mc:Fallback>
        </mc:AlternateContent>
      </w:r>
      <w:r w:rsidR="00B96626" w:rsidRPr="00757893">
        <w:rPr>
          <w:rFonts w:ascii="標楷體" w:eastAsia="標楷體" w:hAnsi="標楷體" w:hint="eastAsia"/>
          <w:b/>
          <w:color w:val="000000" w:themeColor="text1"/>
          <w:kern w:val="0"/>
          <w:szCs w:val="24"/>
        </w:rPr>
        <w:t>4.</w:t>
      </w:r>
      <w:r w:rsidR="00B96626" w:rsidRPr="00757893">
        <w:rPr>
          <w:rFonts w:ascii="標楷體" w:eastAsia="標楷體" w:hAnsi="標楷體" w:hint="eastAsia"/>
          <w:b/>
          <w:color w:val="000000" w:themeColor="text1"/>
          <w:szCs w:val="24"/>
        </w:rPr>
        <w:t xml:space="preserve">　建置票務系統提供雲端購票服務，系統存有個人資料及線上交易資訊，惟未將雲端服務資安控制措施納入既有資通安全維護計畫：</w:t>
      </w:r>
      <w:r w:rsidR="00B96626" w:rsidRPr="00757893">
        <w:rPr>
          <w:rFonts w:ascii="標楷體" w:eastAsia="標楷體" w:hAnsi="標楷體" w:hint="eastAsia"/>
          <w:color w:val="000000" w:themeColor="text1"/>
          <w:szCs w:val="24"/>
        </w:rPr>
        <w:t>依資通安全管理法第10條規定，公務機關應符合其所屬資通安全責任等級之要求，並考量其所保有或處理之資訊種類、數量、性質、資通安全之規模與性質等條件，訂定、修正及實施資通安全維護計畫。另國家資通安全研究院之共通規範專區已公布政府機關雲端服務應用資安參考指引（下稱雲端服務應用資安參考指引），以協助政府機關於使用雲端服務時，依雲端資安相關標準要求，檢視與降低使用雲端服務之風險，以完善雲端服務資安防護計畫。該指引4.1共通資安管理規劃規定，機關在建置雲端服務時，應將雲端服務管理議題納入既有ISMS體系與日常資安管理作業中；4.1.1.6規定，機關應將雲端服務資安管理與使用雲端之資通系統，納入既有資通安全維護計畫中，內容應至少包含資通安全政策及目標等7項（</w:t>
      </w:r>
      <w:r w:rsidR="00B96626" w:rsidRPr="006678C5">
        <w:rPr>
          <w:rFonts w:ascii="標楷體" w:eastAsia="標楷體" w:hAnsi="標楷體" w:hint="eastAsia"/>
          <w:color w:val="000000" w:themeColor="text1"/>
          <w:szCs w:val="24"/>
        </w:rPr>
        <w:t>表</w:t>
      </w:r>
      <w:r w:rsidR="00CB4EFC" w:rsidRPr="006678C5">
        <w:rPr>
          <w:rFonts w:ascii="標楷體" w:eastAsia="標楷體" w:hAnsi="標楷體" w:hint="eastAsia"/>
          <w:color w:val="000000" w:themeColor="text1"/>
          <w:szCs w:val="24"/>
        </w:rPr>
        <w:t>3</w:t>
      </w:r>
      <w:r w:rsidR="005E3F3E" w:rsidRPr="006678C5">
        <w:rPr>
          <w:rFonts w:ascii="標楷體" w:eastAsia="標楷體" w:hAnsi="標楷體" w:hint="eastAsia"/>
          <w:color w:val="000000" w:themeColor="text1"/>
          <w:szCs w:val="24"/>
        </w:rPr>
        <w:t>5</w:t>
      </w:r>
      <w:r w:rsidR="00B96626" w:rsidRPr="00757893">
        <w:rPr>
          <w:rFonts w:ascii="標楷體" w:eastAsia="標楷體" w:hAnsi="標楷體" w:hint="eastAsia"/>
          <w:color w:val="000000" w:themeColor="text1"/>
          <w:szCs w:val="24"/>
        </w:rPr>
        <w:t>）。經查故宮於109年間辦理票務電子化服務建置與整合委託專業服務案，建置票務系統，提供網路售票服務，支援多元線上付款功能，提供購票者可辨識之相關個人資訊，並架設符合規格之雲端主機與硬碟。故宮已就票務系統辦理資通安全風險評估，並納入資訊資產清冊及實施相關資安控制措施，惟未依雲端服務應用資安參考指引規定，將雲端服務資安控制措施納入既有資通安全維護計畫。又票務系統雲端服務種類係屬「軟體作為服務</w:t>
      </w:r>
      <w:r w:rsidR="007A1BF6" w:rsidRPr="00757893">
        <w:rPr>
          <w:rFonts w:ascii="標楷體" w:eastAsia="標楷體" w:hAnsi="標楷體" w:hint="eastAsia"/>
          <w:color w:val="000000" w:themeColor="text1"/>
          <w:szCs w:val="24"/>
        </w:rPr>
        <w:t>」</w:t>
      </w:r>
      <w:r w:rsidR="00B96626" w:rsidRPr="00757893">
        <w:rPr>
          <w:rFonts w:ascii="標楷體" w:eastAsia="標楷體" w:hAnsi="標楷體" w:hint="eastAsia"/>
          <w:color w:val="000000" w:themeColor="text1"/>
          <w:szCs w:val="24"/>
        </w:rPr>
        <w:t>（Software as a Service, SaaS）模式，由廠商提供集中式代管軟體與相關資料，且該系統存有購票者個人資料，並提供多元線上付款功能，涉及個人資料保護與線上支付安全維護，雖非屬故宮核心資通系統，惟考量其資通安全之規模與性質，仍應為重要資訊系統，亟待</w:t>
      </w:r>
      <w:r w:rsidR="00B96626">
        <w:rPr>
          <w:rFonts w:ascii="標楷體" w:eastAsia="標楷體" w:hAnsi="標楷體" w:hint="eastAsia"/>
          <w:color w:val="000000" w:themeColor="text1"/>
          <w:szCs w:val="24"/>
        </w:rPr>
        <w:t>檢討</w:t>
      </w:r>
      <w:r w:rsidR="00B96626" w:rsidRPr="00757893">
        <w:rPr>
          <w:rFonts w:ascii="標楷體" w:eastAsia="標楷體" w:hAnsi="標楷體" w:hint="eastAsia"/>
          <w:color w:val="000000" w:themeColor="text1"/>
          <w:szCs w:val="24"/>
        </w:rPr>
        <w:t>研議將票務系統納入ISMS程序書驗證範圍，以有效維護購票者個人資料與線上支付作業之資訊安全，</w:t>
      </w:r>
      <w:r w:rsidR="00B96626" w:rsidRPr="00757893">
        <w:rPr>
          <w:rFonts w:ascii="標楷體" w:eastAsia="標楷體" w:hAnsi="標楷體" w:hint="eastAsia"/>
          <w:color w:val="000000" w:themeColor="text1"/>
          <w:kern w:val="0"/>
          <w:szCs w:val="24"/>
        </w:rPr>
        <w:t>經函請故宮研謀改善。據復：雲端服務資安控制措施將納入113年度</w:t>
      </w:r>
      <w:r w:rsidR="00B96626" w:rsidRPr="00757893">
        <w:rPr>
          <w:rFonts w:ascii="標楷體" w:eastAsia="標楷體" w:hAnsi="標楷體" w:hint="eastAsia"/>
          <w:color w:val="000000" w:themeColor="text1"/>
          <w:szCs w:val="24"/>
        </w:rPr>
        <w:t>資通安全維護計畫及</w:t>
      </w:r>
      <w:r w:rsidR="00B96626" w:rsidRPr="00757893">
        <w:rPr>
          <w:rFonts w:ascii="標楷體" w:eastAsia="標楷體" w:hAnsi="標楷體" w:hint="eastAsia"/>
          <w:color w:val="000000" w:themeColor="text1"/>
          <w:kern w:val="0"/>
          <w:szCs w:val="24"/>
        </w:rPr>
        <w:t>檢討修訂</w:t>
      </w:r>
      <w:r w:rsidR="00B96626" w:rsidRPr="00757893">
        <w:rPr>
          <w:rFonts w:ascii="標楷體" w:eastAsia="標楷體" w:hAnsi="標楷體" w:hint="eastAsia"/>
          <w:color w:val="000000" w:themeColor="text1"/>
          <w:szCs w:val="24"/>
        </w:rPr>
        <w:t>ISMS相關規範。</w:t>
      </w:r>
      <w:r w:rsidR="00373DAB">
        <w:rPr>
          <w:rFonts w:ascii="標楷體" w:eastAsia="標楷體" w:hAnsi="標楷體"/>
          <w:color w:val="000000" w:themeColor="text1"/>
          <w:szCs w:val="24"/>
        </w:rPr>
        <w:br w:type="page"/>
      </w:r>
    </w:p>
    <w:p w14:paraId="3A983BDC" w14:textId="28CBBD92" w:rsidR="00412838" w:rsidRPr="00757893" w:rsidRDefault="00412838" w:rsidP="00072D68">
      <w:pPr>
        <w:overflowPunct w:val="0"/>
        <w:snapToGrid w:val="0"/>
        <w:spacing w:beforeLines="20" w:before="72" w:afterLines="20" w:after="72" w:line="430" w:lineRule="exact"/>
        <w:ind w:firstLineChars="200" w:firstLine="561"/>
        <w:jc w:val="both"/>
        <w:outlineLvl w:val="1"/>
        <w:rPr>
          <w:rFonts w:ascii="標楷體" w:eastAsia="標楷體" w:hAnsi="標楷體"/>
          <w:b/>
          <w:color w:val="000000" w:themeColor="text1"/>
          <w:sz w:val="28"/>
          <w:szCs w:val="28"/>
        </w:rPr>
      </w:pPr>
      <w:r w:rsidRPr="00757893">
        <w:rPr>
          <w:rFonts w:ascii="標楷體" w:eastAsia="標楷體" w:hAnsi="標楷體" w:hint="eastAsia"/>
          <w:b/>
          <w:color w:val="000000" w:themeColor="text1"/>
          <w:sz w:val="28"/>
          <w:szCs w:val="28"/>
        </w:rPr>
        <w:lastRenderedPageBreak/>
        <w:t>（</w:t>
      </w:r>
      <w:r>
        <w:rPr>
          <w:rFonts w:ascii="標楷體" w:eastAsia="標楷體" w:hAnsi="標楷體" w:hint="eastAsia"/>
          <w:b/>
          <w:color w:val="000000" w:themeColor="text1"/>
          <w:sz w:val="28"/>
          <w:szCs w:val="28"/>
        </w:rPr>
        <w:t>二十</w:t>
      </w:r>
      <w:r w:rsidR="00781889">
        <w:rPr>
          <w:rFonts w:ascii="標楷體" w:eastAsia="標楷體" w:hAnsi="標楷體" w:hint="eastAsia"/>
          <w:b/>
          <w:color w:val="000000" w:themeColor="text1"/>
          <w:sz w:val="28"/>
          <w:szCs w:val="28"/>
        </w:rPr>
        <w:t>五</w:t>
      </w:r>
      <w:r w:rsidRPr="00757893">
        <w:rPr>
          <w:rFonts w:ascii="標楷體" w:eastAsia="標楷體" w:hAnsi="標楷體" w:hint="eastAsia"/>
          <w:b/>
          <w:color w:val="000000" w:themeColor="text1"/>
          <w:sz w:val="28"/>
          <w:szCs w:val="28"/>
        </w:rPr>
        <w:t xml:space="preserve">）　</w:t>
      </w:r>
      <w:r w:rsidRPr="00412838">
        <w:rPr>
          <w:rFonts w:ascii="標楷體" w:eastAsia="標楷體" w:hAnsi="標楷體" w:hint="eastAsia"/>
          <w:b/>
          <w:color w:val="000000" w:themeColor="text1"/>
          <w:sz w:val="28"/>
          <w:szCs w:val="28"/>
        </w:rPr>
        <w:t>原住民族委員會推動原住民族智慧治理計畫，建置行政決策支援系統，有助優化原住民族行政決策，惟系統基礎資料更新機制尚未完備，9成資料集為1至2年前統計數據，恐影響系統功能可用性，允宜研謀改善</w:t>
      </w:r>
      <w:r w:rsidRPr="00757893">
        <w:rPr>
          <w:rFonts w:ascii="標楷體" w:eastAsia="標楷體" w:hAnsi="標楷體" w:hint="eastAsia"/>
          <w:b/>
          <w:color w:val="000000" w:themeColor="text1"/>
          <w:sz w:val="28"/>
          <w:szCs w:val="28"/>
        </w:rPr>
        <w:t>。</w:t>
      </w:r>
    </w:p>
    <w:p w14:paraId="485B16B3" w14:textId="2857F401" w:rsidR="00412838" w:rsidRPr="007C40C3" w:rsidRDefault="00412838" w:rsidP="00412838">
      <w:pPr>
        <w:overflowPunct w:val="0"/>
        <w:spacing w:line="430" w:lineRule="exact"/>
        <w:ind w:firstLineChars="200" w:firstLine="480"/>
        <w:jc w:val="both"/>
        <w:rPr>
          <w:rFonts w:ascii="標楷體" w:eastAsia="標楷體" w:hAnsi="標楷體"/>
          <w:spacing w:val="-4"/>
          <w:szCs w:val="24"/>
        </w:rPr>
      </w:pPr>
      <w:r w:rsidRPr="007C40C3">
        <w:rPr>
          <w:rFonts w:ascii="標楷體" w:eastAsia="標楷體" w:hAnsi="標楷體" w:hint="eastAsia"/>
          <w:noProof/>
          <w:spacing w:val="-4"/>
          <w:szCs w:val="24"/>
        </w:rPr>
        <mc:AlternateContent>
          <mc:Choice Requires="wpg">
            <w:drawing>
              <wp:anchor distT="0" distB="0" distL="114300" distR="114300" simplePos="0" relativeHeight="251676672" behindDoc="0" locked="0" layoutInCell="1" allowOverlap="1" wp14:anchorId="6982A745" wp14:editId="43D5BF87">
                <wp:simplePos x="0" y="0"/>
                <wp:positionH relativeFrom="margin">
                  <wp:posOffset>-3175</wp:posOffset>
                </wp:positionH>
                <wp:positionV relativeFrom="paragraph">
                  <wp:posOffset>5111115</wp:posOffset>
                </wp:positionV>
                <wp:extent cx="6088380" cy="2929255"/>
                <wp:effectExtent l="0" t="0" r="7620" b="4445"/>
                <wp:wrapTopAndBottom/>
                <wp:docPr id="18" name="群組 18"/>
                <wp:cNvGraphicFramePr/>
                <a:graphic xmlns:a="http://schemas.openxmlformats.org/drawingml/2006/main">
                  <a:graphicData uri="http://schemas.microsoft.com/office/word/2010/wordprocessingGroup">
                    <wpg:wgp>
                      <wpg:cNvGrpSpPr/>
                      <wpg:grpSpPr>
                        <a:xfrm>
                          <a:off x="0" y="0"/>
                          <a:ext cx="6088380" cy="2929255"/>
                          <a:chOff x="0" y="0"/>
                          <a:chExt cx="6088380" cy="2929255"/>
                        </a:xfrm>
                      </wpg:grpSpPr>
                      <wpg:grpSp>
                        <wpg:cNvPr id="19" name="群組 19"/>
                        <wpg:cNvGrpSpPr/>
                        <wpg:grpSpPr>
                          <a:xfrm>
                            <a:off x="0" y="0"/>
                            <a:ext cx="6088380" cy="2929255"/>
                            <a:chOff x="0" y="0"/>
                            <a:chExt cx="6088380" cy="2929657"/>
                          </a:xfrm>
                        </wpg:grpSpPr>
                        <wpg:grpSp>
                          <wpg:cNvPr id="20" name="群組 20"/>
                          <wpg:cNvGrpSpPr/>
                          <wpg:grpSpPr>
                            <a:xfrm>
                              <a:off x="0" y="0"/>
                              <a:ext cx="6088380" cy="2673350"/>
                              <a:chOff x="0" y="0"/>
                              <a:chExt cx="6088784" cy="2673696"/>
                            </a:xfrm>
                          </wpg:grpSpPr>
                          <wps:wsp>
                            <wps:cNvPr id="21" name="文字方塊 2"/>
                            <wps:cNvSpPr txBox="1">
                              <a:spLocks noChangeArrowheads="1"/>
                            </wps:cNvSpPr>
                            <wps:spPr bwMode="auto">
                              <a:xfrm>
                                <a:off x="180109" y="568036"/>
                                <a:ext cx="5908675" cy="2105660"/>
                              </a:xfrm>
                              <a:prstGeom prst="rect">
                                <a:avLst/>
                              </a:prstGeom>
                              <a:solidFill>
                                <a:srgbClr val="FFFFFF"/>
                              </a:solidFill>
                              <a:ln w="9525">
                                <a:noFill/>
                                <a:miter lim="800000"/>
                                <a:headEnd/>
                                <a:tailEnd/>
                              </a:ln>
                            </wps:spPr>
                            <wps:txbx>
                              <w:txbxContent>
                                <w:p w14:paraId="0D922603" w14:textId="77777777" w:rsidR="00A0212B" w:rsidRDefault="00A0212B" w:rsidP="00412838">
                                  <w:r>
                                    <w:rPr>
                                      <w:noProof/>
                                    </w:rPr>
                                    <w:drawing>
                                      <wp:inline distT="0" distB="0" distL="0" distR="0" wp14:anchorId="4DE1C7BD" wp14:editId="5EE3CCFD">
                                        <wp:extent cx="5659120" cy="1960244"/>
                                        <wp:effectExtent l="0" t="0" r="0" b="21590"/>
                                        <wp:docPr id="36" name="資料庫圖表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txbxContent>
                            </wps:txbx>
                            <wps:bodyPr rot="0" vert="horz" wrap="square" lIns="91440" tIns="45720" rIns="91440" bIns="45720" anchor="t" anchorCtr="0">
                              <a:noAutofit/>
                            </wps:bodyPr>
                          </wps:wsp>
                          <wps:wsp>
                            <wps:cNvPr id="23" name="矩形 16"/>
                            <wps:cNvSpPr/>
                            <wps:spPr>
                              <a:xfrm>
                                <a:off x="0" y="1052945"/>
                                <a:ext cx="283210" cy="131941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648AA19" w14:textId="77777777" w:rsidR="00A0212B" w:rsidRPr="005F6921" w:rsidRDefault="00A0212B" w:rsidP="00412838">
                                  <w:pPr>
                                    <w:jc w:val="center"/>
                                    <w:rPr>
                                      <w:rFonts w:ascii="標楷體" w:eastAsia="標楷體" w:hAnsi="標楷體"/>
                                      <w:color w:val="000000" w:themeColor="text1"/>
                                      <w:sz w:val="18"/>
                                      <w:szCs w:val="18"/>
                                    </w:rPr>
                                  </w:pPr>
                                  <w:r w:rsidRPr="005F6921">
                                    <w:rPr>
                                      <w:rFonts w:ascii="標楷體" w:eastAsia="標楷體" w:hAnsi="標楷體" w:hint="eastAsia"/>
                                      <w:color w:val="000000" w:themeColor="text1"/>
                                      <w:sz w:val="18"/>
                                      <w:szCs w:val="18"/>
                                    </w:rPr>
                                    <w:t>決策議題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25"/>
                            <wps:cNvSpPr/>
                            <wps:spPr>
                              <a:xfrm>
                                <a:off x="0" y="568035"/>
                                <a:ext cx="283614" cy="54478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FCEBDE" w14:textId="77777777" w:rsidR="00A0212B" w:rsidRPr="005F6921" w:rsidRDefault="00A0212B" w:rsidP="00412838">
                                  <w:pPr>
                                    <w:jc w:val="center"/>
                                    <w:rPr>
                                      <w:rFonts w:ascii="標楷體" w:eastAsia="標楷體" w:hAnsi="標楷體"/>
                                      <w:color w:val="000000" w:themeColor="text1"/>
                                      <w:sz w:val="18"/>
                                      <w:szCs w:val="18"/>
                                    </w:rPr>
                                  </w:pPr>
                                  <w:r w:rsidRPr="005F6921">
                                    <w:rPr>
                                      <w:rFonts w:ascii="標楷體" w:eastAsia="標楷體" w:hAnsi="標楷體" w:hint="eastAsia"/>
                                      <w:color w:val="000000" w:themeColor="text1"/>
                                      <w:sz w:val="18"/>
                                      <w:szCs w:val="18"/>
                                    </w:rPr>
                                    <w:t>處室</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6" name="群組 26"/>
                            <wpg:cNvGrpSpPr/>
                            <wpg:grpSpPr>
                              <a:xfrm>
                                <a:off x="256309" y="277091"/>
                                <a:ext cx="5700395" cy="290195"/>
                                <a:chOff x="0" y="0"/>
                                <a:chExt cx="5700395" cy="290195"/>
                              </a:xfrm>
                            </wpg:grpSpPr>
                            <wps:wsp>
                              <wps:cNvPr id="27" name="圓角矩形 27"/>
                              <wps:cNvSpPr/>
                              <wps:spPr>
                                <a:xfrm>
                                  <a:off x="0" y="20781"/>
                                  <a:ext cx="5700395" cy="241705"/>
                                </a:xfrm>
                                <a:prstGeom prst="roundRect">
                                  <a:avLst/>
                                </a:prstGeom>
                                <a:solidFill>
                                  <a:schemeClr val="tx1"/>
                                </a:solidFill>
                                <a:ln>
                                  <a:noFill/>
                                </a:ln>
                              </wps:spPr>
                              <wps:style>
                                <a:lnRef idx="2">
                                  <a:schemeClr val="accent5">
                                    <a:shade val="50000"/>
                                  </a:schemeClr>
                                </a:lnRef>
                                <a:fillRef idx="1">
                                  <a:schemeClr val="accent5"/>
                                </a:fillRef>
                                <a:effectRef idx="0">
                                  <a:schemeClr val="accent5"/>
                                </a:effectRef>
                                <a:fontRef idx="minor">
                                  <a:schemeClr val="lt1"/>
                                </a:fontRef>
                              </wps:style>
                              <wps:txbx>
                                <w:txbxContent>
                                  <w:p w14:paraId="429F1628" w14:textId="77777777" w:rsidR="00A0212B" w:rsidRPr="00CD7869" w:rsidRDefault="00A0212B" w:rsidP="00412838">
                                    <w:pPr>
                                      <w:spacing w:line="240" w:lineRule="exact"/>
                                      <w:jc w:val="cente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 name="文字方塊 28"/>
                              <wps:cNvSpPr txBox="1"/>
                              <wps:spPr>
                                <a:xfrm>
                                  <a:off x="2258291" y="0"/>
                                  <a:ext cx="1184275" cy="290195"/>
                                </a:xfrm>
                                <a:prstGeom prst="rect">
                                  <a:avLst/>
                                </a:prstGeom>
                                <a:noFill/>
                                <a:ln w="6350">
                                  <a:noFill/>
                                </a:ln>
                              </wps:spPr>
                              <wps:txbx>
                                <w:txbxContent>
                                  <w:p w14:paraId="6707A4C1" w14:textId="77777777" w:rsidR="00A0212B" w:rsidRPr="00CD7869" w:rsidRDefault="00A0212B" w:rsidP="00412838">
                                    <w:pPr>
                                      <w:spacing w:line="240" w:lineRule="exact"/>
                                      <w:jc w:val="center"/>
                                      <w:rPr>
                                        <w:b/>
                                        <w:color w:val="FFFFFF" w:themeColor="background1"/>
                                        <w:sz w:val="22"/>
                                      </w:rPr>
                                    </w:pPr>
                                    <w:r w:rsidRPr="00CD7869">
                                      <w:rPr>
                                        <w:rFonts w:ascii="標楷體" w:eastAsia="標楷體" w:hAnsi="標楷體" w:hint="eastAsia"/>
                                        <w:b/>
                                        <w:color w:val="FFFFFF" w:themeColor="background1"/>
                                        <w:sz w:val="22"/>
                                      </w:rPr>
                                      <w:t>智慧治理平臺</w:t>
                                    </w:r>
                                  </w:p>
                                  <w:p w14:paraId="2B48693D" w14:textId="77777777" w:rsidR="00A0212B" w:rsidRPr="00CD7869" w:rsidRDefault="00A0212B" w:rsidP="00412838">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9" name="文字方塊 29"/>
                            <wps:cNvSpPr txBox="1"/>
                            <wps:spPr>
                              <a:xfrm>
                                <a:off x="263253" y="0"/>
                                <a:ext cx="5693451" cy="290195"/>
                              </a:xfrm>
                              <a:prstGeom prst="rect">
                                <a:avLst/>
                              </a:prstGeom>
                              <a:noFill/>
                              <a:ln w="6350">
                                <a:noFill/>
                              </a:ln>
                            </wps:spPr>
                            <wps:txbx>
                              <w:txbxContent>
                                <w:p w14:paraId="7D34B325" w14:textId="020159FD" w:rsidR="00A0212B" w:rsidRPr="00CD7869" w:rsidRDefault="00A0212B" w:rsidP="00412838">
                                  <w:pPr>
                                    <w:spacing w:line="240" w:lineRule="exact"/>
                                    <w:jc w:val="center"/>
                                    <w:rPr>
                                      <w:b/>
                                    </w:rPr>
                                  </w:pPr>
                                  <w:r>
                                    <w:rPr>
                                      <w:rFonts w:ascii="標楷體" w:eastAsia="標楷體" w:hAnsi="標楷體" w:hint="eastAsia"/>
                                      <w:b/>
                                    </w:rPr>
                                    <w:t>圖1</w:t>
                                  </w:r>
                                  <w:r>
                                    <w:rPr>
                                      <w:rFonts w:ascii="標楷體" w:eastAsia="標楷體" w:hAnsi="標楷體"/>
                                      <w:b/>
                                    </w:rPr>
                                    <w:t>6</w:t>
                                  </w:r>
                                  <w:r>
                                    <w:rPr>
                                      <w:rFonts w:ascii="標楷體" w:eastAsia="標楷體" w:hAnsi="標楷體" w:hint="eastAsia"/>
                                      <w:b/>
                                    </w:rPr>
                                    <w:t xml:space="preserve">　原住民族</w:t>
                                  </w:r>
                                  <w:r>
                                    <w:rPr>
                                      <w:rFonts w:ascii="標楷體" w:eastAsia="標楷體" w:hAnsi="標楷體"/>
                                      <w:b/>
                                    </w:rPr>
                                    <w:t>委員</w:t>
                                  </w:r>
                                  <w:r>
                                    <w:rPr>
                                      <w:rFonts w:ascii="標楷體" w:eastAsia="標楷體" w:hAnsi="標楷體" w:hint="eastAsia"/>
                                      <w:b/>
                                    </w:rPr>
                                    <w:t>會</w:t>
                                  </w:r>
                                  <w:r w:rsidRPr="00CD7869">
                                    <w:rPr>
                                      <w:rFonts w:ascii="標楷體" w:eastAsia="標楷體" w:hAnsi="標楷體" w:hint="eastAsia"/>
                                      <w:b/>
                                    </w:rPr>
                                    <w:t>智慧治理平臺行政決策支援模組</w:t>
                                  </w:r>
                                  <w:r>
                                    <w:rPr>
                                      <w:rFonts w:ascii="標楷體" w:eastAsia="標楷體" w:hAnsi="標楷體" w:hint="eastAsia"/>
                                      <w:b/>
                                    </w:rPr>
                                    <w:t>建置情形</w:t>
                                  </w:r>
                                </w:p>
                                <w:p w14:paraId="69C986BA" w14:textId="77777777" w:rsidR="00A0212B" w:rsidRPr="00442C36" w:rsidRDefault="00A0212B" w:rsidP="0041283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0" name="文字方塊 30"/>
                          <wps:cNvSpPr txBox="1"/>
                          <wps:spPr>
                            <a:xfrm>
                              <a:off x="90055" y="2673348"/>
                              <a:ext cx="3373582" cy="256309"/>
                            </a:xfrm>
                            <a:prstGeom prst="rect">
                              <a:avLst/>
                            </a:prstGeom>
                            <a:noFill/>
                            <a:ln w="6350">
                              <a:noFill/>
                            </a:ln>
                          </wps:spPr>
                          <wps:txbx>
                            <w:txbxContent>
                              <w:p w14:paraId="5ABBBCCF" w14:textId="77777777" w:rsidR="00A0212B" w:rsidRPr="00CD7869" w:rsidRDefault="00A0212B" w:rsidP="00412838">
                                <w:pPr>
                                  <w:spacing w:line="240" w:lineRule="exact"/>
                                  <w:ind w:leftChars="-59" w:left="-142"/>
                                  <w:rPr>
                                    <w:sz w:val="18"/>
                                    <w:szCs w:val="18"/>
                                  </w:rPr>
                                </w:pPr>
                                <w:r>
                                  <w:rPr>
                                    <w:rFonts w:ascii="標楷體" w:eastAsia="標楷體" w:hAnsi="標楷體" w:hint="eastAsia"/>
                                    <w:sz w:val="18"/>
                                    <w:szCs w:val="18"/>
                                  </w:rPr>
                                  <w:t>資料來源：整理自</w:t>
                                </w:r>
                                <w:r w:rsidRPr="00896ED3">
                                  <w:rPr>
                                    <w:rFonts w:ascii="標楷體" w:eastAsia="標楷體" w:hAnsi="標楷體" w:hint="eastAsia"/>
                                    <w:sz w:val="18"/>
                                    <w:szCs w:val="18"/>
                                  </w:rPr>
                                  <w:t>原住民族委員會</w:t>
                                </w:r>
                                <w:r>
                                  <w:rPr>
                                    <w:rFonts w:ascii="標楷體" w:eastAsia="標楷體" w:hAnsi="標楷體"/>
                                    <w:sz w:val="18"/>
                                    <w:szCs w:val="18"/>
                                  </w:rPr>
                                  <w:t>提供資料。</w:t>
                                </w:r>
                              </w:p>
                              <w:p w14:paraId="6F4730BB" w14:textId="77777777" w:rsidR="00A0212B" w:rsidRPr="00442C36" w:rsidRDefault="00A0212B" w:rsidP="0041283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1" name="群組 31"/>
                        <wpg:cNvGrpSpPr/>
                        <wpg:grpSpPr>
                          <a:xfrm>
                            <a:off x="4953000" y="2042160"/>
                            <a:ext cx="997353" cy="558164"/>
                            <a:chOff x="0" y="-6927"/>
                            <a:chExt cx="997353" cy="558164"/>
                          </a:xfrm>
                        </wpg:grpSpPr>
                        <wps:wsp>
                          <wps:cNvPr id="32" name="圓角矩形 32"/>
                          <wps:cNvSpPr/>
                          <wps:spPr>
                            <a:xfrm>
                              <a:off x="0" y="79663"/>
                              <a:ext cx="304800" cy="131618"/>
                            </a:xfrm>
                            <a:prstGeom prst="roundRect">
                              <a:avLst/>
                            </a:prstGeom>
                            <a:no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文字方塊 2"/>
                          <wps:cNvSpPr txBox="1">
                            <a:spLocks noChangeArrowheads="1"/>
                          </wps:cNvSpPr>
                          <wps:spPr bwMode="auto">
                            <a:xfrm>
                              <a:off x="256309" y="-6927"/>
                              <a:ext cx="741044" cy="329564"/>
                            </a:xfrm>
                            <a:prstGeom prst="rect">
                              <a:avLst/>
                            </a:prstGeom>
                            <a:noFill/>
                            <a:ln w="9525">
                              <a:noFill/>
                              <a:miter lim="800000"/>
                              <a:headEnd/>
                              <a:tailEnd/>
                            </a:ln>
                          </wps:spPr>
                          <wps:txbx>
                            <w:txbxContent>
                              <w:p w14:paraId="4AD92991" w14:textId="77777777" w:rsidR="00A0212B" w:rsidRPr="008301E0" w:rsidRDefault="00A0212B" w:rsidP="00412838">
                                <w:pPr>
                                  <w:rPr>
                                    <w:rFonts w:ascii="標楷體" w:eastAsia="標楷體" w:hAnsi="標楷體"/>
                                    <w:spacing w:val="-10"/>
                                    <w:sz w:val="16"/>
                                    <w:szCs w:val="16"/>
                                  </w:rPr>
                                </w:pPr>
                                <w:r w:rsidRPr="008301E0">
                                  <w:rPr>
                                    <w:rFonts w:ascii="標楷體" w:eastAsia="標楷體" w:hAnsi="標楷體"/>
                                    <w:spacing w:val="-10"/>
                                    <w:sz w:val="16"/>
                                    <w:szCs w:val="16"/>
                                  </w:rPr>
                                  <w:t>111年底上</w:t>
                                </w:r>
                                <w:r w:rsidRPr="008301E0">
                                  <w:rPr>
                                    <w:rFonts w:ascii="標楷體" w:eastAsia="標楷體" w:hAnsi="標楷體" w:hint="eastAsia"/>
                                    <w:spacing w:val="-10"/>
                                    <w:sz w:val="16"/>
                                    <w:szCs w:val="16"/>
                                  </w:rPr>
                                  <w:t>線</w:t>
                                </w:r>
                              </w:p>
                            </w:txbxContent>
                          </wps:txbx>
                          <wps:bodyPr rot="0" vert="horz" wrap="square" lIns="91440" tIns="45720" rIns="91440" bIns="45720" anchor="t" anchorCtr="0">
                            <a:spAutoFit/>
                          </wps:bodyPr>
                        </wps:wsp>
                        <wps:wsp>
                          <wps:cNvPr id="34" name="圓角矩形 34"/>
                          <wps:cNvSpPr/>
                          <wps:spPr>
                            <a:xfrm>
                              <a:off x="0" y="308263"/>
                              <a:ext cx="304800" cy="131445"/>
                            </a:xfrm>
                            <a:prstGeom prst="roundRect">
                              <a:avLst/>
                            </a:prstGeom>
                            <a:noFill/>
                            <a:ln>
                              <a:solidFill>
                                <a:schemeClr val="tx1">
                                  <a:lumMod val="50000"/>
                                  <a:lumOff val="50000"/>
                                </a:schemeClr>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文字方塊 2"/>
                          <wps:cNvSpPr txBox="1">
                            <a:spLocks noChangeArrowheads="1"/>
                          </wps:cNvSpPr>
                          <wps:spPr bwMode="auto">
                            <a:xfrm>
                              <a:off x="263236" y="221673"/>
                              <a:ext cx="727074" cy="329564"/>
                            </a:xfrm>
                            <a:prstGeom prst="rect">
                              <a:avLst/>
                            </a:prstGeom>
                            <a:noFill/>
                            <a:ln w="9525">
                              <a:noFill/>
                              <a:miter lim="800000"/>
                              <a:headEnd/>
                              <a:tailEnd/>
                            </a:ln>
                          </wps:spPr>
                          <wps:txbx>
                            <w:txbxContent>
                              <w:p w14:paraId="464C3BB0" w14:textId="77777777" w:rsidR="00A0212B" w:rsidRPr="008301E0" w:rsidRDefault="00A0212B" w:rsidP="00412838">
                                <w:pPr>
                                  <w:rPr>
                                    <w:rFonts w:ascii="標楷體" w:eastAsia="標楷體" w:hAnsi="標楷體"/>
                                    <w:spacing w:val="-10"/>
                                    <w:sz w:val="16"/>
                                    <w:szCs w:val="16"/>
                                  </w:rPr>
                                </w:pPr>
                                <w:r w:rsidRPr="008301E0">
                                  <w:rPr>
                                    <w:rFonts w:ascii="標楷體" w:eastAsia="標楷體" w:hAnsi="標楷體"/>
                                    <w:spacing w:val="-10"/>
                                    <w:sz w:val="16"/>
                                    <w:szCs w:val="16"/>
                                  </w:rPr>
                                  <w:t>112年底上</w:t>
                                </w:r>
                                <w:r w:rsidRPr="008301E0">
                                  <w:rPr>
                                    <w:rFonts w:ascii="標楷體" w:eastAsia="標楷體" w:hAnsi="標楷體" w:hint="eastAsia"/>
                                    <w:spacing w:val="-10"/>
                                    <w:sz w:val="16"/>
                                    <w:szCs w:val="16"/>
                                  </w:rPr>
                                  <w:t>線</w:t>
                                </w:r>
                              </w:p>
                            </w:txbxContent>
                          </wps:txbx>
                          <wps:bodyPr rot="0" vert="horz" wrap="square" lIns="91440" tIns="45720" rIns="91440" bIns="45720" anchor="t" anchorCtr="0">
                            <a:spAutoFit/>
                          </wps:bodyPr>
                        </wps:wsp>
                      </wpg:grpSp>
                    </wpg:wgp>
                  </a:graphicData>
                </a:graphic>
              </wp:anchor>
            </w:drawing>
          </mc:Choice>
          <mc:Fallback>
            <w:pict>
              <v:group w14:anchorId="6982A745" id="群組 18" o:spid="_x0000_s1101" style="position:absolute;left:0;text-align:left;margin-left:-.25pt;margin-top:402.45pt;width:479.4pt;height:230.65pt;z-index:251676672;mso-position-horizontal-relative:margin" coordsize="60883,292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">
                <v:group id="群組 19" o:spid="_x0000_s1102" style="position:absolute;width:60883;height:29292" coordsize="60883,29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群組 20" o:spid="_x0000_s1103" style="position:absolute;width:60883;height:26733" coordsize="60887,26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_x0000_s1104" type="#_x0000_t202" style="position:absolute;left:1801;top:5680;width:59086;height:210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14:paraId="0D922603" w14:textId="77777777" w:rsidR="00A0212B" w:rsidRDefault="00A0212B" w:rsidP="00412838">
                            <w:r>
                              <w:rPr>
                                <w:noProof/>
                              </w:rPr>
                              <w:drawing>
                                <wp:inline distT="0" distB="0" distL="0" distR="0" wp14:anchorId="4DE1C7BD" wp14:editId="5EE3CCFD">
                                  <wp:extent cx="5659120" cy="1960244"/>
                                  <wp:effectExtent l="0" t="0" r="0" b="21590"/>
                                  <wp:docPr id="36" name="資料庫圖表 3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25" r:qs="rId26" r:cs="rId27"/>
                                    </a:graphicData>
                                  </a:graphic>
                                </wp:inline>
                              </w:drawing>
                            </w:r>
                          </w:p>
                        </w:txbxContent>
                      </v:textbox>
                    </v:shape>
                    <v:rect id="矩形 16" o:spid="_x0000_s1105" style="position:absolute;top:10529;width:2832;height:131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" filled="f" stroked="f" strokeweight="2pt">
                      <v:textbox>
                        <w:txbxContent>
                          <w:p w14:paraId="6648AA19" w14:textId="77777777" w:rsidR="00A0212B" w:rsidRPr="005F6921" w:rsidRDefault="00A0212B" w:rsidP="00412838">
                            <w:pPr>
                              <w:jc w:val="center"/>
                              <w:rPr>
                                <w:rFonts w:ascii="標楷體" w:eastAsia="標楷體" w:hAnsi="標楷體"/>
                                <w:color w:val="000000" w:themeColor="text1"/>
                                <w:sz w:val="18"/>
                                <w:szCs w:val="18"/>
                              </w:rPr>
                            </w:pPr>
                            <w:r w:rsidRPr="005F6921">
                              <w:rPr>
                                <w:rFonts w:ascii="標楷體" w:eastAsia="標楷體" w:hAnsi="標楷體" w:hint="eastAsia"/>
                                <w:color w:val="000000" w:themeColor="text1"/>
                                <w:sz w:val="18"/>
                                <w:szCs w:val="18"/>
                              </w:rPr>
                              <w:t>決策議題</w:t>
                            </w:r>
                          </w:p>
                        </w:txbxContent>
                      </v:textbox>
                    </v:rect>
                    <v:rect id="矩形 25" o:spid="_x0000_s1106" style="position:absolute;top:5680;width:2836;height:54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" filled="f" stroked="f" strokeweight="2pt">
                      <v:textbox>
                        <w:txbxContent>
                          <w:p w14:paraId="35FCEBDE" w14:textId="77777777" w:rsidR="00A0212B" w:rsidRPr="005F6921" w:rsidRDefault="00A0212B" w:rsidP="00412838">
                            <w:pPr>
                              <w:jc w:val="center"/>
                              <w:rPr>
                                <w:rFonts w:ascii="標楷體" w:eastAsia="標楷體" w:hAnsi="標楷體"/>
                                <w:color w:val="000000" w:themeColor="text1"/>
                                <w:sz w:val="18"/>
                                <w:szCs w:val="18"/>
                              </w:rPr>
                            </w:pPr>
                            <w:r w:rsidRPr="005F6921">
                              <w:rPr>
                                <w:rFonts w:ascii="標楷體" w:eastAsia="標楷體" w:hAnsi="標楷體" w:hint="eastAsia"/>
                                <w:color w:val="000000" w:themeColor="text1"/>
                                <w:sz w:val="18"/>
                                <w:szCs w:val="18"/>
                              </w:rPr>
                              <w:t>處室</w:t>
                            </w:r>
                          </w:p>
                        </w:txbxContent>
                      </v:textbox>
                    </v:rect>
                    <v:group id="群組 26" o:spid="_x0000_s1107" style="position:absolute;left:2563;top:2770;width:57004;height:2902" coordsize="57003,29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oundrect id="圓角矩形 27" o:spid="_x0000_s1108" style="position:absolute;top:207;width:57003;height:241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" fillcolor="black [3213]" stroked="f" strokeweight="2pt">
                        <v:textbox>
                          <w:txbxContent>
                            <w:p w14:paraId="429F1628" w14:textId="77777777" w:rsidR="00A0212B" w:rsidRPr="00CD7869" w:rsidRDefault="00A0212B" w:rsidP="00412838">
                              <w:pPr>
                                <w:spacing w:line="240" w:lineRule="exact"/>
                                <w:jc w:val="center"/>
                                <w:rPr>
                                  <w:sz w:val="20"/>
                                </w:rPr>
                              </w:pPr>
                            </w:p>
                          </w:txbxContent>
                        </v:textbox>
                      </v:roundrect>
                      <v:shape id="文字方塊 28" o:spid="_x0000_s1109" type="#_x0000_t202" style="position:absolute;left:22582;width:11843;height:2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6707A4C1" w14:textId="77777777" w:rsidR="00A0212B" w:rsidRPr="00CD7869" w:rsidRDefault="00A0212B" w:rsidP="00412838">
                              <w:pPr>
                                <w:spacing w:line="240" w:lineRule="exact"/>
                                <w:jc w:val="center"/>
                                <w:rPr>
                                  <w:b/>
                                  <w:color w:val="FFFFFF" w:themeColor="background1"/>
                                  <w:sz w:val="22"/>
                                </w:rPr>
                              </w:pPr>
                              <w:r w:rsidRPr="00CD7869">
                                <w:rPr>
                                  <w:rFonts w:ascii="標楷體" w:eastAsia="標楷體" w:hAnsi="標楷體" w:hint="eastAsia"/>
                                  <w:b/>
                                  <w:color w:val="FFFFFF" w:themeColor="background1"/>
                                  <w:sz w:val="22"/>
                                </w:rPr>
                                <w:t>智慧治理平臺</w:t>
                              </w:r>
                            </w:p>
                            <w:p w14:paraId="2B48693D" w14:textId="77777777" w:rsidR="00A0212B" w:rsidRPr="00CD7869" w:rsidRDefault="00A0212B" w:rsidP="00412838">
                              <w:pPr>
                                <w:rPr>
                                  <w:color w:val="FFFFFF" w:themeColor="background1"/>
                                </w:rPr>
                              </w:pPr>
                            </w:p>
                          </w:txbxContent>
                        </v:textbox>
                      </v:shape>
                    </v:group>
                    <v:shape id="文字方塊 29" o:spid="_x0000_s1110" type="#_x0000_t202" style="position:absolute;left:2632;width:56935;height:2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7D34B325" w14:textId="020159FD" w:rsidR="00A0212B" w:rsidRPr="00CD7869" w:rsidRDefault="00A0212B" w:rsidP="00412838">
                            <w:pPr>
                              <w:spacing w:line="240" w:lineRule="exact"/>
                              <w:jc w:val="center"/>
                              <w:rPr>
                                <w:b/>
                              </w:rPr>
                            </w:pPr>
                            <w:r>
                              <w:rPr>
                                <w:rFonts w:ascii="標楷體" w:eastAsia="標楷體" w:hAnsi="標楷體" w:hint="eastAsia"/>
                                <w:b/>
                              </w:rPr>
                              <w:t>圖1</w:t>
                            </w:r>
                            <w:r>
                              <w:rPr>
                                <w:rFonts w:ascii="標楷體" w:eastAsia="標楷體" w:hAnsi="標楷體"/>
                                <w:b/>
                              </w:rPr>
                              <w:t>6</w:t>
                            </w:r>
                            <w:r>
                              <w:rPr>
                                <w:rFonts w:ascii="標楷體" w:eastAsia="標楷體" w:hAnsi="標楷體" w:hint="eastAsia"/>
                                <w:b/>
                              </w:rPr>
                              <w:t xml:space="preserve">　原住民族</w:t>
                            </w:r>
                            <w:r>
                              <w:rPr>
                                <w:rFonts w:ascii="標楷體" w:eastAsia="標楷體" w:hAnsi="標楷體"/>
                                <w:b/>
                              </w:rPr>
                              <w:t>委員</w:t>
                            </w:r>
                            <w:r>
                              <w:rPr>
                                <w:rFonts w:ascii="標楷體" w:eastAsia="標楷體" w:hAnsi="標楷體" w:hint="eastAsia"/>
                                <w:b/>
                              </w:rPr>
                              <w:t>會</w:t>
                            </w:r>
                            <w:r w:rsidRPr="00CD7869">
                              <w:rPr>
                                <w:rFonts w:ascii="標楷體" w:eastAsia="標楷體" w:hAnsi="標楷體" w:hint="eastAsia"/>
                                <w:b/>
                              </w:rPr>
                              <w:t>智慧治理平臺行政決策支援模組</w:t>
                            </w:r>
                            <w:r>
                              <w:rPr>
                                <w:rFonts w:ascii="標楷體" w:eastAsia="標楷體" w:hAnsi="標楷體" w:hint="eastAsia"/>
                                <w:b/>
                              </w:rPr>
                              <w:t>建置情形</w:t>
                            </w:r>
                          </w:p>
                          <w:p w14:paraId="69C986BA" w14:textId="77777777" w:rsidR="00A0212B" w:rsidRPr="00442C36" w:rsidRDefault="00A0212B" w:rsidP="00412838"/>
                        </w:txbxContent>
                      </v:textbox>
                    </v:shape>
                  </v:group>
                  <v:shape id="文字方塊 30" o:spid="_x0000_s1111" type="#_x0000_t202" style="position:absolute;left:900;top:26733;width:33736;height:2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5ABBBCCF" w14:textId="77777777" w:rsidR="00A0212B" w:rsidRPr="00CD7869" w:rsidRDefault="00A0212B" w:rsidP="00412838">
                          <w:pPr>
                            <w:spacing w:line="240" w:lineRule="exact"/>
                            <w:ind w:leftChars="-59" w:left="-142"/>
                            <w:rPr>
                              <w:sz w:val="18"/>
                              <w:szCs w:val="18"/>
                            </w:rPr>
                          </w:pPr>
                          <w:r>
                            <w:rPr>
                              <w:rFonts w:ascii="標楷體" w:eastAsia="標楷體" w:hAnsi="標楷體" w:hint="eastAsia"/>
                              <w:sz w:val="18"/>
                              <w:szCs w:val="18"/>
                            </w:rPr>
                            <w:t>資料來源：整理自</w:t>
                          </w:r>
                          <w:r w:rsidRPr="00896ED3">
                            <w:rPr>
                              <w:rFonts w:ascii="標楷體" w:eastAsia="標楷體" w:hAnsi="標楷體" w:hint="eastAsia"/>
                              <w:sz w:val="18"/>
                              <w:szCs w:val="18"/>
                            </w:rPr>
                            <w:t>原住民族委員會</w:t>
                          </w:r>
                          <w:r>
                            <w:rPr>
                              <w:rFonts w:ascii="標楷體" w:eastAsia="標楷體" w:hAnsi="標楷體"/>
                              <w:sz w:val="18"/>
                              <w:szCs w:val="18"/>
                            </w:rPr>
                            <w:t>提供資料。</w:t>
                          </w:r>
                        </w:p>
                        <w:p w14:paraId="6F4730BB" w14:textId="77777777" w:rsidR="00A0212B" w:rsidRPr="00442C36" w:rsidRDefault="00A0212B" w:rsidP="00412838"/>
                      </w:txbxContent>
                    </v:textbox>
                  </v:shape>
                </v:group>
                <v:group id="群組 31" o:spid="_x0000_s1112" style="position:absolute;left:49530;top:20421;width:9973;height:5582" coordorigin=",-69" coordsize="9973,5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oundrect id="圓角矩形 32" o:spid="_x0000_s1113" style="position:absolute;top:796;width:3048;height:131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" filled="f" strokecolor="black [3213]" strokeweight="2pt">
                    <v:stroke dashstyle="1 1"/>
                  </v:roundrect>
                  <v:shape id="_x0000_s1114" type="#_x0000_t202" style="position:absolute;left:2563;top:-69;width:7410;height:3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" filled="f" stroked="f">
                    <v:textbox style="mso-fit-shape-to-text:t">
                      <w:txbxContent>
                        <w:p w14:paraId="4AD92991" w14:textId="77777777" w:rsidR="00A0212B" w:rsidRPr="008301E0" w:rsidRDefault="00A0212B" w:rsidP="00412838">
                          <w:pPr>
                            <w:rPr>
                              <w:rFonts w:ascii="標楷體" w:eastAsia="標楷體" w:hAnsi="標楷體"/>
                              <w:spacing w:val="-10"/>
                              <w:sz w:val="16"/>
                              <w:szCs w:val="16"/>
                            </w:rPr>
                          </w:pPr>
                          <w:r w:rsidRPr="008301E0">
                            <w:rPr>
                              <w:rFonts w:ascii="標楷體" w:eastAsia="標楷體" w:hAnsi="標楷體"/>
                              <w:spacing w:val="-10"/>
                              <w:sz w:val="16"/>
                              <w:szCs w:val="16"/>
                            </w:rPr>
                            <w:t>111年底上</w:t>
                          </w:r>
                          <w:r w:rsidRPr="008301E0">
                            <w:rPr>
                              <w:rFonts w:ascii="標楷體" w:eastAsia="標楷體" w:hAnsi="標楷體" w:hint="eastAsia"/>
                              <w:spacing w:val="-10"/>
                              <w:sz w:val="16"/>
                              <w:szCs w:val="16"/>
                            </w:rPr>
                            <w:t>線</w:t>
                          </w:r>
                        </w:p>
                      </w:txbxContent>
                    </v:textbox>
                  </v:shape>
                  <v:roundrect id="圓角矩形 34" o:spid="_x0000_s1115" style="position:absolute;top:3082;width:3048;height:13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" filled="f" strokecolor="gray [1629]" strokeweight="2pt"/>
                  <v:shape id="_x0000_s1116" type="#_x0000_t202" style="position:absolute;left:2632;top:2216;width:7271;height:3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" filled="f" stroked="f">
                    <v:textbox style="mso-fit-shape-to-text:t">
                      <w:txbxContent>
                        <w:p w14:paraId="464C3BB0" w14:textId="77777777" w:rsidR="00A0212B" w:rsidRPr="008301E0" w:rsidRDefault="00A0212B" w:rsidP="00412838">
                          <w:pPr>
                            <w:rPr>
                              <w:rFonts w:ascii="標楷體" w:eastAsia="標楷體" w:hAnsi="標楷體"/>
                              <w:spacing w:val="-10"/>
                              <w:sz w:val="16"/>
                              <w:szCs w:val="16"/>
                            </w:rPr>
                          </w:pPr>
                          <w:r w:rsidRPr="008301E0">
                            <w:rPr>
                              <w:rFonts w:ascii="標楷體" w:eastAsia="標楷體" w:hAnsi="標楷體"/>
                              <w:spacing w:val="-10"/>
                              <w:sz w:val="16"/>
                              <w:szCs w:val="16"/>
                            </w:rPr>
                            <w:t>112年底上</w:t>
                          </w:r>
                          <w:r w:rsidRPr="008301E0">
                            <w:rPr>
                              <w:rFonts w:ascii="標楷體" w:eastAsia="標楷體" w:hAnsi="標楷體" w:hint="eastAsia"/>
                              <w:spacing w:val="-10"/>
                              <w:sz w:val="16"/>
                              <w:szCs w:val="16"/>
                            </w:rPr>
                            <w:t>線</w:t>
                          </w:r>
                        </w:p>
                      </w:txbxContent>
                    </v:textbox>
                  </v:shape>
                </v:group>
                <w10:wrap type="topAndBottom" anchorx="margin"/>
              </v:group>
            </w:pict>
          </mc:Fallback>
        </mc:AlternateContent>
      </w:r>
      <w:r>
        <w:rPr>
          <w:rFonts w:ascii="標楷體" w:eastAsia="標楷體" w:hAnsi="標楷體" w:hint="eastAsia"/>
          <w:spacing w:val="-4"/>
          <w:szCs w:val="24"/>
        </w:rPr>
        <w:t>原住民族委員會</w:t>
      </w:r>
      <w:r w:rsidRPr="007C40C3">
        <w:rPr>
          <w:rFonts w:ascii="標楷體" w:eastAsia="標楷體" w:hAnsi="標楷體" w:hint="eastAsia"/>
          <w:spacing w:val="-4"/>
          <w:szCs w:val="24"/>
        </w:rPr>
        <w:t>為整合原住民族數據資源，建構原住民族行政決策知識體系及資料倉儲應用，作為</w:t>
      </w:r>
      <w:r w:rsidRPr="007C40C3">
        <w:rPr>
          <w:rFonts w:ascii="標楷體" w:eastAsia="標楷體" w:hAnsi="標楷體"/>
          <w:spacing w:val="-4"/>
          <w:szCs w:val="24"/>
        </w:rPr>
        <w:t>原住民族政策擬定、中長程個案計畫編撰修正</w:t>
      </w:r>
      <w:r w:rsidRPr="007C40C3">
        <w:rPr>
          <w:rFonts w:ascii="標楷體" w:eastAsia="標楷體" w:hAnsi="標楷體" w:hint="eastAsia"/>
          <w:spacing w:val="-4"/>
          <w:szCs w:val="24"/>
        </w:rPr>
        <w:t>，暨相關</w:t>
      </w:r>
      <w:r w:rsidRPr="007C40C3">
        <w:rPr>
          <w:rFonts w:ascii="標楷體" w:eastAsia="標楷體" w:hAnsi="標楷體"/>
          <w:spacing w:val="-4"/>
          <w:szCs w:val="24"/>
        </w:rPr>
        <w:t>預算編列</w:t>
      </w:r>
      <w:r w:rsidRPr="007C40C3">
        <w:rPr>
          <w:rFonts w:ascii="標楷體" w:eastAsia="標楷體" w:hAnsi="標楷體" w:hint="eastAsia"/>
          <w:spacing w:val="-4"/>
          <w:szCs w:val="24"/>
        </w:rPr>
        <w:t>之參</w:t>
      </w:r>
      <w:r w:rsidRPr="007C40C3">
        <w:rPr>
          <w:rFonts w:ascii="標楷體" w:eastAsia="標楷體" w:hAnsi="標楷體"/>
          <w:spacing w:val="-4"/>
          <w:szCs w:val="24"/>
        </w:rPr>
        <w:t>據</w:t>
      </w:r>
      <w:r w:rsidRPr="007C40C3">
        <w:rPr>
          <w:rFonts w:ascii="標楷體" w:eastAsia="標楷體" w:hAnsi="標楷體" w:hint="eastAsia"/>
          <w:spacing w:val="-4"/>
          <w:szCs w:val="24"/>
        </w:rPr>
        <w:t>，報經行政院於109年1</w:t>
      </w:r>
      <w:r w:rsidRPr="007C40C3">
        <w:rPr>
          <w:rFonts w:ascii="標楷體" w:eastAsia="標楷體" w:hAnsi="標楷體"/>
          <w:spacing w:val="-4"/>
          <w:szCs w:val="24"/>
        </w:rPr>
        <w:t>0</w:t>
      </w:r>
      <w:r w:rsidRPr="007C40C3">
        <w:rPr>
          <w:rFonts w:ascii="標楷體" w:eastAsia="標楷體" w:hAnsi="標楷體" w:hint="eastAsia"/>
          <w:spacing w:val="-4"/>
          <w:szCs w:val="24"/>
        </w:rPr>
        <w:t>月1</w:t>
      </w:r>
      <w:r w:rsidRPr="007C40C3">
        <w:rPr>
          <w:rFonts w:ascii="標楷體" w:eastAsia="標楷體" w:hAnsi="標楷體"/>
          <w:spacing w:val="-4"/>
          <w:szCs w:val="24"/>
        </w:rPr>
        <w:t>2</w:t>
      </w:r>
      <w:r w:rsidRPr="007C40C3">
        <w:rPr>
          <w:rFonts w:ascii="標楷體" w:eastAsia="標楷體" w:hAnsi="標楷體" w:hint="eastAsia"/>
          <w:spacing w:val="-4"/>
          <w:szCs w:val="24"/>
        </w:rPr>
        <w:t>日核定建構原住民族智慧治理中長程計畫（110</w:t>
      </w:r>
      <w:r w:rsidR="0010284E">
        <w:rPr>
          <w:rFonts w:ascii="標楷體" w:eastAsia="標楷體" w:hAnsi="標楷體" w:hint="eastAsia"/>
          <w:spacing w:val="-4"/>
          <w:szCs w:val="24"/>
        </w:rPr>
        <w:t>－</w:t>
      </w:r>
      <w:r w:rsidRPr="007C40C3">
        <w:rPr>
          <w:rFonts w:ascii="標楷體" w:eastAsia="標楷體" w:hAnsi="標楷體" w:hint="eastAsia"/>
          <w:spacing w:val="-4"/>
          <w:szCs w:val="24"/>
        </w:rPr>
        <w:t>113年）（下稱原住民族智慧治理計畫），辦理建置原住民族基礎資料庫、建構原住民族教育科技文化、社會福利、經濟發展、就業行政、部落災害風險等行政決策知識系統等工作項目，並納入行政院智慧國家方案（2021</w:t>
      </w:r>
      <w:r w:rsidR="0010284E">
        <w:rPr>
          <w:rFonts w:ascii="標楷體" w:eastAsia="標楷體" w:hAnsi="標楷體" w:hint="eastAsia"/>
          <w:spacing w:val="-4"/>
          <w:szCs w:val="24"/>
        </w:rPr>
        <w:t>－</w:t>
      </w:r>
      <w:r w:rsidRPr="007C40C3">
        <w:rPr>
          <w:rFonts w:ascii="標楷體" w:eastAsia="標楷體" w:hAnsi="標楷體" w:hint="eastAsia"/>
          <w:spacing w:val="-4"/>
          <w:szCs w:val="24"/>
        </w:rPr>
        <w:t>2025年）推動辦理。該計畫核定總經費2億5</w:t>
      </w:r>
      <w:r w:rsidRPr="007C40C3">
        <w:rPr>
          <w:rFonts w:ascii="標楷體" w:eastAsia="標楷體" w:hAnsi="標楷體"/>
          <w:spacing w:val="-4"/>
          <w:szCs w:val="24"/>
        </w:rPr>
        <w:t>,000</w:t>
      </w:r>
      <w:r w:rsidRPr="007C40C3">
        <w:rPr>
          <w:rFonts w:ascii="標楷體" w:eastAsia="標楷體" w:hAnsi="標楷體" w:hint="eastAsia"/>
          <w:spacing w:val="-4"/>
          <w:szCs w:val="24"/>
        </w:rPr>
        <w:t>萬元，截至112年底止，累計編列科技計畫預算數1億6</w:t>
      </w:r>
      <w:r w:rsidRPr="007C40C3">
        <w:rPr>
          <w:rFonts w:ascii="標楷體" w:eastAsia="標楷體" w:hAnsi="標楷體"/>
          <w:spacing w:val="-4"/>
          <w:szCs w:val="24"/>
        </w:rPr>
        <w:t>,555</w:t>
      </w:r>
      <w:r w:rsidRPr="007C40C3">
        <w:rPr>
          <w:rFonts w:ascii="標楷體" w:eastAsia="標楷體" w:hAnsi="標楷體" w:hint="eastAsia"/>
          <w:spacing w:val="-4"/>
          <w:szCs w:val="24"/>
        </w:rPr>
        <w:t>萬餘元，已全數實現。</w:t>
      </w:r>
      <w:r>
        <w:rPr>
          <w:rFonts w:ascii="標楷體" w:eastAsia="標楷體" w:hAnsi="標楷體" w:hint="eastAsia"/>
          <w:spacing w:val="-4"/>
          <w:szCs w:val="24"/>
        </w:rPr>
        <w:t>經查，</w:t>
      </w:r>
      <w:r w:rsidR="004A198B">
        <w:rPr>
          <w:rFonts w:ascii="標楷體" w:eastAsia="標楷體" w:hAnsi="標楷體" w:hint="eastAsia"/>
          <w:spacing w:val="-4"/>
          <w:szCs w:val="24"/>
        </w:rPr>
        <w:t>原住民族委員會</w:t>
      </w:r>
      <w:r w:rsidRPr="007C40C3">
        <w:rPr>
          <w:rFonts w:ascii="標楷體" w:eastAsia="標楷體" w:hAnsi="標楷體" w:hint="eastAsia"/>
          <w:spacing w:val="-4"/>
          <w:szCs w:val="24"/>
        </w:rPr>
        <w:t>為推動原住民族智慧治理計畫，自110年起以勞務採購方式委外辦理業務需求訪談、基礎資料盤點、系統開發建置等各項工作，並規劃於1</w:t>
      </w:r>
      <w:r w:rsidRPr="007C40C3">
        <w:rPr>
          <w:rFonts w:ascii="標楷體" w:eastAsia="標楷體" w:hAnsi="標楷體"/>
          <w:spacing w:val="-4"/>
          <w:szCs w:val="24"/>
        </w:rPr>
        <w:t>11</w:t>
      </w:r>
      <w:r w:rsidRPr="007C40C3">
        <w:rPr>
          <w:rFonts w:ascii="標楷體" w:eastAsia="標楷體" w:hAnsi="標楷體" w:hint="eastAsia"/>
          <w:spacing w:val="-4"/>
          <w:szCs w:val="24"/>
        </w:rPr>
        <w:t>至</w:t>
      </w:r>
      <w:r w:rsidRPr="007C40C3">
        <w:rPr>
          <w:rFonts w:ascii="標楷體" w:eastAsia="標楷體" w:hAnsi="標楷體"/>
          <w:spacing w:val="-4"/>
          <w:szCs w:val="24"/>
        </w:rPr>
        <w:t>113</w:t>
      </w:r>
      <w:r w:rsidRPr="007C40C3">
        <w:rPr>
          <w:rFonts w:ascii="標楷體" w:eastAsia="標楷體" w:hAnsi="標楷體" w:hint="eastAsia"/>
          <w:spacing w:val="-4"/>
          <w:szCs w:val="24"/>
        </w:rPr>
        <w:t>年間分年、分階段完成智慧治理平臺行政決策支援模組建置。截至112年底止，已建置完成17項行政決策支援模組，陸續於1</w:t>
      </w:r>
      <w:r w:rsidRPr="007C40C3">
        <w:rPr>
          <w:rFonts w:ascii="標楷體" w:eastAsia="標楷體" w:hAnsi="標楷體"/>
          <w:spacing w:val="-4"/>
          <w:szCs w:val="24"/>
        </w:rPr>
        <w:t>11</w:t>
      </w:r>
      <w:r w:rsidRPr="007C40C3">
        <w:rPr>
          <w:rFonts w:ascii="標楷體" w:eastAsia="標楷體" w:hAnsi="標楷體" w:hint="eastAsia"/>
          <w:spacing w:val="-4"/>
          <w:szCs w:val="24"/>
        </w:rPr>
        <w:t>及1</w:t>
      </w:r>
      <w:r w:rsidRPr="007C40C3">
        <w:rPr>
          <w:rFonts w:ascii="標楷體" w:eastAsia="標楷體" w:hAnsi="標楷體"/>
          <w:spacing w:val="-4"/>
          <w:szCs w:val="24"/>
        </w:rPr>
        <w:t>12</w:t>
      </w:r>
      <w:r w:rsidRPr="007C40C3">
        <w:rPr>
          <w:rFonts w:ascii="標楷體" w:eastAsia="標楷體" w:hAnsi="標楷體" w:hint="eastAsia"/>
          <w:spacing w:val="-4"/>
          <w:szCs w:val="24"/>
        </w:rPr>
        <w:t>年底上線（</w:t>
      </w:r>
      <w:r w:rsidRPr="00855CF4">
        <w:rPr>
          <w:rFonts w:ascii="標楷體" w:eastAsia="標楷體" w:hAnsi="標楷體" w:hint="eastAsia"/>
          <w:spacing w:val="-4"/>
          <w:szCs w:val="24"/>
        </w:rPr>
        <w:t>圖1</w:t>
      </w:r>
      <w:r w:rsidR="00B77F9F" w:rsidRPr="00855CF4">
        <w:rPr>
          <w:rFonts w:ascii="標楷體" w:eastAsia="標楷體" w:hAnsi="標楷體" w:hint="eastAsia"/>
          <w:spacing w:val="-4"/>
          <w:szCs w:val="24"/>
        </w:rPr>
        <w:t>6</w:t>
      </w:r>
      <w:r w:rsidRPr="007C40C3">
        <w:rPr>
          <w:rFonts w:ascii="標楷體" w:eastAsia="標楷體" w:hAnsi="標楷體" w:hint="eastAsia"/>
          <w:spacing w:val="-4"/>
          <w:szCs w:val="24"/>
        </w:rPr>
        <w:t>）。經抽查其中</w:t>
      </w:r>
      <w:r w:rsidRPr="000753AF">
        <w:rPr>
          <w:rFonts w:ascii="標楷體" w:eastAsia="標楷體" w:hAnsi="標楷體" w:hint="eastAsia"/>
          <w:spacing w:val="-4"/>
          <w:szCs w:val="24"/>
        </w:rPr>
        <w:t>原住民族人口統計</w:t>
      </w:r>
      <w:r>
        <w:rPr>
          <w:rFonts w:ascii="標楷體" w:eastAsia="標楷體" w:hAnsi="標楷體" w:hint="eastAsia"/>
          <w:spacing w:val="-4"/>
          <w:szCs w:val="24"/>
        </w:rPr>
        <w:t>、</w:t>
      </w:r>
      <w:r w:rsidRPr="000753AF">
        <w:rPr>
          <w:rFonts w:ascii="標楷體" w:eastAsia="標楷體" w:hAnsi="標楷體" w:hint="eastAsia"/>
          <w:spacing w:val="-4"/>
          <w:szCs w:val="24"/>
        </w:rPr>
        <w:t>都市原住民族發展</w:t>
      </w:r>
      <w:r>
        <w:rPr>
          <w:rFonts w:ascii="標楷體" w:eastAsia="標楷體" w:hAnsi="標楷體" w:hint="eastAsia"/>
          <w:spacing w:val="-4"/>
          <w:szCs w:val="24"/>
        </w:rPr>
        <w:t>、</w:t>
      </w:r>
      <w:r w:rsidRPr="000753AF">
        <w:rPr>
          <w:rFonts w:ascii="標楷體" w:eastAsia="標楷體" w:hAnsi="標楷體" w:hint="eastAsia"/>
          <w:spacing w:val="-4"/>
          <w:szCs w:val="24"/>
        </w:rPr>
        <w:t>原住</w:t>
      </w:r>
      <w:r>
        <w:rPr>
          <w:rFonts w:ascii="標楷體" w:eastAsia="標楷體" w:hAnsi="標楷體" w:hint="eastAsia"/>
          <w:spacing w:val="-4"/>
          <w:szCs w:val="24"/>
        </w:rPr>
        <w:t>民族</w:t>
      </w:r>
      <w:r w:rsidRPr="000753AF">
        <w:rPr>
          <w:rFonts w:ascii="標楷體" w:eastAsia="標楷體" w:hAnsi="標楷體" w:hint="eastAsia"/>
          <w:spacing w:val="-4"/>
          <w:szCs w:val="24"/>
        </w:rPr>
        <w:t>高等教育人才培育</w:t>
      </w:r>
      <w:r>
        <w:rPr>
          <w:rFonts w:ascii="標楷體" w:eastAsia="標楷體" w:hAnsi="標楷體" w:hint="eastAsia"/>
          <w:spacing w:val="-4"/>
          <w:szCs w:val="24"/>
        </w:rPr>
        <w:t>、</w:t>
      </w:r>
      <w:r w:rsidRPr="000753AF">
        <w:rPr>
          <w:rFonts w:ascii="標楷體" w:eastAsia="標楷體" w:hAnsi="標楷體" w:hint="eastAsia"/>
          <w:spacing w:val="-4"/>
          <w:szCs w:val="24"/>
        </w:rPr>
        <w:t>原住民族族語師資需求</w:t>
      </w:r>
      <w:r>
        <w:rPr>
          <w:rFonts w:ascii="標楷體" w:eastAsia="標楷體" w:hAnsi="標楷體" w:hint="eastAsia"/>
          <w:spacing w:val="-4"/>
          <w:szCs w:val="24"/>
        </w:rPr>
        <w:t>、</w:t>
      </w:r>
      <w:r w:rsidRPr="000753AF">
        <w:rPr>
          <w:rFonts w:ascii="標楷體" w:eastAsia="標楷體" w:hAnsi="標楷體" w:hint="eastAsia"/>
          <w:spacing w:val="-4"/>
          <w:szCs w:val="24"/>
        </w:rPr>
        <w:t>原住民族大專學生休退學</w:t>
      </w:r>
      <w:r>
        <w:rPr>
          <w:rFonts w:ascii="標楷體" w:eastAsia="標楷體" w:hAnsi="標楷體" w:hint="eastAsia"/>
          <w:spacing w:val="-4"/>
          <w:szCs w:val="24"/>
        </w:rPr>
        <w:t>、</w:t>
      </w:r>
      <w:r w:rsidRPr="000753AF">
        <w:rPr>
          <w:rFonts w:ascii="標楷體" w:eastAsia="標楷體" w:hAnsi="標楷體" w:hint="eastAsia"/>
          <w:spacing w:val="-4"/>
          <w:szCs w:val="24"/>
        </w:rPr>
        <w:t>文化健康站</w:t>
      </w:r>
      <w:r>
        <w:rPr>
          <w:rFonts w:ascii="標楷體" w:eastAsia="標楷體" w:hAnsi="標楷體" w:hint="eastAsia"/>
          <w:spacing w:val="-4"/>
          <w:szCs w:val="24"/>
        </w:rPr>
        <w:t>、</w:t>
      </w:r>
      <w:r w:rsidRPr="000753AF">
        <w:rPr>
          <w:rFonts w:ascii="標楷體" w:eastAsia="標楷體" w:hAnsi="標楷體" w:hint="eastAsia"/>
          <w:spacing w:val="-4"/>
          <w:szCs w:val="24"/>
        </w:rPr>
        <w:t>原住民族長期照顧及醫療</w:t>
      </w:r>
      <w:r>
        <w:rPr>
          <w:rFonts w:ascii="標楷體" w:eastAsia="標楷體" w:hAnsi="標楷體" w:hint="eastAsia"/>
          <w:spacing w:val="-4"/>
          <w:szCs w:val="24"/>
        </w:rPr>
        <w:t>、</w:t>
      </w:r>
      <w:r w:rsidRPr="000753AF">
        <w:rPr>
          <w:rFonts w:ascii="標楷體" w:eastAsia="標楷體" w:hAnsi="標楷體" w:hint="eastAsia"/>
          <w:spacing w:val="-4"/>
          <w:szCs w:val="24"/>
        </w:rPr>
        <w:t>原住民族</w:t>
      </w:r>
      <w:r>
        <w:rPr>
          <w:rFonts w:ascii="標楷體" w:eastAsia="標楷體" w:hAnsi="標楷體" w:hint="eastAsia"/>
          <w:spacing w:val="-4"/>
          <w:szCs w:val="24"/>
        </w:rPr>
        <w:t>家庭服務中心、</w:t>
      </w:r>
      <w:r w:rsidRPr="000753AF">
        <w:rPr>
          <w:rFonts w:ascii="標楷體" w:eastAsia="標楷體" w:hAnsi="標楷體" w:hint="eastAsia"/>
          <w:spacing w:val="-4"/>
          <w:szCs w:val="24"/>
        </w:rPr>
        <w:t>原住民族法律扶助</w:t>
      </w:r>
      <w:r>
        <w:rPr>
          <w:rFonts w:ascii="標楷體" w:eastAsia="標楷體" w:hAnsi="標楷體" w:hint="eastAsia"/>
          <w:spacing w:val="-4"/>
          <w:szCs w:val="24"/>
        </w:rPr>
        <w:t>、</w:t>
      </w:r>
      <w:r w:rsidRPr="000753AF">
        <w:rPr>
          <w:rFonts w:ascii="標楷體" w:eastAsia="標楷體" w:hAnsi="標楷體" w:hint="eastAsia"/>
          <w:spacing w:val="-4"/>
          <w:szCs w:val="24"/>
        </w:rPr>
        <w:t>原住民族經濟發展</w:t>
      </w:r>
      <w:r>
        <w:rPr>
          <w:rFonts w:ascii="標楷體" w:eastAsia="標楷體" w:hAnsi="標楷體" w:hint="eastAsia"/>
          <w:spacing w:val="-4"/>
          <w:szCs w:val="24"/>
        </w:rPr>
        <w:t>、</w:t>
      </w:r>
      <w:r w:rsidRPr="000753AF">
        <w:rPr>
          <w:rFonts w:ascii="標楷體" w:eastAsia="標楷體" w:hAnsi="標楷體" w:hint="eastAsia"/>
          <w:spacing w:val="-4"/>
          <w:szCs w:val="24"/>
        </w:rPr>
        <w:t>原住民族融資</w:t>
      </w:r>
      <w:r>
        <w:rPr>
          <w:rFonts w:ascii="標楷體" w:eastAsia="標楷體" w:hAnsi="標楷體" w:hint="eastAsia"/>
          <w:spacing w:val="-4"/>
          <w:szCs w:val="24"/>
        </w:rPr>
        <w:t>貸款、</w:t>
      </w:r>
      <w:r w:rsidRPr="000753AF">
        <w:rPr>
          <w:rFonts w:ascii="標楷體" w:eastAsia="標楷體" w:hAnsi="標楷體" w:hint="eastAsia"/>
          <w:spacing w:val="-4"/>
          <w:szCs w:val="24"/>
        </w:rPr>
        <w:t>原住民保留地抵押設定</w:t>
      </w:r>
      <w:r>
        <w:rPr>
          <w:rFonts w:ascii="標楷體" w:eastAsia="標楷體" w:hAnsi="標楷體" w:hint="eastAsia"/>
          <w:spacing w:val="-4"/>
          <w:szCs w:val="24"/>
        </w:rPr>
        <w:t>、</w:t>
      </w:r>
      <w:r w:rsidRPr="000753AF">
        <w:rPr>
          <w:rFonts w:ascii="標楷體" w:eastAsia="標楷體" w:hAnsi="標楷體" w:hint="eastAsia"/>
          <w:spacing w:val="-4"/>
          <w:szCs w:val="24"/>
        </w:rPr>
        <w:t>原住民保留地違規</w:t>
      </w:r>
      <w:r>
        <w:rPr>
          <w:rFonts w:ascii="標楷體" w:eastAsia="標楷體" w:hAnsi="標楷體" w:hint="eastAsia"/>
          <w:spacing w:val="-4"/>
          <w:szCs w:val="24"/>
        </w:rPr>
        <w:t>利</w:t>
      </w:r>
      <w:r w:rsidRPr="000753AF">
        <w:rPr>
          <w:rFonts w:ascii="標楷體" w:eastAsia="標楷體" w:hAnsi="標楷體" w:hint="eastAsia"/>
          <w:spacing w:val="-4"/>
          <w:szCs w:val="24"/>
        </w:rPr>
        <w:t>用</w:t>
      </w:r>
      <w:r>
        <w:rPr>
          <w:rFonts w:ascii="標楷體" w:eastAsia="標楷體" w:hAnsi="標楷體" w:hint="eastAsia"/>
          <w:spacing w:val="-4"/>
          <w:szCs w:val="24"/>
        </w:rPr>
        <w:t>、</w:t>
      </w:r>
      <w:r w:rsidRPr="000753AF">
        <w:rPr>
          <w:rFonts w:ascii="標楷體" w:eastAsia="標楷體" w:hAnsi="標楷體" w:hint="eastAsia"/>
          <w:spacing w:val="-4"/>
          <w:szCs w:val="24"/>
        </w:rPr>
        <w:t>原住民族文化發展中心園區營運</w:t>
      </w:r>
      <w:r w:rsidRPr="007C40C3">
        <w:rPr>
          <w:rFonts w:ascii="標楷體" w:eastAsia="標楷體" w:hAnsi="標楷體" w:hint="eastAsia"/>
          <w:spacing w:val="-4"/>
          <w:szCs w:val="24"/>
        </w:rPr>
        <w:t>等1</w:t>
      </w:r>
      <w:r w:rsidRPr="007C40C3">
        <w:rPr>
          <w:rFonts w:ascii="標楷體" w:eastAsia="標楷體" w:hAnsi="標楷體"/>
          <w:spacing w:val="-4"/>
          <w:szCs w:val="24"/>
        </w:rPr>
        <w:t>4</w:t>
      </w:r>
      <w:r w:rsidRPr="007C40C3">
        <w:rPr>
          <w:rFonts w:ascii="標楷體" w:eastAsia="標楷體" w:hAnsi="標楷體" w:hint="eastAsia"/>
          <w:spacing w:val="-4"/>
          <w:szCs w:val="24"/>
        </w:rPr>
        <w:t>項議題之決策支援模組基礎資料匯入及更新情形，截至1</w:t>
      </w:r>
      <w:r w:rsidRPr="007C40C3">
        <w:rPr>
          <w:rFonts w:ascii="標楷體" w:eastAsia="標楷體" w:hAnsi="標楷體"/>
          <w:spacing w:val="-4"/>
          <w:szCs w:val="24"/>
        </w:rPr>
        <w:t>13</w:t>
      </w:r>
      <w:r w:rsidRPr="007C40C3">
        <w:rPr>
          <w:rFonts w:ascii="標楷體" w:eastAsia="標楷體" w:hAnsi="標楷體" w:hint="eastAsia"/>
          <w:spacing w:val="-4"/>
          <w:szCs w:val="24"/>
        </w:rPr>
        <w:t>年3月底止，上開1</w:t>
      </w:r>
      <w:r w:rsidRPr="007C40C3">
        <w:rPr>
          <w:rFonts w:ascii="標楷體" w:eastAsia="標楷體" w:hAnsi="標楷體"/>
          <w:spacing w:val="-4"/>
          <w:szCs w:val="24"/>
        </w:rPr>
        <w:t>4</w:t>
      </w:r>
      <w:r w:rsidRPr="007C40C3">
        <w:rPr>
          <w:rFonts w:ascii="標楷體" w:eastAsia="標楷體" w:hAnsi="標楷體" w:hint="eastAsia"/>
          <w:spacing w:val="-4"/>
          <w:szCs w:val="24"/>
        </w:rPr>
        <w:t>項議題決策支援模組已分別匯入來自</w:t>
      </w:r>
      <w:r>
        <w:rPr>
          <w:rFonts w:ascii="標楷體" w:eastAsia="標楷體" w:hAnsi="標楷體" w:hint="eastAsia"/>
          <w:spacing w:val="-4"/>
          <w:szCs w:val="24"/>
        </w:rPr>
        <w:t>原住民族委員會</w:t>
      </w:r>
      <w:r w:rsidR="00BE6409">
        <w:rPr>
          <w:rFonts w:ascii="標楷體" w:eastAsia="標楷體" w:hAnsi="標楷體" w:hint="eastAsia"/>
          <w:spacing w:val="-4"/>
          <w:szCs w:val="24"/>
        </w:rPr>
        <w:t>內部</w:t>
      </w:r>
      <w:r w:rsidRPr="007C40C3">
        <w:rPr>
          <w:rFonts w:ascii="標楷體" w:eastAsia="標楷體" w:hAnsi="標楷體" w:hint="eastAsia"/>
          <w:spacing w:val="-4"/>
          <w:szCs w:val="24"/>
        </w:rPr>
        <w:t>單位，及內政部、勞動部、衛生福利部、經濟部、教育部等29個外部機關（學校、單位）取得之6</w:t>
      </w:r>
      <w:r w:rsidRPr="007C40C3">
        <w:rPr>
          <w:rFonts w:ascii="標楷體" w:eastAsia="標楷體" w:hAnsi="標楷體"/>
          <w:spacing w:val="-4"/>
          <w:szCs w:val="24"/>
        </w:rPr>
        <w:t>4</w:t>
      </w:r>
      <w:r w:rsidRPr="007C40C3">
        <w:rPr>
          <w:rFonts w:ascii="標楷體" w:eastAsia="標楷體" w:hAnsi="標楷體" w:hint="eastAsia"/>
          <w:spacing w:val="-4"/>
          <w:szCs w:val="24"/>
        </w:rPr>
        <w:t>個資料集，均採洽資料擁有機關（學校、單位）索取電子檔案匯入之方式辦理，其中取得資料年度（區間）於112年間者，計6個資料集，</w:t>
      </w:r>
      <w:r w:rsidR="004002D1">
        <w:rPr>
          <w:rFonts w:ascii="標楷體" w:eastAsia="標楷體" w:hAnsi="標楷體" w:hint="eastAsia"/>
          <w:spacing w:val="-4"/>
          <w:szCs w:val="24"/>
        </w:rPr>
        <w:t>其</w:t>
      </w:r>
      <w:r w:rsidRPr="007C40C3">
        <w:rPr>
          <w:rFonts w:ascii="標楷體" w:eastAsia="標楷體" w:hAnsi="標楷體" w:hint="eastAsia"/>
          <w:spacing w:val="-4"/>
          <w:szCs w:val="24"/>
        </w:rPr>
        <w:t>餘58個資料集（占總資料集數量之90.63％）最近取得之資料年度則介於109至111年間，未盡及時（舉</w:t>
      </w:r>
      <w:r w:rsidRPr="007C40C3">
        <w:rPr>
          <w:rFonts w:ascii="標楷體" w:eastAsia="標楷體" w:hAnsi="標楷體" w:hint="eastAsia"/>
          <w:spacing w:val="-4"/>
          <w:szCs w:val="24"/>
        </w:rPr>
        <w:lastRenderedPageBreak/>
        <w:t>如：</w:t>
      </w:r>
      <w:r>
        <w:rPr>
          <w:rFonts w:ascii="標楷體" w:eastAsia="標楷體" w:hAnsi="標楷體" w:hint="eastAsia"/>
          <w:spacing w:val="-4"/>
          <w:szCs w:val="24"/>
        </w:rPr>
        <w:t>原住民族委員會</w:t>
      </w:r>
      <w:r w:rsidRPr="007C40C3">
        <w:rPr>
          <w:rFonts w:ascii="標楷體" w:eastAsia="標楷體" w:hAnsi="標楷體" w:hint="eastAsia"/>
          <w:spacing w:val="-4"/>
          <w:szCs w:val="24"/>
        </w:rPr>
        <w:t>文化健康站通訊錄及一覽表、文化健康站服務率統計表</w:t>
      </w:r>
      <w:r w:rsidR="002A0C96">
        <w:rPr>
          <w:rFonts w:ascii="標楷體" w:eastAsia="標楷體" w:hAnsi="標楷體" w:hint="eastAsia"/>
          <w:spacing w:val="-4"/>
          <w:szCs w:val="24"/>
        </w:rPr>
        <w:t>均</w:t>
      </w:r>
      <w:r w:rsidRPr="007C40C3">
        <w:rPr>
          <w:rFonts w:ascii="標楷體" w:eastAsia="標楷體" w:hAnsi="標楷體" w:hint="eastAsia"/>
          <w:spacing w:val="-4"/>
          <w:szCs w:val="24"/>
        </w:rPr>
        <w:t>僅匯入111年度481個文化健康站之資料，未含112年核定新設之22站；原住民族就業狀況調查僅匯入106至109年度資料，未含110至112年度各季調查結果），且</w:t>
      </w:r>
      <w:r>
        <w:rPr>
          <w:rFonts w:ascii="標楷體" w:eastAsia="標楷體" w:hAnsi="標楷體" w:hint="eastAsia"/>
          <w:spacing w:val="-4"/>
          <w:szCs w:val="24"/>
        </w:rPr>
        <w:t>原住民族委員會</w:t>
      </w:r>
      <w:r w:rsidRPr="007C40C3">
        <w:rPr>
          <w:rFonts w:ascii="標楷體" w:eastAsia="標楷體" w:hAnsi="標楷體" w:hint="eastAsia"/>
          <w:spacing w:val="-4"/>
          <w:szCs w:val="24"/>
        </w:rPr>
        <w:t>尚未建立穩定資料匯入或介接機制，各該模組分別於111年7月至112年11月間採一次性匯入相關資料後，截至113年3月底止尚未辦理更新，恐因資料過時，未能針對相關原民施政議題進行全面客觀情境分析，而降低決策支援功能可用性。鑑於原住民族智慧治理計畫將於113年度屆期，為落實達成優化原住民族行政決策、解決原住民族面臨問題等計畫目標，</w:t>
      </w:r>
      <w:r>
        <w:rPr>
          <w:rFonts w:ascii="標楷體" w:eastAsia="標楷體" w:hAnsi="標楷體" w:hint="eastAsia"/>
          <w:spacing w:val="-4"/>
          <w:szCs w:val="24"/>
        </w:rPr>
        <w:t>經函請原住民族委員會</w:t>
      </w:r>
      <w:r w:rsidRPr="007C40C3">
        <w:rPr>
          <w:rFonts w:ascii="標楷體" w:eastAsia="標楷體" w:hAnsi="標楷體" w:hint="eastAsia"/>
          <w:spacing w:val="-4"/>
          <w:szCs w:val="24"/>
        </w:rPr>
        <w:t>儘速完備智慧治理平臺資料更新機制，妥依資料屬性、需求頻率、更新效益等面向研議適切之資料更新頻率及方式，俾提升系統可用性</w:t>
      </w:r>
      <w:r w:rsidRPr="002764C1">
        <w:rPr>
          <w:rFonts w:ascii="標楷體" w:eastAsia="標楷體" w:hAnsi="標楷體" w:hint="eastAsia"/>
          <w:szCs w:val="24"/>
        </w:rPr>
        <w:t>。</w:t>
      </w:r>
      <w:r w:rsidRPr="00E97D7B">
        <w:rPr>
          <w:rFonts w:ascii="標楷體" w:eastAsia="標楷體" w:hAnsi="標楷體" w:hint="eastAsia"/>
          <w:spacing w:val="-4"/>
          <w:szCs w:val="24"/>
        </w:rPr>
        <w:t>據復：</w:t>
      </w:r>
      <w:r w:rsidRPr="00806A6C">
        <w:rPr>
          <w:rFonts w:ascii="標楷體" w:eastAsia="標楷體" w:hAnsi="標楷體" w:hint="eastAsia"/>
          <w:spacing w:val="-4"/>
          <w:szCs w:val="24"/>
        </w:rPr>
        <w:t>截至113年5月底止，智慧治理平臺已更新58項基礎資料，113年度預定開發之決策支援功能亦已取得15項相對應資料，將持續進行相關資料之收集及更新，以維持系統功能可用性</w:t>
      </w:r>
      <w:r>
        <w:rPr>
          <w:rFonts w:ascii="標楷體" w:eastAsia="標楷體" w:hAnsi="標楷體" w:hint="eastAsia"/>
          <w:spacing w:val="-4"/>
          <w:szCs w:val="24"/>
        </w:rPr>
        <w:t>；</w:t>
      </w:r>
      <w:r w:rsidRPr="00806A6C">
        <w:rPr>
          <w:rFonts w:ascii="標楷體" w:eastAsia="標楷體" w:hAnsi="標楷體" w:hint="eastAsia"/>
          <w:spacing w:val="-4"/>
          <w:szCs w:val="24"/>
        </w:rPr>
        <w:t>另外除持續開發新功能外，將持續藉由教育訓練及成果分享，提升同仁使用意願，俾輔助掌握決策數據，促進施政決策及服務精準度，以逐步達成智慧治理目標，同時追蹤使用者對於功能及相關資料庫之反饋，作為後續系統功能改善或優化之參考</w:t>
      </w:r>
      <w:r w:rsidRPr="009F63B9">
        <w:rPr>
          <w:rFonts w:ascii="標楷體" w:eastAsia="標楷體" w:hAnsi="標楷體" w:hint="eastAsia"/>
          <w:spacing w:val="-4"/>
          <w:szCs w:val="24"/>
        </w:rPr>
        <w:t>。</w:t>
      </w:r>
    </w:p>
    <w:p w14:paraId="5C45F5E3" w14:textId="2B345BF0" w:rsidR="009C6696" w:rsidRDefault="009C6696" w:rsidP="009C6696">
      <w:pPr>
        <w:pStyle w:val="2"/>
        <w:overflowPunct w:val="0"/>
        <w:spacing w:beforeLines="20" w:before="72" w:afterLines="20" w:after="72" w:line="430" w:lineRule="exact"/>
        <w:ind w:left="0" w:firstLineChars="200" w:firstLine="561"/>
        <w:rPr>
          <w:rFonts w:hAnsi="標楷體"/>
          <w:b/>
          <w:color w:val="000000" w:themeColor="text1"/>
          <w:sz w:val="28"/>
          <w:szCs w:val="28"/>
        </w:rPr>
      </w:pPr>
      <w:r>
        <w:rPr>
          <w:rFonts w:hAnsi="標楷體" w:hint="eastAsia"/>
          <w:b/>
          <w:color w:val="000000" w:themeColor="text1"/>
          <w:sz w:val="28"/>
          <w:szCs w:val="28"/>
        </w:rPr>
        <w:t>（二十</w:t>
      </w:r>
      <w:r w:rsidR="00781889">
        <w:rPr>
          <w:rFonts w:hAnsi="標楷體" w:hint="eastAsia"/>
          <w:b/>
          <w:color w:val="000000" w:themeColor="text1"/>
          <w:sz w:val="28"/>
          <w:szCs w:val="28"/>
        </w:rPr>
        <w:t>六</w:t>
      </w:r>
      <w:r w:rsidRPr="007B30E9">
        <w:rPr>
          <w:rFonts w:hAnsi="標楷體" w:hint="eastAsia"/>
          <w:b/>
          <w:color w:val="000000" w:themeColor="text1"/>
          <w:sz w:val="28"/>
          <w:szCs w:val="28"/>
        </w:rPr>
        <w:t xml:space="preserve">）　</w:t>
      </w:r>
      <w:r w:rsidRPr="0079722F">
        <w:rPr>
          <w:rFonts w:hAnsi="標楷體" w:hint="eastAsia"/>
          <w:b/>
          <w:color w:val="000000" w:themeColor="text1"/>
          <w:sz w:val="28"/>
          <w:szCs w:val="28"/>
        </w:rPr>
        <w:t>原住民族委員會管理國有原住民保留地被占用清查及處理情形，間有未落實分年分區清查工作，恐存在相當未經列管被占用案件黑數；排除占用成效低落，列管被占用錄數、面積逐年攀升；未及時通知占用人繳納使用補償金，恐致政府債權受損等情，均待研謀改善。</w:t>
      </w:r>
    </w:p>
    <w:p w14:paraId="02F6DA10" w14:textId="3150A9D9" w:rsidR="009C6696" w:rsidRDefault="009C6696" w:rsidP="009C6696">
      <w:pPr>
        <w:overflowPunct w:val="0"/>
        <w:snapToGrid w:val="0"/>
        <w:spacing w:line="430" w:lineRule="exact"/>
        <w:ind w:firstLineChars="200" w:firstLine="480"/>
        <w:jc w:val="both"/>
        <w:rPr>
          <w:rFonts w:ascii="標楷體" w:eastAsia="標楷體" w:hAnsi="標楷體"/>
          <w:szCs w:val="24"/>
        </w:rPr>
      </w:pPr>
      <w:r w:rsidRPr="000C1289">
        <w:rPr>
          <w:rFonts w:ascii="標楷體" w:eastAsia="標楷體" w:hAnsi="標楷體" w:hint="eastAsia"/>
          <w:szCs w:val="24"/>
        </w:rPr>
        <w:t>原住民保留地（下稱原保地）係政府為保障原住民生計及推行原住民行政所劃設具有特定目的、用途之土地，以山坡地保育利用條例第37條及其授權訂定之原住民保留地開發管理辦法</w:t>
      </w:r>
      <w:r w:rsidR="00C2362F" w:rsidRPr="00C2362F">
        <w:rPr>
          <w:rFonts w:ascii="標楷體" w:eastAsia="標楷體" w:hAnsi="標楷體" w:hint="eastAsia"/>
          <w:szCs w:val="24"/>
        </w:rPr>
        <w:t>（</w:t>
      </w:r>
      <w:r w:rsidRPr="000C1289">
        <w:rPr>
          <w:rFonts w:ascii="標楷體" w:eastAsia="標楷體" w:hAnsi="標楷體" w:hint="eastAsia"/>
          <w:szCs w:val="24"/>
        </w:rPr>
        <w:t>下稱原開辦法</w:t>
      </w:r>
      <w:r w:rsidR="006C41C5" w:rsidRPr="006C41C5">
        <w:rPr>
          <w:rFonts w:ascii="標楷體" w:eastAsia="標楷體" w:hAnsi="標楷體" w:hint="eastAsia"/>
          <w:szCs w:val="24"/>
        </w:rPr>
        <w:t>）</w:t>
      </w:r>
      <w:r w:rsidRPr="000C1289">
        <w:rPr>
          <w:rFonts w:ascii="標楷體" w:eastAsia="標楷體" w:hAnsi="標楷體" w:hint="eastAsia"/>
          <w:szCs w:val="24"/>
        </w:rPr>
        <w:t>為管理法源</w:t>
      </w:r>
      <w:r>
        <w:rPr>
          <w:rFonts w:ascii="標楷體" w:eastAsia="標楷體" w:hAnsi="標楷體" w:hint="eastAsia"/>
          <w:szCs w:val="24"/>
        </w:rPr>
        <w:t>，</w:t>
      </w:r>
      <w:r w:rsidRPr="000C1289">
        <w:rPr>
          <w:rFonts w:ascii="標楷體" w:eastAsia="標楷體" w:hAnsi="標楷體" w:hint="eastAsia"/>
          <w:szCs w:val="24"/>
        </w:rPr>
        <w:t>依原開辦法第2條及第5條規定，</w:t>
      </w:r>
      <w:r>
        <w:rPr>
          <w:rFonts w:ascii="標楷體" w:eastAsia="標楷體" w:hAnsi="標楷體" w:hint="eastAsia"/>
          <w:szCs w:val="24"/>
        </w:rPr>
        <w:t>原住民族委員會</w:t>
      </w:r>
      <w:r w:rsidRPr="000C1289">
        <w:rPr>
          <w:rFonts w:ascii="標楷體" w:eastAsia="標楷體" w:hAnsi="標楷體" w:hint="eastAsia"/>
          <w:szCs w:val="24"/>
        </w:rPr>
        <w:t>為原保地開發管理業務之中央主管機關，及國有原保地之管理機關；市縣政府為原保地開</w:t>
      </w:r>
      <w:r w:rsidR="002A0C96">
        <w:rPr>
          <w:rFonts w:ascii="標楷體" w:eastAsia="標楷體" w:hAnsi="標楷體" w:hint="eastAsia"/>
          <w:szCs w:val="24"/>
        </w:rPr>
        <w:t>發</w:t>
      </w:r>
      <w:r w:rsidRPr="000C1289">
        <w:rPr>
          <w:rFonts w:ascii="標楷體" w:eastAsia="標楷體" w:hAnsi="標楷體" w:hint="eastAsia"/>
          <w:szCs w:val="24"/>
        </w:rPr>
        <w:t>管理業務之地方主管機關，</w:t>
      </w:r>
      <w:r w:rsidRPr="00A93FA8">
        <w:rPr>
          <w:rFonts w:ascii="標楷體" w:eastAsia="標楷體" w:hAnsi="標楷體" w:hint="eastAsia"/>
          <w:szCs w:val="24"/>
        </w:rPr>
        <w:t>各鄉（鎮、市、區）公所</w:t>
      </w:r>
      <w:r>
        <w:rPr>
          <w:rFonts w:ascii="標楷體" w:eastAsia="標楷體" w:hAnsi="標楷體" w:hint="eastAsia"/>
          <w:szCs w:val="24"/>
        </w:rPr>
        <w:t>（下稱</w:t>
      </w:r>
      <w:r w:rsidRPr="000C1289">
        <w:rPr>
          <w:rFonts w:ascii="標楷體" w:eastAsia="標楷體" w:hAnsi="標楷體" w:hint="eastAsia"/>
          <w:szCs w:val="24"/>
        </w:rPr>
        <w:t>各公所</w:t>
      </w:r>
      <w:r>
        <w:rPr>
          <w:rFonts w:ascii="標楷體" w:eastAsia="標楷體" w:hAnsi="標楷體" w:hint="eastAsia"/>
          <w:szCs w:val="24"/>
        </w:rPr>
        <w:t>）</w:t>
      </w:r>
      <w:r w:rsidRPr="000C1289">
        <w:rPr>
          <w:rFonts w:ascii="標楷體" w:eastAsia="標楷體" w:hAnsi="標楷體" w:hint="eastAsia"/>
          <w:szCs w:val="24"/>
        </w:rPr>
        <w:t>為執行機關</w:t>
      </w:r>
      <w:r>
        <w:rPr>
          <w:rFonts w:ascii="標楷體" w:eastAsia="標楷體" w:hAnsi="標楷體" w:hint="eastAsia"/>
          <w:szCs w:val="24"/>
        </w:rPr>
        <w:t>。</w:t>
      </w:r>
      <w:r w:rsidRPr="00B82365">
        <w:rPr>
          <w:rFonts w:ascii="標楷體" w:eastAsia="標楷體" w:hAnsi="標楷體" w:hint="eastAsia"/>
          <w:szCs w:val="24"/>
        </w:rPr>
        <w:t>截至113年3月26日止，</w:t>
      </w:r>
      <w:r>
        <w:rPr>
          <w:rFonts w:ascii="標楷體" w:eastAsia="標楷體" w:hAnsi="標楷體" w:hint="eastAsia"/>
          <w:szCs w:val="24"/>
        </w:rPr>
        <w:t>由</w:t>
      </w:r>
      <w:r w:rsidRPr="00B82365">
        <w:rPr>
          <w:rFonts w:ascii="標楷體" w:eastAsia="標楷體" w:hAnsi="標楷體" w:hint="eastAsia"/>
          <w:szCs w:val="24"/>
        </w:rPr>
        <w:t>原住民族委員會經管之國有原保地計14萬9,638筆</w:t>
      </w:r>
      <w:r>
        <w:rPr>
          <w:rFonts w:ascii="標楷體" w:eastAsia="標楷體" w:hAnsi="標楷體" w:hint="eastAsia"/>
          <w:szCs w:val="24"/>
        </w:rPr>
        <w:t>、</w:t>
      </w:r>
      <w:r w:rsidRPr="00B82365">
        <w:rPr>
          <w:rFonts w:ascii="標楷體" w:eastAsia="標楷體" w:hAnsi="標楷體" w:hint="eastAsia"/>
          <w:szCs w:val="24"/>
        </w:rPr>
        <w:t>面積12萬593公頃</w:t>
      </w:r>
      <w:r>
        <w:rPr>
          <w:rFonts w:ascii="標楷體" w:eastAsia="標楷體" w:hAnsi="標楷體" w:hint="eastAsia"/>
          <w:szCs w:val="24"/>
        </w:rPr>
        <w:t>，該會為有效查處國有原保地被占用案件，</w:t>
      </w:r>
      <w:r w:rsidRPr="000C1289">
        <w:rPr>
          <w:rFonts w:ascii="標楷體" w:eastAsia="標楷體" w:hAnsi="標楷體" w:hint="eastAsia"/>
          <w:szCs w:val="24"/>
        </w:rPr>
        <w:t>於105年10月21日訂定發布之「原住民保留地相關業務標準作業程序」第2點第13款及其附件（108年9月6日修正款次為第11款），訂定「地方政府辦理國有原住民保留地占用處理之標準作業程序」（下稱占用處理標準作業程序）</w:t>
      </w:r>
      <w:r w:rsidRPr="0079722F">
        <w:rPr>
          <w:rFonts w:ascii="標楷體" w:eastAsia="標楷體" w:hAnsi="標楷體" w:hint="eastAsia"/>
          <w:szCs w:val="24"/>
        </w:rPr>
        <w:t>，</w:t>
      </w:r>
      <w:r>
        <w:rPr>
          <w:rFonts w:ascii="標楷體" w:eastAsia="標楷體" w:hAnsi="標楷體" w:hint="eastAsia"/>
          <w:szCs w:val="24"/>
        </w:rPr>
        <w:t>並</w:t>
      </w:r>
      <w:r w:rsidRPr="0079722F">
        <w:rPr>
          <w:rFonts w:ascii="標楷體" w:eastAsia="標楷體" w:hAnsi="標楷體" w:hint="eastAsia"/>
          <w:szCs w:val="24"/>
        </w:rPr>
        <w:t>透過補助或核定公所動支原保地租金收入，近3年度（110至112年度）挹注市縣政府或各公所查處國有原保地被占用案件，經費合計3,083萬餘元</w:t>
      </w:r>
      <w:r>
        <w:rPr>
          <w:rFonts w:ascii="標楷體" w:eastAsia="標楷體" w:hAnsi="標楷體" w:hint="eastAsia"/>
          <w:szCs w:val="24"/>
        </w:rPr>
        <w:t>，</w:t>
      </w:r>
      <w:r w:rsidRPr="0079722F">
        <w:rPr>
          <w:rFonts w:ascii="標楷體" w:eastAsia="標楷體" w:hAnsi="標楷體" w:hint="eastAsia"/>
          <w:szCs w:val="24"/>
        </w:rPr>
        <w:t>該會另於</w:t>
      </w:r>
      <w:r>
        <w:rPr>
          <w:rFonts w:ascii="標楷體" w:eastAsia="標楷體" w:hAnsi="標楷體" w:hint="eastAsia"/>
          <w:szCs w:val="24"/>
        </w:rPr>
        <w:t>106年間於</w:t>
      </w:r>
      <w:r w:rsidRPr="0079722F">
        <w:rPr>
          <w:rFonts w:ascii="標楷體" w:eastAsia="標楷體" w:hAnsi="標楷體" w:hint="eastAsia"/>
          <w:szCs w:val="24"/>
        </w:rPr>
        <w:t>原住民族土地網際網路土地管理資訊系統</w:t>
      </w:r>
      <w:r>
        <w:rPr>
          <w:rFonts w:ascii="標楷體" w:eastAsia="標楷體" w:hAnsi="標楷體" w:hint="eastAsia"/>
          <w:szCs w:val="24"/>
        </w:rPr>
        <w:t>（</w:t>
      </w:r>
      <w:r w:rsidRPr="0079722F">
        <w:rPr>
          <w:rFonts w:ascii="標楷體" w:eastAsia="標楷體" w:hAnsi="標楷體" w:hint="eastAsia"/>
          <w:szCs w:val="24"/>
        </w:rPr>
        <w:t>下稱土管系統</w:t>
      </w:r>
      <w:r>
        <w:rPr>
          <w:rFonts w:ascii="標楷體" w:eastAsia="標楷體" w:hAnsi="標楷體" w:hint="eastAsia"/>
          <w:szCs w:val="24"/>
        </w:rPr>
        <w:t>）</w:t>
      </w:r>
      <w:r w:rsidRPr="0079722F">
        <w:rPr>
          <w:rFonts w:ascii="標楷體" w:eastAsia="標楷體" w:hAnsi="標楷體" w:hint="eastAsia"/>
          <w:szCs w:val="24"/>
        </w:rPr>
        <w:t>新增「占用及使用補償金」模組，責請各公所依占用處理標準作業程序，至土管系統登錄占用案件各階段處理有關資料，作為</w:t>
      </w:r>
      <w:r>
        <w:rPr>
          <w:rFonts w:ascii="標楷體" w:eastAsia="標楷體" w:hAnsi="標楷體" w:hint="eastAsia"/>
          <w:szCs w:val="24"/>
        </w:rPr>
        <w:t>原住民族委員會</w:t>
      </w:r>
      <w:r w:rsidRPr="0079722F">
        <w:rPr>
          <w:rFonts w:ascii="標楷體" w:eastAsia="標楷體" w:hAnsi="標楷體" w:hint="eastAsia"/>
          <w:szCs w:val="24"/>
        </w:rPr>
        <w:t>管理國有原保地被占用案件之準據。截至112年底止，土管系統列管國有原保地被占用案件合計1,386錄、面積774.62公頃</w:t>
      </w:r>
      <w:r>
        <w:rPr>
          <w:rFonts w:ascii="標楷體" w:eastAsia="標楷體" w:hAnsi="標楷體" w:hint="eastAsia"/>
          <w:szCs w:val="24"/>
        </w:rPr>
        <w:t>，又</w:t>
      </w:r>
      <w:r w:rsidRPr="00137F4E">
        <w:rPr>
          <w:rFonts w:ascii="標楷體" w:eastAsia="標楷體" w:hAnsi="標楷體" w:hint="eastAsia"/>
          <w:szCs w:val="24"/>
        </w:rPr>
        <w:t>據</w:t>
      </w:r>
      <w:r>
        <w:rPr>
          <w:rFonts w:ascii="標楷體" w:eastAsia="標楷體" w:hAnsi="標楷體" w:hint="eastAsia"/>
          <w:szCs w:val="24"/>
        </w:rPr>
        <w:t>原住民族委員會</w:t>
      </w:r>
      <w:r w:rsidRPr="00137F4E">
        <w:rPr>
          <w:rFonts w:ascii="標楷體" w:eastAsia="標楷體" w:hAnsi="標楷體" w:hint="eastAsia"/>
          <w:szCs w:val="24"/>
        </w:rPr>
        <w:t>統計，110至112年度就國有原保地被占用案件收取使用補償金解繳</w:t>
      </w:r>
      <w:r w:rsidRPr="00137F4E">
        <w:rPr>
          <w:rFonts w:ascii="標楷體" w:eastAsia="標楷體" w:hAnsi="標楷體" w:hint="eastAsia"/>
          <w:szCs w:val="24"/>
        </w:rPr>
        <w:lastRenderedPageBreak/>
        <w:t>國庫</w:t>
      </w:r>
      <w:r>
        <w:rPr>
          <w:rFonts w:ascii="標楷體" w:eastAsia="標楷體" w:hAnsi="標楷體" w:hint="eastAsia"/>
          <w:szCs w:val="24"/>
        </w:rPr>
        <w:t>合計3</w:t>
      </w:r>
      <w:r>
        <w:rPr>
          <w:rFonts w:ascii="標楷體" w:eastAsia="標楷體" w:hAnsi="標楷體"/>
          <w:szCs w:val="24"/>
        </w:rPr>
        <w:t>,534</w:t>
      </w:r>
      <w:r>
        <w:rPr>
          <w:rFonts w:ascii="標楷體" w:eastAsia="標楷體" w:hAnsi="標楷體" w:hint="eastAsia"/>
          <w:szCs w:val="24"/>
        </w:rPr>
        <w:t>萬餘元。</w:t>
      </w:r>
      <w:r w:rsidRPr="0079722F">
        <w:rPr>
          <w:rFonts w:ascii="標楷體" w:eastAsia="標楷體" w:hAnsi="標楷體" w:hint="eastAsia"/>
          <w:szCs w:val="24"/>
        </w:rPr>
        <w:t>經查</w:t>
      </w:r>
      <w:r>
        <w:rPr>
          <w:rFonts w:ascii="標楷體" w:eastAsia="標楷體" w:hAnsi="標楷體" w:hint="eastAsia"/>
          <w:szCs w:val="24"/>
        </w:rPr>
        <w:t>原住民族委員會</w:t>
      </w:r>
      <w:r w:rsidRPr="0079722F">
        <w:rPr>
          <w:rFonts w:ascii="標楷體" w:eastAsia="標楷體" w:hAnsi="標楷體" w:hint="eastAsia"/>
          <w:szCs w:val="24"/>
        </w:rPr>
        <w:t>管理國有原保地被占用之清查及處理情形，核有</w:t>
      </w:r>
      <w:r w:rsidRPr="000C1289">
        <w:rPr>
          <w:rFonts w:ascii="標楷體" w:eastAsia="標楷體" w:hAnsi="標楷體" w:hint="eastAsia"/>
          <w:szCs w:val="24"/>
        </w:rPr>
        <w:t>：</w:t>
      </w:r>
      <w:r>
        <w:rPr>
          <w:rFonts w:ascii="標楷體" w:eastAsia="標楷體" w:hAnsi="標楷體" w:hint="eastAsia"/>
          <w:szCs w:val="24"/>
        </w:rPr>
        <w:t>1.原住民族委員會</w:t>
      </w:r>
      <w:r w:rsidRPr="00137F4E">
        <w:rPr>
          <w:rFonts w:ascii="標楷體" w:eastAsia="標楷體" w:hAnsi="標楷體" w:hint="eastAsia"/>
          <w:szCs w:val="24"/>
        </w:rPr>
        <w:t>於占用處理標準作業程序，明定</w:t>
      </w:r>
      <w:r>
        <w:rPr>
          <w:rFonts w:ascii="標楷體" w:eastAsia="標楷體" w:hAnsi="標楷體" w:hint="eastAsia"/>
          <w:szCs w:val="24"/>
        </w:rPr>
        <w:t>各</w:t>
      </w:r>
      <w:r w:rsidRPr="00137F4E">
        <w:rPr>
          <w:rFonts w:ascii="標楷體" w:eastAsia="標楷體" w:hAnsi="標楷體" w:hint="eastAsia"/>
          <w:szCs w:val="24"/>
        </w:rPr>
        <w:t>公所應擬具年度清查及占用處理計畫，逐年分區清查轄管國有原保地之使用情形，期能掌握國有原保地使用全貌，完整納管被占用案件，惟</w:t>
      </w:r>
      <w:r>
        <w:rPr>
          <w:rFonts w:ascii="標楷體" w:eastAsia="標楷體" w:hAnsi="標楷體" w:hint="eastAsia"/>
          <w:szCs w:val="24"/>
        </w:rPr>
        <w:t>該會</w:t>
      </w:r>
      <w:r w:rsidRPr="00137F4E">
        <w:rPr>
          <w:rFonts w:ascii="標楷體" w:eastAsia="標楷體" w:hAnsi="標楷體" w:hint="eastAsia"/>
          <w:szCs w:val="24"/>
        </w:rPr>
        <w:t>未審慎衡酌各公所人力有限、原保地幅員遼闊及巡管不易等固有限制，妥善設計公所執行良窳之獎懲機制及配套考核措施，並挹注</w:t>
      </w:r>
      <w:r>
        <w:rPr>
          <w:rFonts w:ascii="標楷體" w:eastAsia="標楷體" w:hAnsi="標楷體" w:hint="eastAsia"/>
          <w:szCs w:val="24"/>
        </w:rPr>
        <w:t>適足</w:t>
      </w:r>
      <w:r w:rsidRPr="00137F4E">
        <w:rPr>
          <w:rFonts w:ascii="標楷體" w:eastAsia="標楷體" w:hAnsi="標楷體" w:hint="eastAsia"/>
          <w:szCs w:val="24"/>
        </w:rPr>
        <w:t>人力或經費等資源，自上開作業程序實施迄至113年3月底止已8年餘，各公所仍普遍未落實清查工作，</w:t>
      </w:r>
      <w:r>
        <w:rPr>
          <w:rFonts w:ascii="標楷體" w:eastAsia="標楷體" w:hAnsi="標楷體" w:hint="eastAsia"/>
          <w:szCs w:val="24"/>
        </w:rPr>
        <w:t>原住民族委員會</w:t>
      </w:r>
      <w:r w:rsidRPr="00137F4E">
        <w:rPr>
          <w:rFonts w:ascii="標楷體" w:eastAsia="標楷體" w:hAnsi="標楷體" w:hint="eastAsia"/>
          <w:szCs w:val="24"/>
        </w:rPr>
        <w:t>亦未落實管控執行情形，致遲未完整掌握國有原保地使用</w:t>
      </w:r>
      <w:r>
        <w:rPr>
          <w:rFonts w:ascii="標楷體" w:eastAsia="標楷體" w:hAnsi="標楷體" w:hint="eastAsia"/>
          <w:szCs w:val="24"/>
        </w:rPr>
        <w:t>全貌，</w:t>
      </w:r>
      <w:r w:rsidRPr="00137F4E">
        <w:rPr>
          <w:rFonts w:ascii="標楷體" w:eastAsia="標楷體" w:hAnsi="標楷體" w:hint="eastAsia"/>
          <w:szCs w:val="24"/>
        </w:rPr>
        <w:t>按本部</w:t>
      </w:r>
      <w:r>
        <w:rPr>
          <w:rFonts w:ascii="標楷體" w:eastAsia="標楷體" w:hAnsi="標楷體" w:hint="eastAsia"/>
          <w:szCs w:val="24"/>
        </w:rPr>
        <w:t>經</w:t>
      </w:r>
      <w:r w:rsidRPr="00137F4E">
        <w:rPr>
          <w:rFonts w:ascii="標楷體" w:eastAsia="標楷體" w:hAnsi="標楷體" w:hint="eastAsia"/>
          <w:szCs w:val="24"/>
        </w:rPr>
        <w:t>運用圖資套疊，以及跨</w:t>
      </w:r>
      <w:r>
        <w:rPr>
          <w:rFonts w:ascii="標楷體" w:eastAsia="標楷體" w:hAnsi="標楷體" w:hint="eastAsia"/>
          <w:szCs w:val="24"/>
        </w:rPr>
        <w:t>部會及地方政府</w:t>
      </w:r>
      <w:r w:rsidRPr="00137F4E">
        <w:rPr>
          <w:rFonts w:ascii="標楷體" w:eastAsia="標楷體" w:hAnsi="標楷體" w:hint="eastAsia"/>
          <w:szCs w:val="24"/>
        </w:rPr>
        <w:t>資料</w:t>
      </w:r>
      <w:r>
        <w:rPr>
          <w:rFonts w:ascii="標楷體" w:eastAsia="標楷體" w:hAnsi="標楷體" w:hint="eastAsia"/>
          <w:szCs w:val="24"/>
        </w:rPr>
        <w:t>勾稽</w:t>
      </w:r>
      <w:r w:rsidRPr="00137F4E">
        <w:rPr>
          <w:rFonts w:ascii="標楷體" w:eastAsia="標楷體" w:hAnsi="標楷體" w:hint="eastAsia"/>
          <w:szCs w:val="24"/>
        </w:rPr>
        <w:t>比對，暨抽案實地查證結果，</w:t>
      </w:r>
      <w:r>
        <w:rPr>
          <w:rFonts w:ascii="標楷體" w:eastAsia="標楷體" w:hAnsi="標楷體" w:hint="eastAsia"/>
          <w:szCs w:val="24"/>
        </w:rPr>
        <w:t>推估恐有逾千件國有原保地遭建築占用案件</w:t>
      </w:r>
      <w:r w:rsidRPr="008364EB">
        <w:rPr>
          <w:rFonts w:ascii="標楷體" w:eastAsia="標楷體" w:hAnsi="標楷體" w:hint="eastAsia"/>
          <w:szCs w:val="24"/>
        </w:rPr>
        <w:t>尚未納管</w:t>
      </w:r>
      <w:r w:rsidR="008364EB" w:rsidRPr="008364EB">
        <w:rPr>
          <w:rFonts w:ascii="標楷體" w:eastAsia="標楷體" w:hAnsi="標楷體" w:hint="eastAsia"/>
          <w:szCs w:val="24"/>
        </w:rPr>
        <w:t>，</w:t>
      </w:r>
      <w:r w:rsidR="008364EB">
        <w:rPr>
          <w:rFonts w:ascii="標楷體" w:eastAsia="標楷體" w:hAnsi="標楷體" w:hint="eastAsia"/>
          <w:szCs w:val="24"/>
        </w:rPr>
        <w:t>存有相當黑數</w:t>
      </w:r>
      <w:r>
        <w:rPr>
          <w:rFonts w:ascii="標楷體" w:eastAsia="標楷體" w:hAnsi="標楷體" w:hint="eastAsia"/>
          <w:szCs w:val="24"/>
        </w:rPr>
        <w:t>，</w:t>
      </w:r>
      <w:r w:rsidRPr="00137F4E">
        <w:rPr>
          <w:rFonts w:ascii="標楷體" w:eastAsia="標楷體" w:hAnsi="標楷體" w:hint="eastAsia"/>
          <w:szCs w:val="24"/>
        </w:rPr>
        <w:t>未符公平正義及損害原住民權益，又原保地多位處山坡地，部分甚至位處山崩與地滑地質敏感區，倘遭不當占用而未被妥善進行水土保持維護，致災風險恐與日俱增，影響國土資源保育、公共安全甚巨</w:t>
      </w:r>
      <w:r>
        <w:rPr>
          <w:rFonts w:ascii="標楷體" w:eastAsia="標楷體" w:hAnsi="標楷體" w:hint="eastAsia"/>
          <w:szCs w:val="24"/>
        </w:rPr>
        <w:t>；2.原住民族委員會</w:t>
      </w:r>
      <w:r w:rsidRPr="0063674D">
        <w:rPr>
          <w:rFonts w:ascii="標楷體" w:eastAsia="標楷體" w:hAnsi="標楷體" w:hint="eastAsia"/>
          <w:szCs w:val="24"/>
        </w:rPr>
        <w:t>對於經管</w:t>
      </w:r>
      <w:r>
        <w:rPr>
          <w:rFonts w:ascii="標楷體" w:eastAsia="標楷體" w:hAnsi="標楷體" w:hint="eastAsia"/>
          <w:szCs w:val="24"/>
        </w:rPr>
        <w:t>國有原保地</w:t>
      </w:r>
      <w:r w:rsidRPr="0063674D">
        <w:rPr>
          <w:rFonts w:ascii="標楷體" w:eastAsia="標楷體" w:hAnsi="標楷體" w:hint="eastAsia"/>
          <w:szCs w:val="24"/>
        </w:rPr>
        <w:t>遭占用</w:t>
      </w:r>
      <w:r>
        <w:rPr>
          <w:rFonts w:ascii="標楷體" w:eastAsia="標楷體" w:hAnsi="標楷體" w:hint="eastAsia"/>
          <w:szCs w:val="24"/>
        </w:rPr>
        <w:t>案件</w:t>
      </w:r>
      <w:r w:rsidRPr="0063674D">
        <w:rPr>
          <w:rFonts w:ascii="標楷體" w:eastAsia="標楷體" w:hAnsi="標楷體" w:hint="eastAsia"/>
          <w:szCs w:val="24"/>
        </w:rPr>
        <w:t>，長年未透過系統性分類以探究成因及問題癥結，據以研提具體對策，並明定處理目標，又未督導各公所落實擬具年度占用處理計畫，並配合籌編、挹注必要資源，各公所執行排除占用遇有相當窒礙，成效低落，國有原保地被占用列管之錄數、面積</w:t>
      </w:r>
      <w:r>
        <w:rPr>
          <w:rFonts w:ascii="標楷體" w:eastAsia="標楷體" w:hAnsi="標楷體" w:hint="eastAsia"/>
          <w:szCs w:val="24"/>
        </w:rPr>
        <w:t>，自108年底之943錄、408.99公頃，</w:t>
      </w:r>
      <w:r w:rsidRPr="0063674D">
        <w:rPr>
          <w:rFonts w:ascii="標楷體" w:eastAsia="標楷體" w:hAnsi="標楷體" w:hint="eastAsia"/>
          <w:szCs w:val="24"/>
        </w:rPr>
        <w:t>逐年攀升</w:t>
      </w:r>
      <w:r>
        <w:rPr>
          <w:rFonts w:ascii="標楷體" w:eastAsia="標楷體" w:hAnsi="標楷體" w:hint="eastAsia"/>
          <w:szCs w:val="24"/>
        </w:rPr>
        <w:t>至112年底之1,386錄、774.62公頃，面積增幅89.40％，且截至112年底被占用達5年以上案件約占8成</w:t>
      </w:r>
      <w:r w:rsidRPr="0063674D">
        <w:rPr>
          <w:rFonts w:ascii="標楷體" w:eastAsia="標楷體" w:hAnsi="標楷體" w:hint="eastAsia"/>
          <w:szCs w:val="24"/>
        </w:rPr>
        <w:t>，</w:t>
      </w:r>
      <w:r>
        <w:rPr>
          <w:rFonts w:ascii="標楷體" w:eastAsia="標楷體" w:hAnsi="標楷體" w:hint="eastAsia"/>
          <w:szCs w:val="24"/>
        </w:rPr>
        <w:t>顯示</w:t>
      </w:r>
      <w:r w:rsidRPr="0063674D">
        <w:rPr>
          <w:rFonts w:ascii="標楷體" w:eastAsia="標楷體" w:hAnsi="標楷體" w:hint="eastAsia"/>
          <w:szCs w:val="24"/>
        </w:rPr>
        <w:t>多數案件久懸未決，</w:t>
      </w:r>
      <w:r>
        <w:rPr>
          <w:rFonts w:ascii="標楷體" w:eastAsia="標楷體" w:hAnsi="標楷體" w:hint="eastAsia"/>
          <w:szCs w:val="24"/>
        </w:rPr>
        <w:t>原住民族委員會</w:t>
      </w:r>
      <w:r w:rsidRPr="0063674D">
        <w:rPr>
          <w:rFonts w:ascii="標楷體" w:eastAsia="標楷體" w:hAnsi="標楷體" w:hint="eastAsia"/>
          <w:szCs w:val="24"/>
        </w:rPr>
        <w:t>對於國有原保地被占用之督導管理及查處效能</w:t>
      </w:r>
      <w:r>
        <w:rPr>
          <w:rFonts w:ascii="標楷體" w:eastAsia="標楷體" w:hAnsi="標楷體" w:hint="eastAsia"/>
          <w:szCs w:val="24"/>
        </w:rPr>
        <w:t>不彰；3.原住民族委員會</w:t>
      </w:r>
      <w:r w:rsidRPr="0063674D">
        <w:rPr>
          <w:rFonts w:ascii="標楷體" w:eastAsia="標楷體" w:hAnsi="標楷體" w:hint="eastAsia"/>
          <w:szCs w:val="24"/>
        </w:rPr>
        <w:t>為落實被占用國有原保地案件收取使用補償金，</w:t>
      </w:r>
      <w:r>
        <w:rPr>
          <w:rFonts w:ascii="標楷體" w:eastAsia="標楷體" w:hAnsi="標楷體" w:hint="eastAsia"/>
          <w:szCs w:val="24"/>
        </w:rPr>
        <w:t>雖</w:t>
      </w:r>
      <w:r w:rsidRPr="0063674D">
        <w:rPr>
          <w:rFonts w:ascii="標楷體" w:eastAsia="標楷體" w:hAnsi="標楷體" w:hint="eastAsia"/>
          <w:szCs w:val="24"/>
        </w:rPr>
        <w:t>於占用處理標準作業程序訂定</w:t>
      </w:r>
      <w:r w:rsidRPr="008364EB">
        <w:rPr>
          <w:rFonts w:ascii="標楷體" w:eastAsia="標楷體" w:hAnsi="標楷體" w:hint="eastAsia"/>
          <w:spacing w:val="-2"/>
          <w:szCs w:val="24"/>
        </w:rPr>
        <w:t>地方政府就占用人為非原住民、無法查知者及不符合權利回復條件之原住民等被占用案件，應向占用人收取使用補償金，逕匯原住民族委員會之國庫帳戶，解繳國庫等應辦事項，惟因欠乏具體明確之細緻規範，又土管系統相關功能偏屬行政輔助性質，就未持續收取使用補償金之列管案件尚乏異常警示、訴訟進度管控、輔助核算使用補償金等積極功能，且各公所於土管系統開單與資料填報不具強制性，原住民族委員會又未採取其他有效之督導管控作為，各公所就列管占用案件，近6成於112年度未開單通知占用人繳納使用補償金，恐肇致政府債權受損；又截至113年2月底止，新竹縣關西鎮公所等6個公所收取截至112年底止之使用補償金，合計137萬餘元，仍滯存鄉（鎮）庫，未及時繳納國庫，衍生現金管理風險等情</w:t>
      </w:r>
      <w:r w:rsidR="00C50E65" w:rsidRPr="008364EB">
        <w:rPr>
          <w:rFonts w:ascii="標楷體" w:eastAsia="標楷體" w:hAnsi="標楷體" w:hint="eastAsia"/>
          <w:spacing w:val="-2"/>
          <w:szCs w:val="24"/>
        </w:rPr>
        <w:t>事</w:t>
      </w:r>
      <w:r w:rsidRPr="008364EB">
        <w:rPr>
          <w:rFonts w:ascii="標楷體" w:eastAsia="標楷體" w:hAnsi="標楷體" w:hint="eastAsia"/>
          <w:spacing w:val="-2"/>
          <w:szCs w:val="24"/>
        </w:rPr>
        <w:t>。經函請行政院督促原住民族委員會妥為探究問題癥結及其肇因，研議具體改善措施，以善盡管理國有原保地責任，維護公平正義及原住民權益。</w:t>
      </w:r>
      <w:r w:rsidR="00933229" w:rsidRPr="008364EB">
        <w:rPr>
          <w:rFonts w:ascii="標楷體" w:eastAsia="標楷體" w:hAnsi="標楷體" w:hint="eastAsia"/>
          <w:spacing w:val="-2"/>
          <w:szCs w:val="24"/>
        </w:rPr>
        <w:t>據復：</w:t>
      </w:r>
      <w:r w:rsidR="00B069A9" w:rsidRPr="008364EB">
        <w:rPr>
          <w:rFonts w:ascii="標楷體" w:eastAsia="標楷體" w:hAnsi="標楷體" w:hint="eastAsia"/>
          <w:spacing w:val="-2"/>
          <w:szCs w:val="24"/>
        </w:rPr>
        <w:t>已於</w:t>
      </w:r>
      <w:r w:rsidR="00B069A9" w:rsidRPr="008364EB">
        <w:rPr>
          <w:rFonts w:ascii="標楷體" w:eastAsia="標楷體" w:hAnsi="標楷體"/>
          <w:spacing w:val="-2"/>
          <w:szCs w:val="24"/>
        </w:rPr>
        <w:t>113</w:t>
      </w:r>
      <w:r w:rsidR="00B069A9" w:rsidRPr="008364EB">
        <w:rPr>
          <w:rFonts w:ascii="標楷體" w:eastAsia="標楷體" w:hAnsi="標楷體" w:hint="eastAsia"/>
          <w:spacing w:val="-2"/>
          <w:szCs w:val="24"/>
        </w:rPr>
        <w:t>年</w:t>
      </w:r>
      <w:r w:rsidR="00B069A9" w:rsidRPr="008364EB">
        <w:rPr>
          <w:rFonts w:ascii="標楷體" w:eastAsia="標楷體" w:hAnsi="標楷體"/>
          <w:spacing w:val="-2"/>
          <w:szCs w:val="24"/>
        </w:rPr>
        <w:t>6月27日函請原住民族委員會研謀改善。</w:t>
      </w:r>
    </w:p>
    <w:p w14:paraId="4F259962" w14:textId="12B7CE1F" w:rsidR="00A15E84" w:rsidRPr="00D6249E" w:rsidRDefault="00D6249E" w:rsidP="006852E1">
      <w:pPr>
        <w:widowControl/>
        <w:overflowPunct w:val="0"/>
        <w:spacing w:beforeLines="20" w:before="72" w:afterLines="20" w:after="72" w:line="430" w:lineRule="exact"/>
        <w:ind w:firstLineChars="200" w:firstLine="561"/>
        <w:jc w:val="both"/>
        <w:outlineLvl w:val="1"/>
        <w:rPr>
          <w:rFonts w:hAnsi="標楷體"/>
          <w:color w:val="000000" w:themeColor="text1"/>
          <w:szCs w:val="24"/>
        </w:rPr>
      </w:pPr>
      <w:r w:rsidRPr="00757893">
        <w:rPr>
          <w:rFonts w:ascii="標楷體" w:eastAsia="標楷體" w:hAnsi="標楷體" w:hint="eastAsia"/>
          <w:b/>
          <w:color w:val="000000" w:themeColor="text1"/>
          <w:sz w:val="28"/>
          <w:szCs w:val="28"/>
        </w:rPr>
        <w:t>（</w:t>
      </w:r>
      <w:r w:rsidR="001752E4">
        <w:rPr>
          <w:rFonts w:ascii="標楷體" w:eastAsia="標楷體" w:hAnsi="標楷體" w:hint="eastAsia"/>
          <w:b/>
          <w:color w:val="000000" w:themeColor="text1"/>
          <w:sz w:val="28"/>
          <w:szCs w:val="28"/>
        </w:rPr>
        <w:t>二</w:t>
      </w:r>
      <w:r>
        <w:rPr>
          <w:rFonts w:ascii="標楷體" w:eastAsia="標楷體" w:hAnsi="標楷體" w:hint="eastAsia"/>
          <w:b/>
          <w:color w:val="000000" w:themeColor="text1"/>
          <w:sz w:val="28"/>
          <w:szCs w:val="28"/>
        </w:rPr>
        <w:t>十</w:t>
      </w:r>
      <w:r w:rsidR="00781889">
        <w:rPr>
          <w:rFonts w:ascii="標楷體" w:eastAsia="標楷體" w:hAnsi="標楷體" w:hint="eastAsia"/>
          <w:b/>
          <w:color w:val="000000" w:themeColor="text1"/>
          <w:sz w:val="28"/>
          <w:szCs w:val="28"/>
        </w:rPr>
        <w:t>七</w:t>
      </w:r>
      <w:r w:rsidRPr="00757893">
        <w:rPr>
          <w:rFonts w:ascii="標楷體" w:eastAsia="標楷體" w:hAnsi="標楷體" w:hint="eastAsia"/>
          <w:b/>
          <w:color w:val="000000" w:themeColor="text1"/>
          <w:sz w:val="28"/>
          <w:szCs w:val="28"/>
        </w:rPr>
        <w:t>）</w:t>
      </w:r>
      <w:r w:rsidRPr="00D6249E">
        <w:rPr>
          <w:rFonts w:ascii="標楷體" w:eastAsia="標楷體" w:hAnsi="標楷體" w:hint="eastAsia"/>
          <w:b/>
          <w:color w:val="000000" w:themeColor="text1"/>
          <w:sz w:val="28"/>
          <w:szCs w:val="28"/>
        </w:rPr>
        <w:t xml:space="preserve">　政府推動民族教育，有助於原住民學生學習傳統文化，惟權責機關尚未依法訂定課程內容，辦理推展民族教育相關補助計畫申請比率偏低，又發展原住民族知識體系委託開發各族群課程模組，間有未落實審議程序、尚待納為師資培育課程等情，均待研謀改善。</w:t>
      </w:r>
    </w:p>
    <w:p w14:paraId="34908E4C" w14:textId="6A90745C" w:rsidR="00D6249E" w:rsidRDefault="00D6249E" w:rsidP="00D6249E">
      <w:pPr>
        <w:overflowPunct w:val="0"/>
        <w:spacing w:line="430" w:lineRule="exact"/>
        <w:ind w:firstLineChars="200" w:firstLine="480"/>
        <w:jc w:val="both"/>
        <w:rPr>
          <w:rFonts w:ascii="標楷體" w:eastAsia="標楷體" w:hAnsi="標楷體"/>
          <w:szCs w:val="24"/>
        </w:rPr>
      </w:pPr>
      <w:r w:rsidRPr="00915633">
        <w:rPr>
          <w:rFonts w:ascii="標楷體" w:eastAsia="標楷體" w:hAnsi="標楷體" w:hint="eastAsia"/>
          <w:szCs w:val="24"/>
        </w:rPr>
        <w:t>政府為保障原住民族教育之權利，培育原住民族所需人才，於87年5月制定公布原住民族</w:t>
      </w:r>
      <w:r w:rsidRPr="00915633">
        <w:rPr>
          <w:rFonts w:ascii="標楷體" w:eastAsia="標楷體" w:hAnsi="標楷體" w:hint="eastAsia"/>
          <w:szCs w:val="24"/>
        </w:rPr>
        <w:lastRenderedPageBreak/>
        <w:t>教育法，明定原住民族教育分為原住民族之一般教育及民族教育，其中民族教育係指依原住民族文化特性，對原住民學生所實施之民族知識教育，由原住民族主管機關</w:t>
      </w:r>
      <w:r w:rsidR="00C2362F" w:rsidRPr="00C2362F">
        <w:rPr>
          <w:rFonts w:ascii="標楷體" w:eastAsia="標楷體" w:hAnsi="標楷體" w:hint="eastAsia"/>
          <w:szCs w:val="24"/>
        </w:rPr>
        <w:t>（</w:t>
      </w:r>
      <w:r w:rsidRPr="00915633">
        <w:rPr>
          <w:rFonts w:ascii="標楷體" w:eastAsia="標楷體" w:hAnsi="標楷體" w:hint="eastAsia"/>
          <w:szCs w:val="24"/>
        </w:rPr>
        <w:t>原</w:t>
      </w:r>
      <w:r>
        <w:rPr>
          <w:rFonts w:ascii="標楷體" w:eastAsia="標楷體" w:hAnsi="標楷體" w:hint="eastAsia"/>
          <w:szCs w:val="24"/>
        </w:rPr>
        <w:t>住</w:t>
      </w:r>
      <w:r w:rsidRPr="00915633">
        <w:rPr>
          <w:rFonts w:ascii="標楷體" w:eastAsia="標楷體" w:hAnsi="標楷體" w:hint="eastAsia"/>
          <w:szCs w:val="24"/>
        </w:rPr>
        <w:t>民</w:t>
      </w:r>
      <w:r>
        <w:rPr>
          <w:rFonts w:ascii="標楷體" w:eastAsia="標楷體" w:hAnsi="標楷體" w:hint="eastAsia"/>
          <w:szCs w:val="24"/>
        </w:rPr>
        <w:t>族委員</w:t>
      </w:r>
      <w:r w:rsidRPr="00915633">
        <w:rPr>
          <w:rFonts w:ascii="標楷體" w:eastAsia="標楷體" w:hAnsi="標楷體" w:hint="eastAsia"/>
          <w:szCs w:val="24"/>
        </w:rPr>
        <w:t>會</w:t>
      </w:r>
      <w:r w:rsidR="006C41C5" w:rsidRPr="006C41C5">
        <w:rPr>
          <w:rFonts w:ascii="標楷體" w:eastAsia="標楷體" w:hAnsi="標楷體" w:hint="eastAsia"/>
          <w:szCs w:val="24"/>
        </w:rPr>
        <w:t>）</w:t>
      </w:r>
      <w:r w:rsidRPr="00915633">
        <w:rPr>
          <w:rFonts w:ascii="標楷體" w:eastAsia="標楷體" w:hAnsi="標楷體" w:hint="eastAsia"/>
          <w:szCs w:val="24"/>
        </w:rPr>
        <w:t>規劃辦理，並會同教育主管機關</w:t>
      </w:r>
      <w:r w:rsidR="00C2362F" w:rsidRPr="00C2362F">
        <w:rPr>
          <w:rFonts w:ascii="標楷體" w:eastAsia="標楷體" w:hAnsi="標楷體" w:hint="eastAsia"/>
          <w:szCs w:val="24"/>
        </w:rPr>
        <w:t>（</w:t>
      </w:r>
      <w:r w:rsidRPr="00915633">
        <w:rPr>
          <w:rFonts w:ascii="標楷體" w:eastAsia="標楷體" w:hAnsi="標楷體" w:hint="eastAsia"/>
          <w:szCs w:val="24"/>
        </w:rPr>
        <w:t>教育部</w:t>
      </w:r>
      <w:r w:rsidR="006C41C5" w:rsidRPr="006C41C5">
        <w:rPr>
          <w:rFonts w:ascii="標楷體" w:eastAsia="標楷體" w:hAnsi="標楷體" w:hint="eastAsia"/>
          <w:szCs w:val="24"/>
        </w:rPr>
        <w:t>）</w:t>
      </w:r>
      <w:r>
        <w:rPr>
          <w:rFonts w:ascii="標楷體" w:eastAsia="標楷體" w:hAnsi="標楷體" w:hint="eastAsia"/>
          <w:szCs w:val="24"/>
        </w:rPr>
        <w:t>為之，</w:t>
      </w:r>
      <w:r w:rsidRPr="00915633">
        <w:rPr>
          <w:rFonts w:ascii="標楷體" w:eastAsia="標楷體" w:hAnsi="標楷體" w:hint="eastAsia"/>
          <w:szCs w:val="24"/>
        </w:rPr>
        <w:t>高級中等以下學校於原住民學生就讀時，應對其實施民族教育</w:t>
      </w:r>
      <w:r>
        <w:rPr>
          <w:rFonts w:ascii="標楷體" w:eastAsia="標楷體" w:hAnsi="標楷體" w:hint="eastAsia"/>
          <w:szCs w:val="24"/>
        </w:rPr>
        <w:t>等。經查政府推動民族教育情形，</w:t>
      </w:r>
      <w:r w:rsidRPr="00D06AAA">
        <w:rPr>
          <w:rFonts w:ascii="標楷體" w:eastAsia="標楷體" w:hAnsi="標楷體" w:hint="eastAsia"/>
          <w:szCs w:val="24"/>
        </w:rPr>
        <w:t>核有</w:t>
      </w:r>
      <w:r>
        <w:rPr>
          <w:rFonts w:ascii="標楷體" w:eastAsia="標楷體" w:hAnsi="標楷體" w:hint="eastAsia"/>
          <w:szCs w:val="24"/>
        </w:rPr>
        <w:t>下列事項</w:t>
      </w:r>
      <w:r w:rsidRPr="00D06AAA">
        <w:rPr>
          <w:rFonts w:ascii="標楷體" w:eastAsia="標楷體" w:hAnsi="標楷體" w:hint="eastAsia"/>
          <w:szCs w:val="24"/>
        </w:rPr>
        <w:t>：</w:t>
      </w:r>
    </w:p>
    <w:p w14:paraId="28AFDBD8" w14:textId="3BBB4A2A" w:rsidR="00D6249E" w:rsidRDefault="009C6696" w:rsidP="00D6249E">
      <w:pPr>
        <w:overflowPunct w:val="0"/>
        <w:spacing w:line="430" w:lineRule="exact"/>
        <w:ind w:firstLineChars="450" w:firstLine="1440"/>
        <w:jc w:val="both"/>
        <w:rPr>
          <w:rFonts w:ascii="標楷體" w:eastAsia="標楷體" w:hAnsi="標楷體"/>
          <w:szCs w:val="24"/>
        </w:rPr>
      </w:pPr>
      <w:r w:rsidRPr="00070062">
        <w:rPr>
          <w:rFonts w:ascii="標楷體" w:eastAsia="標楷體" w:hAnsi="標楷體" w:hint="eastAsia"/>
          <w:noProof/>
          <w:sz w:val="32"/>
          <w:szCs w:val="32"/>
        </w:rPr>
        <mc:AlternateContent>
          <mc:Choice Requires="wps">
            <w:drawing>
              <wp:anchor distT="0" distB="0" distL="114300" distR="114300" simplePos="0" relativeHeight="251666432" behindDoc="0" locked="0" layoutInCell="1" allowOverlap="1" wp14:anchorId="5B0B4537" wp14:editId="32CF4035">
                <wp:simplePos x="0" y="0"/>
                <wp:positionH relativeFrom="margin">
                  <wp:posOffset>174625</wp:posOffset>
                </wp:positionH>
                <wp:positionV relativeFrom="paragraph">
                  <wp:posOffset>4776470</wp:posOffset>
                </wp:positionV>
                <wp:extent cx="6045200" cy="3020060"/>
                <wp:effectExtent l="0" t="0" r="0" b="0"/>
                <wp:wrapTopAndBottom/>
                <wp:docPr id="37" name="文字方塊 37"/>
                <wp:cNvGraphicFramePr/>
                <a:graphic xmlns:a="http://schemas.openxmlformats.org/drawingml/2006/main">
                  <a:graphicData uri="http://schemas.microsoft.com/office/word/2010/wordprocessingShape">
                    <wps:wsp>
                      <wps:cNvSpPr txBox="1"/>
                      <wps:spPr>
                        <a:xfrm>
                          <a:off x="0" y="0"/>
                          <a:ext cx="6045200" cy="3020060"/>
                        </a:xfrm>
                        <a:prstGeom prst="rect">
                          <a:avLst/>
                        </a:prstGeom>
                        <a:noFill/>
                        <a:ln w="6350">
                          <a:noFill/>
                        </a:ln>
                      </wps:spPr>
                      <wps:txbx>
                        <w:txbxContent>
                          <w:p w14:paraId="79A01A18" w14:textId="5A4A1FD7" w:rsidR="00A0212B" w:rsidRPr="00F55CAF" w:rsidRDefault="00A0212B" w:rsidP="00D6249E">
                            <w:pPr>
                              <w:jc w:val="center"/>
                              <w:rPr>
                                <w:rFonts w:ascii="標楷體" w:eastAsia="標楷體" w:hAnsi="標楷體"/>
                                <w:b/>
                              </w:rPr>
                            </w:pPr>
                            <w:r w:rsidRPr="00F55CAF">
                              <w:rPr>
                                <w:rFonts w:ascii="標楷體" w:eastAsia="標楷體" w:hAnsi="標楷體" w:hint="eastAsia"/>
                                <w:b/>
                              </w:rPr>
                              <w:t>圖</w:t>
                            </w:r>
                            <w:r>
                              <w:rPr>
                                <w:rFonts w:ascii="標楷體" w:eastAsia="標楷體" w:hAnsi="標楷體"/>
                                <w:b/>
                              </w:rPr>
                              <w:t>17</w:t>
                            </w:r>
                            <w:r>
                              <w:rPr>
                                <w:rFonts w:ascii="標楷體" w:eastAsia="標楷體" w:hAnsi="標楷體" w:hint="eastAsia"/>
                                <w:b/>
                              </w:rPr>
                              <w:t xml:space="preserve">　111學年度</w:t>
                            </w:r>
                            <w:r w:rsidRPr="00F55CAF">
                              <w:rPr>
                                <w:rFonts w:ascii="標楷體" w:eastAsia="標楷體" w:hAnsi="標楷體" w:hint="eastAsia"/>
                                <w:b/>
                              </w:rPr>
                              <w:t>高中以下</w:t>
                            </w:r>
                            <w:r w:rsidRPr="00F55CAF">
                              <w:rPr>
                                <w:rFonts w:ascii="標楷體" w:eastAsia="標楷體" w:hAnsi="標楷體"/>
                                <w:b/>
                              </w:rPr>
                              <w:t>原住民學生就讀學校情形</w:t>
                            </w:r>
                          </w:p>
                          <w:p w14:paraId="0E16042E" w14:textId="77777777" w:rsidR="00A0212B" w:rsidRPr="00D46BD7" w:rsidRDefault="00A0212B" w:rsidP="00D6249E">
                            <w:pPr>
                              <w:rPr>
                                <w:rFonts w:ascii="標楷體" w:eastAsia="標楷體" w:hAnsi="標楷體"/>
                              </w:rPr>
                            </w:pPr>
                            <w:r>
                              <w:rPr>
                                <w:noProof/>
                              </w:rPr>
                              <w:drawing>
                                <wp:inline distT="0" distB="0" distL="0" distR="0" wp14:anchorId="20F8C65D" wp14:editId="02DEB348">
                                  <wp:extent cx="5844487" cy="2231648"/>
                                  <wp:effectExtent l="0" t="0" r="4445" b="0"/>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DAB1D1E" w14:textId="77777777" w:rsidR="00A0212B" w:rsidRDefault="00A0212B" w:rsidP="00D6249E">
                            <w:pPr>
                              <w:spacing w:line="200" w:lineRule="exact"/>
                              <w:ind w:left="900" w:hangingChars="500" w:hanging="900"/>
                              <w:jc w:val="both"/>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1.</w:t>
                            </w:r>
                            <w:r>
                              <w:rPr>
                                <w:rFonts w:ascii="標楷體" w:eastAsia="標楷體" w:hAnsi="標楷體" w:hint="eastAsia"/>
                                <w:sz w:val="18"/>
                                <w:szCs w:val="18"/>
                              </w:rPr>
                              <w:t>一般學校係</w:t>
                            </w:r>
                            <w:r>
                              <w:rPr>
                                <w:rFonts w:ascii="標楷體" w:eastAsia="標楷體" w:hAnsi="標楷體"/>
                                <w:sz w:val="18"/>
                                <w:szCs w:val="18"/>
                              </w:rPr>
                              <w:t>指非原住民重點學校且</w:t>
                            </w:r>
                            <w:r>
                              <w:rPr>
                                <w:rFonts w:ascii="標楷體" w:eastAsia="標楷體" w:hAnsi="標楷體" w:hint="eastAsia"/>
                                <w:sz w:val="18"/>
                                <w:szCs w:val="18"/>
                              </w:rPr>
                              <w:t>非</w:t>
                            </w:r>
                            <w:r>
                              <w:rPr>
                                <w:rFonts w:ascii="標楷體" w:eastAsia="標楷體" w:hAnsi="標楷體"/>
                                <w:sz w:val="18"/>
                                <w:szCs w:val="18"/>
                              </w:rPr>
                              <w:t>原住民族地區學校。</w:t>
                            </w:r>
                          </w:p>
                          <w:p w14:paraId="288901E2" w14:textId="77777777" w:rsidR="00A0212B" w:rsidRPr="00D46BD7" w:rsidRDefault="00A0212B" w:rsidP="00D6249E">
                            <w:pPr>
                              <w:spacing w:line="200" w:lineRule="exact"/>
                              <w:ind w:leftChars="150" w:left="540" w:hangingChars="100" w:hanging="180"/>
                              <w:jc w:val="both"/>
                              <w:rPr>
                                <w:rFonts w:ascii="標楷體" w:eastAsia="標楷體" w:hAnsi="標楷體"/>
                                <w:sz w:val="18"/>
                                <w:szCs w:val="18"/>
                              </w:rPr>
                            </w:pPr>
                            <w:r>
                              <w:rPr>
                                <w:rFonts w:ascii="標楷體" w:eastAsia="標楷體" w:hAnsi="標楷體"/>
                                <w:sz w:val="18"/>
                                <w:szCs w:val="18"/>
                              </w:rPr>
                              <w:t>2.</w:t>
                            </w:r>
                            <w:r w:rsidRPr="00171879">
                              <w:rPr>
                                <w:rFonts w:ascii="標楷體" w:eastAsia="標楷體" w:hAnsi="標楷體" w:hint="eastAsia"/>
                                <w:sz w:val="18"/>
                                <w:szCs w:val="18"/>
                              </w:rPr>
                              <w:t>整理自教育部「111學年度原住民學生概況統計」報告、教育部統計處公開資訊網、原住民族委員會「111</w:t>
                            </w:r>
                            <w:r>
                              <w:rPr>
                                <w:rFonts w:ascii="標楷體" w:eastAsia="標楷體" w:hAnsi="標楷體" w:hint="eastAsia"/>
                                <w:sz w:val="18"/>
                                <w:szCs w:val="18"/>
                              </w:rPr>
                              <w:t>學年度原住民族教育調查統計」報告</w:t>
                            </w:r>
                            <w:r>
                              <w:rPr>
                                <w:rFonts w:ascii="標楷體" w:eastAsia="標楷體" w:hAnsi="標楷體"/>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0B4537" id="文字方塊 37" o:spid="_x0000_s1117" type="#_x0000_t202" style="position:absolute;left:0;text-align:left;margin-left:13.75pt;margin-top:376.1pt;width:476pt;height:237.8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" filled="f" stroked="f" strokeweight=".5pt">
                <v:textbox>
                  <w:txbxContent>
                    <w:p w14:paraId="79A01A18" w14:textId="5A4A1FD7" w:rsidR="00A0212B" w:rsidRPr="00F55CAF" w:rsidRDefault="00A0212B" w:rsidP="00D6249E">
                      <w:pPr>
                        <w:jc w:val="center"/>
                        <w:rPr>
                          <w:rFonts w:ascii="標楷體" w:eastAsia="標楷體" w:hAnsi="標楷體"/>
                          <w:b/>
                        </w:rPr>
                      </w:pPr>
                      <w:r w:rsidRPr="00F55CAF">
                        <w:rPr>
                          <w:rFonts w:ascii="標楷體" w:eastAsia="標楷體" w:hAnsi="標楷體" w:hint="eastAsia"/>
                          <w:b/>
                        </w:rPr>
                        <w:t>圖</w:t>
                      </w:r>
                      <w:r>
                        <w:rPr>
                          <w:rFonts w:ascii="標楷體" w:eastAsia="標楷體" w:hAnsi="標楷體"/>
                          <w:b/>
                        </w:rPr>
                        <w:t>17</w:t>
                      </w:r>
                      <w:r>
                        <w:rPr>
                          <w:rFonts w:ascii="標楷體" w:eastAsia="標楷體" w:hAnsi="標楷體" w:hint="eastAsia"/>
                          <w:b/>
                        </w:rPr>
                        <w:t xml:space="preserve">　111學年度</w:t>
                      </w:r>
                      <w:r w:rsidRPr="00F55CAF">
                        <w:rPr>
                          <w:rFonts w:ascii="標楷體" w:eastAsia="標楷體" w:hAnsi="標楷體" w:hint="eastAsia"/>
                          <w:b/>
                        </w:rPr>
                        <w:t>高中以下</w:t>
                      </w:r>
                      <w:r w:rsidRPr="00F55CAF">
                        <w:rPr>
                          <w:rFonts w:ascii="標楷體" w:eastAsia="標楷體" w:hAnsi="標楷體"/>
                          <w:b/>
                        </w:rPr>
                        <w:t>原住民學生就讀學校情形</w:t>
                      </w:r>
                    </w:p>
                    <w:p w14:paraId="0E16042E" w14:textId="77777777" w:rsidR="00A0212B" w:rsidRPr="00D46BD7" w:rsidRDefault="00A0212B" w:rsidP="00D6249E">
                      <w:pPr>
                        <w:rPr>
                          <w:rFonts w:ascii="標楷體" w:eastAsia="標楷體" w:hAnsi="標楷體"/>
                        </w:rPr>
                      </w:pPr>
                      <w:r>
                        <w:rPr>
                          <w:noProof/>
                        </w:rPr>
                        <w:drawing>
                          <wp:inline distT="0" distB="0" distL="0" distR="0" wp14:anchorId="20F8C65D" wp14:editId="02DEB348">
                            <wp:extent cx="5844487" cy="2231648"/>
                            <wp:effectExtent l="0" t="0" r="4445" b="0"/>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7DAB1D1E" w14:textId="77777777" w:rsidR="00A0212B" w:rsidRDefault="00A0212B" w:rsidP="00D6249E">
                      <w:pPr>
                        <w:spacing w:line="200" w:lineRule="exact"/>
                        <w:ind w:left="900" w:hangingChars="500" w:hanging="900"/>
                        <w:jc w:val="both"/>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1.</w:t>
                      </w:r>
                      <w:r>
                        <w:rPr>
                          <w:rFonts w:ascii="標楷體" w:eastAsia="標楷體" w:hAnsi="標楷體" w:hint="eastAsia"/>
                          <w:sz w:val="18"/>
                          <w:szCs w:val="18"/>
                        </w:rPr>
                        <w:t>一般學校係</w:t>
                      </w:r>
                      <w:r>
                        <w:rPr>
                          <w:rFonts w:ascii="標楷體" w:eastAsia="標楷體" w:hAnsi="標楷體"/>
                          <w:sz w:val="18"/>
                          <w:szCs w:val="18"/>
                        </w:rPr>
                        <w:t>指非原住民重點學校且</w:t>
                      </w:r>
                      <w:r>
                        <w:rPr>
                          <w:rFonts w:ascii="標楷體" w:eastAsia="標楷體" w:hAnsi="標楷體" w:hint="eastAsia"/>
                          <w:sz w:val="18"/>
                          <w:szCs w:val="18"/>
                        </w:rPr>
                        <w:t>非</w:t>
                      </w:r>
                      <w:r>
                        <w:rPr>
                          <w:rFonts w:ascii="標楷體" w:eastAsia="標楷體" w:hAnsi="標楷體"/>
                          <w:sz w:val="18"/>
                          <w:szCs w:val="18"/>
                        </w:rPr>
                        <w:t>原住民族地區學校。</w:t>
                      </w:r>
                    </w:p>
                    <w:p w14:paraId="288901E2" w14:textId="77777777" w:rsidR="00A0212B" w:rsidRPr="00D46BD7" w:rsidRDefault="00A0212B" w:rsidP="00D6249E">
                      <w:pPr>
                        <w:spacing w:line="200" w:lineRule="exact"/>
                        <w:ind w:leftChars="150" w:left="540" w:hangingChars="100" w:hanging="180"/>
                        <w:jc w:val="both"/>
                        <w:rPr>
                          <w:rFonts w:ascii="標楷體" w:eastAsia="標楷體" w:hAnsi="標楷體"/>
                          <w:sz w:val="18"/>
                          <w:szCs w:val="18"/>
                        </w:rPr>
                      </w:pPr>
                      <w:r>
                        <w:rPr>
                          <w:rFonts w:ascii="標楷體" w:eastAsia="標楷體" w:hAnsi="標楷體"/>
                          <w:sz w:val="18"/>
                          <w:szCs w:val="18"/>
                        </w:rPr>
                        <w:t>2.</w:t>
                      </w:r>
                      <w:r w:rsidRPr="00171879">
                        <w:rPr>
                          <w:rFonts w:ascii="標楷體" w:eastAsia="標楷體" w:hAnsi="標楷體" w:hint="eastAsia"/>
                          <w:sz w:val="18"/>
                          <w:szCs w:val="18"/>
                        </w:rPr>
                        <w:t>整理自教育部「111學年度原住民學生概況統計」報告、教育部統計處公開資訊網、原住民族委員會「111</w:t>
                      </w:r>
                      <w:r>
                        <w:rPr>
                          <w:rFonts w:ascii="標楷體" w:eastAsia="標楷體" w:hAnsi="標楷體" w:hint="eastAsia"/>
                          <w:sz w:val="18"/>
                          <w:szCs w:val="18"/>
                        </w:rPr>
                        <w:t>學年度原住民族教育調查統計」報告</w:t>
                      </w:r>
                      <w:r>
                        <w:rPr>
                          <w:rFonts w:ascii="標楷體" w:eastAsia="標楷體" w:hAnsi="標楷體"/>
                          <w:sz w:val="18"/>
                          <w:szCs w:val="18"/>
                        </w:rPr>
                        <w:t>。</w:t>
                      </w:r>
                    </w:p>
                  </w:txbxContent>
                </v:textbox>
                <w10:wrap type="topAndBottom" anchorx="margin"/>
              </v:shape>
            </w:pict>
          </mc:Fallback>
        </mc:AlternateContent>
      </w:r>
      <w:r w:rsidR="00D6249E" w:rsidRPr="00DB392F">
        <w:rPr>
          <w:rFonts w:ascii="標楷體" w:eastAsia="標楷體" w:hAnsi="標楷體" w:hint="eastAsia"/>
          <w:b/>
          <w:szCs w:val="24"/>
        </w:rPr>
        <w:t>1</w:t>
      </w:r>
      <w:r w:rsidR="00D6249E" w:rsidRPr="00DB392F">
        <w:rPr>
          <w:rFonts w:ascii="標楷體" w:eastAsia="標楷體" w:hAnsi="標楷體"/>
          <w:b/>
          <w:szCs w:val="24"/>
        </w:rPr>
        <w:t>.</w:t>
      </w:r>
      <w:r w:rsidR="00D6249E" w:rsidRPr="00DB392F">
        <w:rPr>
          <w:rFonts w:ascii="標楷體" w:eastAsia="標楷體" w:hAnsi="標楷體" w:hint="eastAsia"/>
          <w:b/>
          <w:szCs w:val="24"/>
        </w:rPr>
        <w:t xml:space="preserve">　全國高</w:t>
      </w:r>
      <w:r w:rsidR="00D6249E">
        <w:rPr>
          <w:rFonts w:ascii="標楷體" w:eastAsia="標楷體" w:hAnsi="標楷體" w:hint="eastAsia"/>
          <w:b/>
          <w:szCs w:val="24"/>
        </w:rPr>
        <w:t>級中等以下學校已實施民族教育</w:t>
      </w:r>
      <w:r w:rsidR="00D6249E" w:rsidRPr="00DB392F">
        <w:rPr>
          <w:rFonts w:ascii="標楷體" w:eastAsia="標楷體" w:hAnsi="標楷體" w:hint="eastAsia"/>
          <w:b/>
          <w:szCs w:val="24"/>
        </w:rPr>
        <w:t>，惟原</w:t>
      </w:r>
      <w:r w:rsidR="00D6249E">
        <w:rPr>
          <w:rFonts w:ascii="標楷體" w:eastAsia="標楷體" w:hAnsi="標楷體" w:hint="eastAsia"/>
          <w:b/>
          <w:szCs w:val="24"/>
        </w:rPr>
        <w:t>住</w:t>
      </w:r>
      <w:r w:rsidR="00D6249E" w:rsidRPr="00DB392F">
        <w:rPr>
          <w:rFonts w:ascii="標楷體" w:eastAsia="標楷體" w:hAnsi="標楷體" w:hint="eastAsia"/>
          <w:b/>
          <w:szCs w:val="24"/>
        </w:rPr>
        <w:t>民</w:t>
      </w:r>
      <w:r w:rsidR="00D6249E">
        <w:rPr>
          <w:rFonts w:ascii="標楷體" w:eastAsia="標楷體" w:hAnsi="標楷體" w:hint="eastAsia"/>
          <w:b/>
          <w:szCs w:val="24"/>
        </w:rPr>
        <w:t>族委員</w:t>
      </w:r>
      <w:r w:rsidR="00D6249E" w:rsidRPr="00DB392F">
        <w:rPr>
          <w:rFonts w:ascii="標楷體" w:eastAsia="標楷體" w:hAnsi="標楷體" w:hint="eastAsia"/>
          <w:b/>
          <w:szCs w:val="24"/>
        </w:rPr>
        <w:t>會及教育部遲未依法會同訂定課程內容，欠</w:t>
      </w:r>
      <w:r w:rsidR="00D6249E">
        <w:rPr>
          <w:rFonts w:ascii="標楷體" w:eastAsia="標楷體" w:hAnsi="標楷體" w:hint="eastAsia"/>
          <w:b/>
          <w:szCs w:val="24"/>
        </w:rPr>
        <w:t>缺教學準據，恐影響施教品質；又辦理相關推展民族教育補助計畫</w:t>
      </w:r>
      <w:r w:rsidR="00D6249E" w:rsidRPr="00DB392F">
        <w:rPr>
          <w:rFonts w:ascii="標楷體" w:eastAsia="標楷體" w:hAnsi="標楷體" w:hint="eastAsia"/>
          <w:b/>
          <w:szCs w:val="24"/>
        </w:rPr>
        <w:t>申請比率偏低</w:t>
      </w:r>
      <w:r w:rsidR="00D6249E">
        <w:rPr>
          <w:rFonts w:ascii="標楷體" w:eastAsia="標楷體" w:hAnsi="標楷體" w:hint="eastAsia"/>
          <w:b/>
          <w:szCs w:val="24"/>
        </w:rPr>
        <w:t>，不利達成以推展民族教育為特色學校之目的</w:t>
      </w:r>
      <w:r w:rsidR="00D6249E" w:rsidRPr="00DB392F">
        <w:rPr>
          <w:rFonts w:ascii="標楷體" w:eastAsia="標楷體" w:hAnsi="標楷體" w:hint="eastAsia"/>
          <w:b/>
          <w:szCs w:val="24"/>
        </w:rPr>
        <w:t>：</w:t>
      </w:r>
      <w:r w:rsidR="00D6249E">
        <w:rPr>
          <w:rFonts w:ascii="標楷體" w:eastAsia="標楷體" w:hAnsi="標楷體" w:hint="eastAsia"/>
          <w:szCs w:val="24"/>
        </w:rPr>
        <w:t>自</w:t>
      </w:r>
      <w:r w:rsidR="00D6249E" w:rsidRPr="00915633">
        <w:rPr>
          <w:rFonts w:ascii="標楷體" w:eastAsia="標楷體" w:hAnsi="標楷體" w:hint="eastAsia"/>
          <w:szCs w:val="24"/>
        </w:rPr>
        <w:t>原住民族教育法制定公布後，全國高</w:t>
      </w:r>
      <w:r w:rsidR="00D6249E">
        <w:rPr>
          <w:rFonts w:ascii="標楷體" w:eastAsia="標楷體" w:hAnsi="標楷體" w:hint="eastAsia"/>
          <w:szCs w:val="24"/>
        </w:rPr>
        <w:t>級中等</w:t>
      </w:r>
      <w:r w:rsidR="00D6249E" w:rsidRPr="00915633">
        <w:rPr>
          <w:rFonts w:ascii="標楷體" w:eastAsia="標楷體" w:hAnsi="標楷體" w:hint="eastAsia"/>
          <w:szCs w:val="24"/>
        </w:rPr>
        <w:t>以下學校，包含高中職、國中及國小，已陸續就原住民族學生實施民族教育，有助其學習傳統文化，提升族群涵養。嗣政府鑑於各校教學內容深度及廣度不一，於108年5月全文修正原住民族教育法時增列第27條第2</w:t>
      </w:r>
      <w:r w:rsidR="00D6249E">
        <w:rPr>
          <w:rFonts w:ascii="標楷體" w:eastAsia="標楷體" w:hAnsi="標楷體" w:hint="eastAsia"/>
          <w:szCs w:val="24"/>
        </w:rPr>
        <w:t>項規定，</w:t>
      </w:r>
      <w:r w:rsidR="00D6249E" w:rsidRPr="00915633">
        <w:rPr>
          <w:rFonts w:ascii="標楷體" w:eastAsia="標楷體" w:hAnsi="標楷體" w:hint="eastAsia"/>
          <w:szCs w:val="24"/>
        </w:rPr>
        <w:t>中央原住民族主管機關應會同中央</w:t>
      </w:r>
      <w:r w:rsidR="00D6249E">
        <w:rPr>
          <w:rFonts w:ascii="標楷體" w:eastAsia="標楷體" w:hAnsi="標楷體" w:hint="eastAsia"/>
          <w:szCs w:val="24"/>
        </w:rPr>
        <w:t>教育主管機關，依各民族之族群及文化特性，訂定民族教育課程內容，</w:t>
      </w:r>
      <w:r w:rsidR="00D6249E" w:rsidRPr="00915633">
        <w:rPr>
          <w:rFonts w:ascii="標楷體" w:eastAsia="標楷體" w:hAnsi="標楷體" w:hint="eastAsia"/>
          <w:szCs w:val="24"/>
        </w:rPr>
        <w:t>俾使各校實施民族教育有所依據。</w:t>
      </w:r>
      <w:r w:rsidR="00D6249E">
        <w:rPr>
          <w:rFonts w:ascii="標楷體" w:eastAsia="標楷體" w:hAnsi="標楷體" w:hint="eastAsia"/>
          <w:szCs w:val="24"/>
        </w:rPr>
        <w:t>經查</w:t>
      </w:r>
      <w:r w:rsidR="00D6249E" w:rsidRPr="003B6B3A">
        <w:rPr>
          <w:rFonts w:ascii="標楷體" w:eastAsia="標楷體" w:hAnsi="標楷體" w:hint="eastAsia"/>
          <w:szCs w:val="24"/>
        </w:rPr>
        <w:t>截至112年12月20日止，距原住民族教育法第27條修正公布施行日（108年6月19日）已近5年，原住民族委員會仍未會同教育部訂定民族教育課程內容，不利各校教學有所依據，亦不利深化原住民學生對於原住民族文化與傳統之理解及尊重</w:t>
      </w:r>
      <w:r w:rsidR="00D6249E">
        <w:rPr>
          <w:rFonts w:ascii="標楷體" w:eastAsia="標楷體" w:hAnsi="標楷體" w:hint="eastAsia"/>
          <w:szCs w:val="24"/>
        </w:rPr>
        <w:t>；另</w:t>
      </w:r>
      <w:r w:rsidR="00D6249E">
        <w:rPr>
          <w:rFonts w:ascii="標楷體" w:eastAsia="標楷體" w:hAnsi="標楷體" w:hint="eastAsia"/>
        </w:rPr>
        <w:t>原住民族委員會</w:t>
      </w:r>
      <w:r w:rsidR="00D6249E" w:rsidRPr="00334240">
        <w:rPr>
          <w:rFonts w:ascii="標楷體" w:eastAsia="標楷體" w:hAnsi="標楷體" w:hint="eastAsia"/>
        </w:rPr>
        <w:t>為提升原住民學生文化認同及自信心，自102年起實施</w:t>
      </w:r>
      <w:r w:rsidR="00D6249E" w:rsidRPr="00334240">
        <w:rPr>
          <w:rFonts w:ascii="標楷體" w:eastAsia="標楷體" w:hAnsi="標楷體" w:hint="eastAsia"/>
          <w:szCs w:val="24"/>
        </w:rPr>
        <w:t>「推展以民族教育為特色之學校本位課程」計畫</w:t>
      </w:r>
      <w:r w:rsidR="00D6249E" w:rsidRPr="000B6E7F">
        <w:rPr>
          <w:rFonts w:ascii="標楷體" w:eastAsia="標楷體" w:hAnsi="標楷體" w:hint="eastAsia"/>
          <w:szCs w:val="24"/>
        </w:rPr>
        <w:t>（</w:t>
      </w:r>
      <w:r w:rsidR="00D6249E">
        <w:rPr>
          <w:rFonts w:ascii="標楷體" w:eastAsia="標楷體" w:hAnsi="標楷體" w:hint="eastAsia"/>
          <w:szCs w:val="24"/>
        </w:rPr>
        <w:t>下稱校本課程計畫</w:t>
      </w:r>
      <w:r w:rsidR="00D6249E" w:rsidRPr="000B6E7F">
        <w:rPr>
          <w:rFonts w:ascii="標楷體" w:eastAsia="標楷體" w:hAnsi="標楷體" w:hint="eastAsia"/>
          <w:szCs w:val="24"/>
        </w:rPr>
        <w:t>）</w:t>
      </w:r>
      <w:r w:rsidR="00D6249E">
        <w:rPr>
          <w:rFonts w:ascii="標楷體" w:eastAsia="標楷體" w:hAnsi="標楷體" w:hint="eastAsia"/>
          <w:szCs w:val="24"/>
        </w:rPr>
        <w:t>，發展民族精神、制度、生活、藝術等課程，</w:t>
      </w:r>
      <w:r w:rsidR="00D6249E" w:rsidRPr="000B6E7F">
        <w:rPr>
          <w:rFonts w:ascii="標楷體" w:eastAsia="標楷體" w:hAnsi="標楷體" w:hint="eastAsia"/>
          <w:szCs w:val="24"/>
        </w:rPr>
        <w:t>要求受補助學校納入學年度總體課程計畫，並規定學校之課程規劃方式、課程發展內涵及應上課時數（15節以上）</w:t>
      </w:r>
      <w:r w:rsidR="00D6249E">
        <w:rPr>
          <w:rFonts w:ascii="標楷體" w:eastAsia="標楷體" w:hAnsi="標楷體" w:hint="eastAsia"/>
          <w:szCs w:val="24"/>
        </w:rPr>
        <w:t>等，</w:t>
      </w:r>
      <w:r w:rsidR="00D6249E" w:rsidRPr="000B6E7F">
        <w:rPr>
          <w:rFonts w:ascii="標楷體" w:eastAsia="標楷體" w:hAnsi="標楷體" w:hint="eastAsia"/>
          <w:szCs w:val="24"/>
        </w:rPr>
        <w:t>惟其補助對象僅限於各直轄市、縣（市）所轄之原住民重點學校，</w:t>
      </w:r>
      <w:r w:rsidR="00D6249E" w:rsidRPr="006B38B3">
        <w:rPr>
          <w:rFonts w:ascii="標楷體" w:eastAsia="標楷體" w:hAnsi="標楷體" w:hint="eastAsia"/>
          <w:szCs w:val="24"/>
        </w:rPr>
        <w:t>尚未普</w:t>
      </w:r>
      <w:r w:rsidR="00D6249E" w:rsidRPr="000B6E7F">
        <w:rPr>
          <w:rFonts w:ascii="標楷體" w:eastAsia="標楷體" w:hAnsi="標楷體" w:hint="eastAsia"/>
          <w:szCs w:val="24"/>
        </w:rPr>
        <w:t>及至</w:t>
      </w:r>
      <w:r w:rsidR="006B38B3" w:rsidRPr="000B6E7F">
        <w:rPr>
          <w:rFonts w:ascii="標楷體" w:eastAsia="標楷體" w:hAnsi="標楷體" w:hint="eastAsia"/>
          <w:szCs w:val="24"/>
        </w:rPr>
        <w:t>一般學校</w:t>
      </w:r>
      <w:r w:rsidR="006B38B3">
        <w:rPr>
          <w:rFonts w:ascii="標楷體" w:eastAsia="標楷體" w:hAnsi="標楷體" w:hint="eastAsia"/>
          <w:szCs w:val="24"/>
        </w:rPr>
        <w:t>及</w:t>
      </w:r>
      <w:r w:rsidR="00D6249E" w:rsidRPr="000B6E7F">
        <w:rPr>
          <w:rFonts w:ascii="標楷體" w:eastAsia="標楷體" w:hAnsi="標楷體" w:hint="eastAsia"/>
          <w:szCs w:val="24"/>
        </w:rPr>
        <w:t>原住民</w:t>
      </w:r>
      <w:r w:rsidR="006B38B3">
        <w:rPr>
          <w:rFonts w:ascii="標楷體" w:eastAsia="標楷體" w:hAnsi="標楷體" w:hint="eastAsia"/>
          <w:szCs w:val="24"/>
        </w:rPr>
        <w:t>族</w:t>
      </w:r>
      <w:r w:rsidR="00D6249E" w:rsidRPr="000B6E7F">
        <w:rPr>
          <w:rFonts w:ascii="標楷體" w:eastAsia="標楷體" w:hAnsi="標楷體" w:hint="eastAsia"/>
          <w:szCs w:val="24"/>
        </w:rPr>
        <w:t>地區</w:t>
      </w:r>
      <w:r w:rsidR="006B38B3">
        <w:rPr>
          <w:rFonts w:ascii="標楷體" w:eastAsia="標楷體" w:hAnsi="標楷體" w:hint="eastAsia"/>
          <w:szCs w:val="24"/>
        </w:rPr>
        <w:t>之非原住民重點</w:t>
      </w:r>
      <w:r w:rsidR="00D6249E" w:rsidRPr="000B6E7F">
        <w:rPr>
          <w:rFonts w:ascii="標楷體" w:eastAsia="標楷體" w:hAnsi="標楷體" w:hint="eastAsia"/>
          <w:szCs w:val="24"/>
        </w:rPr>
        <w:t>學校</w:t>
      </w:r>
      <w:r w:rsidR="00C2362F" w:rsidRPr="00C2362F">
        <w:rPr>
          <w:rFonts w:ascii="標楷體" w:eastAsia="標楷體" w:hAnsi="標楷體" w:hint="eastAsia"/>
          <w:szCs w:val="24"/>
        </w:rPr>
        <w:t>（</w:t>
      </w:r>
      <w:r w:rsidR="00D6249E">
        <w:rPr>
          <w:rFonts w:ascii="標楷體" w:eastAsia="標楷體" w:hAnsi="標楷體" w:hint="eastAsia"/>
          <w:szCs w:val="24"/>
        </w:rPr>
        <w:t>111學年度高中以下原住民學生就學分布情形詳</w:t>
      </w:r>
      <w:r w:rsidR="00D6249E" w:rsidRPr="00855CF4">
        <w:rPr>
          <w:rFonts w:ascii="標楷體" w:eastAsia="標楷體" w:hAnsi="標楷體" w:hint="eastAsia"/>
          <w:szCs w:val="24"/>
        </w:rPr>
        <w:t>圖1</w:t>
      </w:r>
      <w:r w:rsidR="00B77F9F" w:rsidRPr="00855CF4">
        <w:rPr>
          <w:rFonts w:ascii="標楷體" w:eastAsia="標楷體" w:hAnsi="標楷體" w:hint="eastAsia"/>
          <w:szCs w:val="24"/>
        </w:rPr>
        <w:t>7</w:t>
      </w:r>
      <w:r w:rsidR="00D6249E">
        <w:rPr>
          <w:rFonts w:ascii="標楷體" w:eastAsia="標楷體" w:hAnsi="標楷體" w:hint="eastAsia"/>
          <w:szCs w:val="24"/>
        </w:rPr>
        <w:t>；其中，</w:t>
      </w:r>
      <w:r w:rsidR="00D6249E" w:rsidRPr="00541436">
        <w:rPr>
          <w:rFonts w:ascii="標楷體" w:eastAsia="標楷體" w:hAnsi="標楷體" w:hint="eastAsia"/>
          <w:szCs w:val="24"/>
        </w:rPr>
        <w:t>就讀於一般學校或原住民族地區之非原住民重點學校者，</w:t>
      </w:r>
      <w:r w:rsidR="00D6249E">
        <w:rPr>
          <w:rFonts w:ascii="標楷體" w:eastAsia="標楷體" w:hAnsi="標楷體" w:hint="eastAsia"/>
          <w:szCs w:val="24"/>
        </w:rPr>
        <w:t>占</w:t>
      </w:r>
      <w:r w:rsidR="00D6249E" w:rsidRPr="000B6E7F">
        <w:rPr>
          <w:rFonts w:ascii="標楷體" w:eastAsia="標楷體" w:hAnsi="標楷體" w:hint="eastAsia"/>
          <w:szCs w:val="24"/>
        </w:rPr>
        <w:t>原住民學生總數之62.46％</w:t>
      </w:r>
      <w:r w:rsidR="006C41C5" w:rsidRPr="006C41C5">
        <w:rPr>
          <w:rFonts w:ascii="標楷體" w:eastAsia="標楷體" w:hAnsi="標楷體" w:hint="eastAsia"/>
          <w:szCs w:val="24"/>
        </w:rPr>
        <w:t>）</w:t>
      </w:r>
      <w:r w:rsidR="00D6249E">
        <w:rPr>
          <w:rFonts w:ascii="標楷體" w:eastAsia="標楷體" w:hAnsi="標楷體" w:hint="eastAsia"/>
          <w:szCs w:val="24"/>
        </w:rPr>
        <w:t>，</w:t>
      </w:r>
      <w:r w:rsidR="00D6249E" w:rsidRPr="000B6E7F">
        <w:rPr>
          <w:rFonts w:ascii="標楷體" w:eastAsia="標楷體" w:hAnsi="標楷體" w:hint="eastAsia"/>
          <w:szCs w:val="24"/>
        </w:rPr>
        <w:t>又111學年度僅29校原住民重點學校申請補助，約占全國原住民重點學校439校之6.61</w:t>
      </w:r>
      <w:r w:rsidR="00D6249E">
        <w:rPr>
          <w:rFonts w:ascii="標楷體" w:eastAsia="標楷體" w:hAnsi="標楷體" w:hint="eastAsia"/>
          <w:szCs w:val="24"/>
        </w:rPr>
        <w:t>％</w:t>
      </w:r>
      <w:r w:rsidR="00D6249E" w:rsidRPr="000B6E7F">
        <w:rPr>
          <w:rFonts w:ascii="標楷體" w:eastAsia="標楷體" w:hAnsi="標楷體" w:hint="eastAsia"/>
          <w:szCs w:val="24"/>
        </w:rPr>
        <w:t>，</w:t>
      </w:r>
      <w:r w:rsidR="00D6249E">
        <w:rPr>
          <w:rFonts w:ascii="標楷體" w:eastAsia="標楷體" w:hAnsi="標楷體" w:hint="eastAsia"/>
          <w:szCs w:val="24"/>
        </w:rPr>
        <w:t>且</w:t>
      </w:r>
      <w:r w:rsidR="00D6249E" w:rsidRPr="000B6E7F">
        <w:rPr>
          <w:rFonts w:ascii="標楷體" w:eastAsia="標楷體" w:hAnsi="標楷體" w:hint="eastAsia"/>
          <w:szCs w:val="24"/>
        </w:rPr>
        <w:t>實際核定補</w:t>
      </w:r>
      <w:r w:rsidR="00D6249E" w:rsidRPr="000B6E7F">
        <w:rPr>
          <w:rFonts w:ascii="標楷體" w:eastAsia="標楷體" w:hAnsi="標楷體" w:hint="eastAsia"/>
          <w:szCs w:val="24"/>
        </w:rPr>
        <w:lastRenderedPageBreak/>
        <w:t>助辦理校數自103學年度之63校降至111學年度之29</w:t>
      </w:r>
      <w:r w:rsidR="00D6249E">
        <w:rPr>
          <w:rFonts w:ascii="標楷體" w:eastAsia="標楷體" w:hAnsi="標楷體" w:hint="eastAsia"/>
          <w:szCs w:val="24"/>
        </w:rPr>
        <w:t>校</w:t>
      </w:r>
      <w:r w:rsidR="00D6249E" w:rsidRPr="000B6E7F">
        <w:rPr>
          <w:rFonts w:ascii="標楷體" w:eastAsia="標楷體" w:hAnsi="標楷體" w:hint="eastAsia"/>
          <w:szCs w:val="24"/>
        </w:rPr>
        <w:t>，不利達成以推展民族教育為特色學校之目的</w:t>
      </w:r>
      <w:r w:rsidR="00D6249E">
        <w:rPr>
          <w:rFonts w:ascii="標楷體" w:eastAsia="標楷體" w:hAnsi="標楷體" w:hint="eastAsia"/>
          <w:szCs w:val="24"/>
        </w:rPr>
        <w:t>。</w:t>
      </w:r>
      <w:r w:rsidR="00D6249E" w:rsidRPr="003B6B3A">
        <w:rPr>
          <w:rFonts w:ascii="標楷體" w:eastAsia="標楷體" w:hAnsi="標楷體" w:hint="eastAsia"/>
          <w:szCs w:val="24"/>
        </w:rPr>
        <w:t>經函請原住民族委員會儘速會同教育部依法訂定民族教育課程內容，另就現階段刻正實施之</w:t>
      </w:r>
      <w:r w:rsidR="00D6249E">
        <w:rPr>
          <w:rFonts w:ascii="標楷體" w:eastAsia="標楷體" w:hAnsi="標楷體" w:hint="eastAsia"/>
          <w:szCs w:val="24"/>
        </w:rPr>
        <w:t>校本課程計畫</w:t>
      </w:r>
      <w:r w:rsidR="00D6249E" w:rsidRPr="003B6B3A">
        <w:rPr>
          <w:rFonts w:ascii="標楷體" w:eastAsia="標楷體" w:hAnsi="標楷體" w:hint="eastAsia"/>
          <w:szCs w:val="24"/>
        </w:rPr>
        <w:t>，研究擴增補助對象至原住民族地區學校及一般學校之可行性，及就申請校數逐年降低情形，瞭解問題癥結及提出可行方案。據復：將與教育部研議修訂12年</w:t>
      </w:r>
      <w:r w:rsidR="00D6249E" w:rsidRPr="009C6E70">
        <w:rPr>
          <w:rFonts w:ascii="標楷體" w:eastAsia="標楷體" w:hAnsi="標楷體" w:hint="eastAsia"/>
          <w:szCs w:val="24"/>
        </w:rPr>
        <w:t>國民基本教育課程綱要</w:t>
      </w:r>
      <w:r w:rsidR="00D6249E">
        <w:rPr>
          <w:rFonts w:ascii="標楷體" w:eastAsia="標楷體" w:hAnsi="標楷體" w:hint="eastAsia"/>
          <w:szCs w:val="24"/>
        </w:rPr>
        <w:t>，</w:t>
      </w:r>
      <w:r w:rsidR="00D6249E" w:rsidRPr="003B6B3A">
        <w:rPr>
          <w:rFonts w:ascii="標楷體" w:eastAsia="標楷體" w:hAnsi="標楷體" w:hint="eastAsia"/>
          <w:szCs w:val="24"/>
        </w:rPr>
        <w:t>研擬原住民族教育課程綱要總綱草案及原住民族教育課程發展建議書等事宜</w:t>
      </w:r>
      <w:r w:rsidR="00D6249E">
        <w:rPr>
          <w:rFonts w:ascii="標楷體" w:eastAsia="標楷體" w:hAnsi="標楷體" w:hint="eastAsia"/>
          <w:szCs w:val="24"/>
        </w:rPr>
        <w:t>，另將研擬擴增校本課程計畫申請資格至原住民族地區之非原住民重點學校，並依申請學校之原住民學生比例</w:t>
      </w:r>
      <w:r w:rsidR="00D6249E" w:rsidRPr="003B6B3A">
        <w:rPr>
          <w:rFonts w:ascii="標楷體" w:eastAsia="標楷體" w:hAnsi="標楷體" w:hint="eastAsia"/>
          <w:szCs w:val="24"/>
        </w:rPr>
        <w:t>補助</w:t>
      </w:r>
      <w:r w:rsidR="00D6249E">
        <w:rPr>
          <w:rFonts w:ascii="標楷體" w:eastAsia="標楷體" w:hAnsi="標楷體" w:hint="eastAsia"/>
          <w:szCs w:val="24"/>
        </w:rPr>
        <w:t>。</w:t>
      </w:r>
    </w:p>
    <w:p w14:paraId="4CC95988" w14:textId="6F1AE33F" w:rsidR="00A15E84" w:rsidRDefault="00D6249E" w:rsidP="006B38B3">
      <w:pPr>
        <w:widowControl/>
        <w:overflowPunct w:val="0"/>
        <w:spacing w:line="410" w:lineRule="exact"/>
        <w:ind w:firstLineChars="450" w:firstLine="1081"/>
        <w:jc w:val="both"/>
        <w:rPr>
          <w:rFonts w:ascii="標楷體" w:eastAsia="標楷體" w:hAnsi="標楷體"/>
          <w:szCs w:val="24"/>
        </w:rPr>
      </w:pPr>
      <w:r>
        <w:rPr>
          <w:rFonts w:ascii="標楷體" w:eastAsia="標楷體" w:hAnsi="標楷體" w:hint="eastAsia"/>
          <w:b/>
          <w:szCs w:val="24"/>
        </w:rPr>
        <w:t>2</w:t>
      </w:r>
      <w:r w:rsidRPr="00DB392F">
        <w:rPr>
          <w:rFonts w:ascii="標楷體" w:eastAsia="標楷體" w:hAnsi="標楷體"/>
          <w:b/>
          <w:szCs w:val="24"/>
        </w:rPr>
        <w:t>.</w:t>
      </w:r>
      <w:r w:rsidRPr="00DB392F">
        <w:rPr>
          <w:rFonts w:ascii="標楷體" w:eastAsia="標楷體" w:hAnsi="標楷體" w:hint="eastAsia"/>
          <w:b/>
          <w:szCs w:val="24"/>
        </w:rPr>
        <w:t xml:space="preserve">　</w:t>
      </w:r>
      <w:r w:rsidRPr="00B773A8">
        <w:rPr>
          <w:rFonts w:ascii="標楷體" w:eastAsia="標楷體" w:hAnsi="標楷體" w:hint="eastAsia"/>
          <w:b/>
        </w:rPr>
        <w:t>原住民族委員會</w:t>
      </w:r>
      <w:r w:rsidRPr="00B773A8">
        <w:rPr>
          <w:rFonts w:ascii="標楷體" w:eastAsia="標楷體" w:hAnsi="標楷體" w:hint="eastAsia"/>
          <w:b/>
          <w:szCs w:val="24"/>
        </w:rPr>
        <w:t>辦理建構原住民族教育文化知識體系中長程計畫，</w:t>
      </w:r>
      <w:r w:rsidRPr="00B773A8">
        <w:rPr>
          <w:rFonts w:ascii="標楷體" w:eastAsia="標楷體" w:hAnsi="標楷體" w:hint="eastAsia"/>
          <w:b/>
          <w:spacing w:val="-2"/>
        </w:rPr>
        <w:t>委託開發各族群課程模組，間有未落實審議程序、尚待</w:t>
      </w:r>
      <w:r>
        <w:rPr>
          <w:rFonts w:ascii="標楷體" w:eastAsia="標楷體" w:hAnsi="標楷體" w:hint="eastAsia"/>
          <w:b/>
          <w:spacing w:val="-2"/>
        </w:rPr>
        <w:t>推廣</w:t>
      </w:r>
      <w:r w:rsidRPr="00B773A8">
        <w:rPr>
          <w:rFonts w:ascii="標楷體" w:eastAsia="標楷體" w:hAnsi="標楷體" w:hint="eastAsia"/>
          <w:b/>
          <w:spacing w:val="-2"/>
        </w:rPr>
        <w:t>納為師資培育課程等情</w:t>
      </w:r>
      <w:r w:rsidRPr="00DB392F">
        <w:rPr>
          <w:rFonts w:ascii="標楷體" w:eastAsia="標楷體" w:hAnsi="標楷體" w:hint="eastAsia"/>
          <w:b/>
          <w:szCs w:val="24"/>
        </w:rPr>
        <w:t>：</w:t>
      </w:r>
      <w:r w:rsidRPr="00B773A8">
        <w:rPr>
          <w:rFonts w:ascii="標楷體" w:eastAsia="標楷體" w:hAnsi="標楷體" w:hint="eastAsia"/>
          <w:szCs w:val="24"/>
        </w:rPr>
        <w:t>原住民族委員會「建構原住民族教育文化知識體系中長程計畫</w:t>
      </w:r>
      <w:r w:rsidR="00C2362F" w:rsidRPr="00C2362F">
        <w:rPr>
          <w:rFonts w:ascii="標楷體" w:eastAsia="標楷體" w:hAnsi="標楷體" w:hint="eastAsia"/>
          <w:szCs w:val="24"/>
        </w:rPr>
        <w:t>（</w:t>
      </w:r>
      <w:r w:rsidRPr="00B773A8">
        <w:rPr>
          <w:rFonts w:ascii="標楷體" w:eastAsia="標楷體" w:hAnsi="標楷體" w:hint="eastAsia"/>
          <w:szCs w:val="24"/>
        </w:rPr>
        <w:t>110年-114年</w:t>
      </w:r>
      <w:r w:rsidR="006C41C5" w:rsidRPr="006C41C5">
        <w:rPr>
          <w:rFonts w:ascii="標楷體" w:eastAsia="標楷體" w:hAnsi="標楷體" w:hint="eastAsia"/>
          <w:szCs w:val="24"/>
        </w:rPr>
        <w:t>）</w:t>
      </w:r>
      <w:r w:rsidRPr="00B773A8">
        <w:rPr>
          <w:rFonts w:ascii="標楷體" w:eastAsia="標楷體" w:hAnsi="標楷體" w:hint="eastAsia"/>
          <w:szCs w:val="24"/>
        </w:rPr>
        <w:t>」</w:t>
      </w:r>
      <w:r>
        <w:rPr>
          <w:rFonts w:ascii="標楷體" w:eastAsia="標楷體" w:hAnsi="標楷體" w:hint="eastAsia"/>
          <w:szCs w:val="24"/>
        </w:rPr>
        <w:t>（下稱建構原住民族知識體系計畫）</w:t>
      </w:r>
      <w:r w:rsidRPr="00B773A8">
        <w:rPr>
          <w:rFonts w:ascii="標楷體" w:eastAsia="標楷體" w:hAnsi="標楷體" w:hint="eastAsia"/>
          <w:szCs w:val="24"/>
        </w:rPr>
        <w:t>經行政院於109年9月26</w:t>
      </w:r>
      <w:r>
        <w:rPr>
          <w:rFonts w:ascii="標楷體" w:eastAsia="標楷體" w:hAnsi="標楷體" w:hint="eastAsia"/>
          <w:szCs w:val="24"/>
        </w:rPr>
        <w:t>日核定實施，並</w:t>
      </w:r>
      <w:r w:rsidRPr="00B773A8">
        <w:rPr>
          <w:rFonts w:ascii="標楷體" w:eastAsia="標楷體" w:hAnsi="標楷體" w:hint="eastAsia"/>
          <w:szCs w:val="24"/>
        </w:rPr>
        <w:t>自111年度起補助國立政治大學等10所大專校院設置10族原住民族知識研究中心</w:t>
      </w:r>
      <w:r w:rsidR="00C2362F" w:rsidRPr="00C2362F">
        <w:rPr>
          <w:rFonts w:ascii="標楷體" w:eastAsia="標楷體" w:hAnsi="標楷體" w:hint="eastAsia"/>
          <w:szCs w:val="24"/>
        </w:rPr>
        <w:t>（</w:t>
      </w:r>
      <w:r w:rsidRPr="00B773A8">
        <w:rPr>
          <w:rFonts w:ascii="標楷體" w:eastAsia="標楷體" w:hAnsi="標楷體" w:hint="eastAsia"/>
          <w:szCs w:val="24"/>
        </w:rPr>
        <w:t>下稱知識研究中心</w:t>
      </w:r>
      <w:r w:rsidR="006C41C5" w:rsidRPr="006C41C5">
        <w:rPr>
          <w:rFonts w:ascii="標楷體" w:eastAsia="標楷體" w:hAnsi="標楷體" w:hint="eastAsia"/>
          <w:szCs w:val="24"/>
        </w:rPr>
        <w:t>）</w:t>
      </w:r>
      <w:r w:rsidRPr="00B773A8">
        <w:rPr>
          <w:rFonts w:ascii="標楷體" w:eastAsia="標楷體" w:hAnsi="標楷體" w:hint="eastAsia"/>
          <w:szCs w:val="24"/>
        </w:rPr>
        <w:t>，第1期</w:t>
      </w:r>
      <w:r w:rsidR="00C2362F" w:rsidRPr="00C2362F">
        <w:rPr>
          <w:rFonts w:ascii="標楷體" w:eastAsia="標楷體" w:hAnsi="標楷體" w:hint="eastAsia"/>
          <w:szCs w:val="24"/>
        </w:rPr>
        <w:t>（</w:t>
      </w:r>
      <w:r w:rsidRPr="00B773A8">
        <w:rPr>
          <w:rFonts w:ascii="標楷體" w:eastAsia="標楷體" w:hAnsi="標楷體" w:hint="eastAsia"/>
          <w:szCs w:val="24"/>
        </w:rPr>
        <w:t>111至112年度</w:t>
      </w:r>
      <w:r w:rsidR="006C41C5" w:rsidRPr="006C41C5">
        <w:rPr>
          <w:rFonts w:ascii="標楷體" w:eastAsia="標楷體" w:hAnsi="標楷體" w:hint="eastAsia"/>
          <w:szCs w:val="24"/>
        </w:rPr>
        <w:t>）</w:t>
      </w:r>
      <w:r w:rsidRPr="00B773A8">
        <w:rPr>
          <w:rFonts w:ascii="標楷體" w:eastAsia="標楷體" w:hAnsi="標楷體" w:hint="eastAsia"/>
          <w:szCs w:val="24"/>
        </w:rPr>
        <w:t>總計核定補助4,180萬餘元，</w:t>
      </w:r>
      <w:r>
        <w:rPr>
          <w:rFonts w:ascii="標楷體" w:eastAsia="標楷體" w:hAnsi="標楷體" w:hint="eastAsia"/>
          <w:szCs w:val="24"/>
        </w:rPr>
        <w:t>規劃</w:t>
      </w:r>
      <w:r w:rsidRPr="00B773A8">
        <w:rPr>
          <w:rFonts w:ascii="標楷體" w:eastAsia="標楷體" w:hAnsi="標楷體" w:hint="eastAsia"/>
          <w:szCs w:val="24"/>
        </w:rPr>
        <w:t>至112</w:t>
      </w:r>
      <w:r>
        <w:rPr>
          <w:rFonts w:ascii="標楷體" w:eastAsia="標楷體" w:hAnsi="標楷體" w:hint="eastAsia"/>
          <w:szCs w:val="24"/>
        </w:rPr>
        <w:t>年底</w:t>
      </w:r>
      <w:r w:rsidRPr="00B773A8">
        <w:rPr>
          <w:rFonts w:ascii="標楷體" w:eastAsia="標楷體" w:hAnsi="標楷體" w:hint="eastAsia"/>
          <w:szCs w:val="24"/>
        </w:rPr>
        <w:t>，各</w:t>
      </w:r>
      <w:r>
        <w:rPr>
          <w:rFonts w:ascii="標楷體" w:eastAsia="標楷體" w:hAnsi="標楷體" w:hint="eastAsia"/>
          <w:szCs w:val="24"/>
        </w:rPr>
        <w:t>知識</w:t>
      </w:r>
      <w:r w:rsidRPr="00B773A8">
        <w:rPr>
          <w:rFonts w:ascii="標楷體" w:eastAsia="標楷體" w:hAnsi="標楷體" w:hint="eastAsia"/>
          <w:szCs w:val="24"/>
        </w:rPr>
        <w:t>研究中心應</w:t>
      </w:r>
      <w:r w:rsidR="006B38B3">
        <w:rPr>
          <w:rFonts w:ascii="標楷體" w:eastAsia="標楷體" w:hAnsi="標楷體" w:hint="eastAsia"/>
          <w:szCs w:val="24"/>
        </w:rPr>
        <w:t>完成</w:t>
      </w:r>
      <w:r w:rsidRPr="00B773A8">
        <w:rPr>
          <w:rFonts w:ascii="標楷體" w:eastAsia="標楷體" w:hAnsi="標楷體" w:hint="eastAsia"/>
          <w:szCs w:val="24"/>
        </w:rPr>
        <w:t>建構各族知識體系</w:t>
      </w:r>
      <w:r>
        <w:rPr>
          <w:rFonts w:ascii="標楷體" w:eastAsia="標楷體" w:hAnsi="標楷體" w:hint="eastAsia"/>
          <w:szCs w:val="24"/>
        </w:rPr>
        <w:t>外</w:t>
      </w:r>
      <w:r w:rsidRPr="00B773A8">
        <w:rPr>
          <w:rFonts w:ascii="標楷體" w:eastAsia="標楷體" w:hAnsi="標楷體" w:hint="eastAsia"/>
          <w:szCs w:val="24"/>
        </w:rPr>
        <w:t>，並將開發成果轉化及發展為各族之民族教育或重點學校課程綱要與模組</w:t>
      </w:r>
      <w:r>
        <w:rPr>
          <w:rFonts w:ascii="標楷體" w:eastAsia="標楷體" w:hAnsi="標楷體" w:hint="eastAsia"/>
          <w:szCs w:val="24"/>
        </w:rPr>
        <w:t>。又</w:t>
      </w:r>
      <w:r w:rsidRPr="00467BC2">
        <w:rPr>
          <w:rFonts w:ascii="標楷體" w:eastAsia="標楷體" w:hAnsi="標楷體" w:hint="eastAsia"/>
          <w:szCs w:val="24"/>
        </w:rPr>
        <w:t>原住民族委員會</w:t>
      </w:r>
      <w:r w:rsidRPr="00B773A8">
        <w:rPr>
          <w:rFonts w:ascii="標楷體" w:eastAsia="標楷體" w:hAnsi="標楷體" w:hint="eastAsia"/>
          <w:szCs w:val="24"/>
        </w:rPr>
        <w:t>為策進課程模組品質，</w:t>
      </w:r>
      <w:r>
        <w:rPr>
          <w:rFonts w:ascii="標楷體" w:eastAsia="標楷體" w:hAnsi="標楷體" w:hint="eastAsia"/>
          <w:szCs w:val="24"/>
        </w:rPr>
        <w:t>於</w:t>
      </w:r>
      <w:r w:rsidRPr="00467BC2">
        <w:rPr>
          <w:rFonts w:ascii="標楷體" w:eastAsia="標楷體" w:hAnsi="標楷體" w:hint="eastAsia"/>
          <w:szCs w:val="24"/>
        </w:rPr>
        <w:t>建構原住民族知識體系計畫</w:t>
      </w:r>
      <w:r>
        <w:rPr>
          <w:rFonts w:ascii="標楷體" w:eastAsia="標楷體" w:hAnsi="標楷體" w:hint="eastAsia"/>
          <w:szCs w:val="24"/>
        </w:rPr>
        <w:t>內列有</w:t>
      </w:r>
      <w:r w:rsidRPr="00467BC2">
        <w:rPr>
          <w:rFonts w:ascii="標楷體" w:eastAsia="標楷體" w:hAnsi="標楷體" w:hint="eastAsia"/>
          <w:szCs w:val="24"/>
        </w:rPr>
        <w:t>委託大學校院研發各族民族教育課程模組，並由教育部國家教育研究院成立專案辦公室，負責研發成果</w:t>
      </w:r>
      <w:r>
        <w:rPr>
          <w:rFonts w:ascii="標楷體" w:eastAsia="標楷體" w:hAnsi="標楷體" w:hint="eastAsia"/>
          <w:szCs w:val="24"/>
        </w:rPr>
        <w:t>之</w:t>
      </w:r>
      <w:r w:rsidRPr="00467BC2">
        <w:rPr>
          <w:rFonts w:ascii="標楷體" w:eastAsia="標楷體" w:hAnsi="標楷體" w:hint="eastAsia"/>
          <w:szCs w:val="24"/>
        </w:rPr>
        <w:t>審議、課程試教與學習成效評估</w:t>
      </w:r>
      <w:r>
        <w:rPr>
          <w:rFonts w:ascii="標楷體" w:eastAsia="標楷體" w:hAnsi="標楷體" w:hint="eastAsia"/>
          <w:szCs w:val="24"/>
        </w:rPr>
        <w:t>等工作項目。經查</w:t>
      </w:r>
      <w:r w:rsidRPr="00467BC2">
        <w:rPr>
          <w:rFonts w:ascii="標楷體" w:eastAsia="標楷體" w:hAnsi="標楷體" w:hint="eastAsia"/>
          <w:szCs w:val="24"/>
        </w:rPr>
        <w:t>截至112年底，各知識研究中心</w:t>
      </w:r>
      <w:r>
        <w:rPr>
          <w:rFonts w:ascii="標楷體" w:eastAsia="標楷體" w:hAnsi="標楷體" w:hint="eastAsia"/>
          <w:szCs w:val="24"/>
        </w:rPr>
        <w:t>雖</w:t>
      </w:r>
      <w:r w:rsidRPr="00467BC2">
        <w:rPr>
          <w:rFonts w:ascii="標楷體" w:eastAsia="標楷體" w:hAnsi="標楷體" w:hint="eastAsia"/>
          <w:szCs w:val="24"/>
        </w:rPr>
        <w:t>已完成泰雅族等11族知識分類架構及內容，共計開發38個課程模組，</w:t>
      </w:r>
      <w:r>
        <w:rPr>
          <w:rFonts w:ascii="標楷體" w:eastAsia="標楷體" w:hAnsi="標楷體" w:hint="eastAsia"/>
          <w:szCs w:val="24"/>
        </w:rPr>
        <w:t>惟</w:t>
      </w:r>
      <w:r w:rsidRPr="00467BC2">
        <w:rPr>
          <w:rFonts w:ascii="標楷體" w:eastAsia="標楷體" w:hAnsi="標楷體" w:hint="eastAsia"/>
          <w:szCs w:val="24"/>
        </w:rPr>
        <w:t>均未經教育部國家教育研究院審議、課程試教與學習評估等，不利精進課程設計及改進教學</w:t>
      </w:r>
      <w:r>
        <w:rPr>
          <w:rFonts w:ascii="標楷體" w:eastAsia="標楷體" w:hAnsi="標楷體" w:hint="eastAsia"/>
          <w:szCs w:val="24"/>
        </w:rPr>
        <w:t>。另原住民族委員會於建構原住民族知識體系計畫之執行策略及方法項下，</w:t>
      </w:r>
      <w:r w:rsidRPr="00467BC2">
        <w:rPr>
          <w:rFonts w:ascii="標楷體" w:eastAsia="標楷體" w:hAnsi="標楷體" w:hint="eastAsia"/>
          <w:szCs w:val="24"/>
        </w:rPr>
        <w:t>提出「規劃辦理推動課程模組融入師資培育及教師在職進修，預計112年底前原住民重點師資培育大學師資培育課程融入2族課程模組」，惟</w:t>
      </w:r>
      <w:r>
        <w:rPr>
          <w:rFonts w:ascii="標楷體" w:eastAsia="標楷體" w:hAnsi="標楷體" w:hint="eastAsia"/>
          <w:szCs w:val="24"/>
        </w:rPr>
        <w:t>上開</w:t>
      </w:r>
      <w:r w:rsidRPr="00467BC2">
        <w:rPr>
          <w:rFonts w:ascii="標楷體" w:eastAsia="標楷體" w:hAnsi="標楷體" w:hint="eastAsia"/>
          <w:szCs w:val="24"/>
        </w:rPr>
        <w:t>38個課程模組均未融入教育</w:t>
      </w:r>
      <w:r>
        <w:rPr>
          <w:rFonts w:ascii="標楷體" w:eastAsia="標楷體" w:hAnsi="標楷體" w:hint="eastAsia"/>
          <w:szCs w:val="24"/>
        </w:rPr>
        <w:t>部原住民重點師資培育大學之「原住民族之民族教育次專長課程」</w:t>
      </w:r>
      <w:r w:rsidRPr="00467BC2">
        <w:rPr>
          <w:rFonts w:ascii="標楷體" w:eastAsia="標楷體" w:hAnsi="標楷體" w:hint="eastAsia"/>
          <w:szCs w:val="24"/>
        </w:rPr>
        <w:t>或「在職教師進修原住民族之民族教育次專長學分班」，</w:t>
      </w:r>
      <w:r>
        <w:rPr>
          <w:rFonts w:ascii="標楷體" w:eastAsia="標楷體" w:hAnsi="標楷體" w:hint="eastAsia"/>
          <w:szCs w:val="24"/>
        </w:rPr>
        <w:t>該</w:t>
      </w:r>
      <w:r w:rsidRPr="00467BC2">
        <w:rPr>
          <w:rFonts w:ascii="標楷體" w:eastAsia="標楷體" w:hAnsi="標楷體" w:hint="eastAsia"/>
          <w:szCs w:val="24"/>
        </w:rPr>
        <w:t>會亦未曾於原住民族教育政策會等跨部會會議，提出將課程模組融入師資培育或在職進修課程事宜，不利民族教育師資培育</w:t>
      </w:r>
      <w:r>
        <w:rPr>
          <w:rFonts w:ascii="標楷體" w:eastAsia="標楷體" w:hAnsi="標楷體" w:hint="eastAsia"/>
          <w:szCs w:val="24"/>
        </w:rPr>
        <w:t>。經函請</w:t>
      </w:r>
      <w:r w:rsidRPr="00467BC2">
        <w:rPr>
          <w:rFonts w:ascii="標楷體" w:eastAsia="標楷體" w:hAnsi="標楷體" w:hint="eastAsia"/>
          <w:szCs w:val="24"/>
        </w:rPr>
        <w:t>原住民族委員會</w:t>
      </w:r>
      <w:r>
        <w:rPr>
          <w:rFonts w:ascii="標楷體" w:eastAsia="標楷體" w:hAnsi="標楷體" w:hint="eastAsia"/>
          <w:szCs w:val="24"/>
        </w:rPr>
        <w:t>就</w:t>
      </w:r>
      <w:r w:rsidRPr="00467BC2">
        <w:rPr>
          <w:rFonts w:ascii="標楷體" w:eastAsia="標楷體" w:hAnsi="標楷體" w:hint="eastAsia"/>
          <w:szCs w:val="24"/>
        </w:rPr>
        <w:t>已開發完竣之課程模組及教案教材，洽商教育部國家教育研究院協助審議及提供課程模組相關精進</w:t>
      </w:r>
      <w:r>
        <w:rPr>
          <w:rFonts w:ascii="標楷體" w:eastAsia="標楷體" w:hAnsi="標楷體" w:hint="eastAsia"/>
          <w:szCs w:val="24"/>
        </w:rPr>
        <w:t>意見，並</w:t>
      </w:r>
      <w:r w:rsidRPr="00467BC2">
        <w:rPr>
          <w:rFonts w:ascii="標楷體" w:eastAsia="標楷體" w:hAnsi="標楷體" w:hint="eastAsia"/>
          <w:szCs w:val="24"/>
        </w:rPr>
        <w:t>納入師資培育或在職進修學分課程</w:t>
      </w:r>
      <w:r>
        <w:rPr>
          <w:rFonts w:ascii="標楷體" w:eastAsia="標楷體" w:hAnsi="標楷體" w:hint="eastAsia"/>
          <w:szCs w:val="24"/>
        </w:rPr>
        <w:t>，俾有效提升教學品質。</w:t>
      </w:r>
      <w:r w:rsidRPr="00BA3699">
        <w:rPr>
          <w:rFonts w:ascii="標楷體" w:eastAsia="標楷體" w:hAnsi="標楷體" w:hint="eastAsia"/>
          <w:szCs w:val="24"/>
        </w:rPr>
        <w:t>據復：</w:t>
      </w:r>
      <w:r>
        <w:rPr>
          <w:rFonts w:ascii="標楷體" w:eastAsia="標楷體" w:hAnsi="標楷體" w:hint="eastAsia"/>
          <w:szCs w:val="24"/>
        </w:rPr>
        <w:t>將</w:t>
      </w:r>
      <w:r w:rsidRPr="00BA3699">
        <w:rPr>
          <w:rFonts w:ascii="標楷體" w:eastAsia="標楷體" w:hAnsi="標楷體" w:hint="eastAsia"/>
          <w:szCs w:val="24"/>
        </w:rPr>
        <w:t>研議以行政委託方式，委託教育部國家教育研究院進行</w:t>
      </w:r>
      <w:r>
        <w:rPr>
          <w:rFonts w:ascii="標楷體" w:eastAsia="標楷體" w:hAnsi="標楷體" w:hint="eastAsia"/>
          <w:szCs w:val="24"/>
        </w:rPr>
        <w:t>各知識研究中心所完成</w:t>
      </w:r>
      <w:r w:rsidRPr="00BA3699">
        <w:rPr>
          <w:rFonts w:ascii="標楷體" w:eastAsia="標楷體" w:hAnsi="標楷體" w:hint="eastAsia"/>
          <w:szCs w:val="24"/>
        </w:rPr>
        <w:t>課程模組成果</w:t>
      </w:r>
      <w:r>
        <w:rPr>
          <w:rFonts w:ascii="標楷體" w:eastAsia="標楷體" w:hAnsi="標楷體" w:hint="eastAsia"/>
          <w:szCs w:val="24"/>
        </w:rPr>
        <w:t>之審議、課程試教及</w:t>
      </w:r>
      <w:r w:rsidRPr="00BA3699">
        <w:rPr>
          <w:rFonts w:ascii="標楷體" w:eastAsia="標楷體" w:hAnsi="標楷體" w:hint="eastAsia"/>
          <w:szCs w:val="24"/>
        </w:rPr>
        <w:t>學習成效評估</w:t>
      </w:r>
      <w:r>
        <w:rPr>
          <w:rFonts w:ascii="標楷體" w:eastAsia="標楷體" w:hAnsi="標楷體" w:hint="eastAsia"/>
          <w:szCs w:val="24"/>
        </w:rPr>
        <w:t>；</w:t>
      </w:r>
      <w:r w:rsidRPr="00BA3699">
        <w:rPr>
          <w:rFonts w:ascii="標楷體" w:eastAsia="標楷體" w:hAnsi="標楷體" w:hint="eastAsia"/>
          <w:szCs w:val="24"/>
        </w:rPr>
        <w:t>後續將邀集教育部師資培育及藝術教育司，就各知識研究中心所完成之課程模組成果，</w:t>
      </w:r>
      <w:r>
        <w:rPr>
          <w:rFonts w:ascii="標楷體" w:eastAsia="標楷體" w:hAnsi="標楷體" w:hint="eastAsia"/>
          <w:szCs w:val="24"/>
        </w:rPr>
        <w:t>研商納入教育部師資培育之大學辦理原住民族師資培育專班實施計畫。</w:t>
      </w:r>
    </w:p>
    <w:p w14:paraId="58848A82" w14:textId="306B3D20" w:rsidR="006852E1" w:rsidRPr="00566082" w:rsidRDefault="006852E1" w:rsidP="006852E1">
      <w:pPr>
        <w:pStyle w:val="2"/>
        <w:overflowPunct w:val="0"/>
        <w:spacing w:beforeLines="20" w:before="72" w:afterLines="20" w:after="72" w:line="430" w:lineRule="exact"/>
        <w:ind w:left="0" w:firstLineChars="200" w:firstLine="561"/>
        <w:rPr>
          <w:rFonts w:hAnsi="標楷體"/>
          <w:b/>
          <w:color w:val="000000" w:themeColor="text1"/>
          <w:sz w:val="28"/>
          <w:szCs w:val="28"/>
        </w:rPr>
      </w:pPr>
      <w:r w:rsidRPr="00566082">
        <w:rPr>
          <w:rFonts w:hAnsi="標楷體" w:hint="eastAsia"/>
          <w:b/>
          <w:color w:val="000000" w:themeColor="text1"/>
          <w:sz w:val="28"/>
          <w:szCs w:val="28"/>
        </w:rPr>
        <w:t>（</w:t>
      </w:r>
      <w:r w:rsidR="008D008C">
        <w:rPr>
          <w:rFonts w:hAnsi="標楷體" w:hint="eastAsia"/>
          <w:b/>
          <w:color w:val="000000" w:themeColor="text1"/>
          <w:sz w:val="28"/>
          <w:szCs w:val="28"/>
        </w:rPr>
        <w:t>二</w:t>
      </w:r>
      <w:r>
        <w:rPr>
          <w:rFonts w:hAnsi="標楷體" w:hint="eastAsia"/>
          <w:b/>
          <w:color w:val="000000" w:themeColor="text1"/>
          <w:sz w:val="28"/>
          <w:szCs w:val="28"/>
        </w:rPr>
        <w:t>十</w:t>
      </w:r>
      <w:r w:rsidR="00781889">
        <w:rPr>
          <w:rFonts w:hAnsi="標楷體" w:hint="eastAsia"/>
          <w:b/>
          <w:color w:val="000000" w:themeColor="text1"/>
          <w:sz w:val="28"/>
          <w:szCs w:val="28"/>
        </w:rPr>
        <w:t>八</w:t>
      </w:r>
      <w:r w:rsidRPr="00566082">
        <w:rPr>
          <w:rFonts w:hAnsi="標楷體" w:hint="eastAsia"/>
          <w:b/>
          <w:color w:val="000000" w:themeColor="text1"/>
          <w:sz w:val="28"/>
          <w:szCs w:val="28"/>
        </w:rPr>
        <w:t>）　政府推動多元措施，致力健全原住民學生及嬰幼兒學習原住民族語文環境，惟族語師資仍欠適足，原住民學生修習族語課程、收看（聽）族語節目、通過族語認證比率仍待提升，又族語保母、沉浸式族語教學幼兒園相關補</w:t>
      </w:r>
      <w:r w:rsidRPr="007920E7">
        <w:rPr>
          <w:rFonts w:hAnsi="標楷體" w:hint="eastAsia"/>
          <w:b/>
          <w:color w:val="000000" w:themeColor="text1"/>
          <w:sz w:val="28"/>
          <w:szCs w:val="28"/>
        </w:rPr>
        <w:t>助計畫，間有監督機制未盡落實致補助效益欠明，補助資源配置結果未盡符合需</w:t>
      </w:r>
      <w:r w:rsidRPr="00566082">
        <w:rPr>
          <w:rFonts w:hAnsi="標楷體" w:hint="eastAsia"/>
          <w:b/>
          <w:color w:val="000000" w:themeColor="text1"/>
          <w:sz w:val="28"/>
          <w:szCs w:val="28"/>
        </w:rPr>
        <w:lastRenderedPageBreak/>
        <w:t>求，計畫申請普及率偏低等情，均待研謀改善。</w:t>
      </w:r>
    </w:p>
    <w:p w14:paraId="6FC2703F" w14:textId="77777777" w:rsidR="006852E1" w:rsidRPr="00566082" w:rsidRDefault="006852E1" w:rsidP="006852E1">
      <w:pPr>
        <w:overflowPunct w:val="0"/>
        <w:snapToGrid w:val="0"/>
        <w:spacing w:line="430" w:lineRule="exact"/>
        <w:ind w:firstLineChars="200" w:firstLine="480"/>
        <w:jc w:val="both"/>
        <w:rPr>
          <w:rFonts w:ascii="標楷體" w:eastAsia="標楷體" w:hAnsi="標楷體"/>
          <w:color w:val="000000" w:themeColor="text1"/>
          <w:szCs w:val="24"/>
        </w:rPr>
      </w:pPr>
      <w:r w:rsidRPr="00566082">
        <w:rPr>
          <w:rFonts w:ascii="標楷體" w:eastAsia="標楷體" w:hAnsi="標楷體" w:hint="eastAsia"/>
          <w:color w:val="000000" w:themeColor="text1"/>
          <w:szCs w:val="24"/>
        </w:rPr>
        <w:t>政府基於原住民族語言為國家語言，為實現歷史正義，促進原住民族語言之保存與發展，保障原住民族語言之使用及傳承，於106年6月14日制定公布原住民族語言發展法。原住民族委員會及教育部為依法健全原住民學生及嬰幼兒學習原住民族語文（下稱族語）環境，推動族語師資培育、於國民教育階段開設族語課程、透過原住民族電視臺（廣播電臺）製播族語節目、補助辦理族語保母、沉浸式族語教學幼兒園計畫等。經查執行情形，核有下列事項：</w:t>
      </w:r>
    </w:p>
    <w:p w14:paraId="1159049F" w14:textId="76515A84" w:rsidR="006852E1" w:rsidRPr="00566082" w:rsidRDefault="006852E1" w:rsidP="006C596E">
      <w:pPr>
        <w:overflowPunct w:val="0"/>
        <w:snapToGrid w:val="0"/>
        <w:spacing w:line="436" w:lineRule="exact"/>
        <w:ind w:firstLineChars="450" w:firstLine="1081"/>
        <w:jc w:val="both"/>
        <w:rPr>
          <w:rFonts w:ascii="標楷體" w:eastAsia="標楷體" w:hAnsi="標楷體"/>
          <w:color w:val="000000" w:themeColor="text1"/>
          <w:szCs w:val="24"/>
        </w:rPr>
      </w:pPr>
      <w:r w:rsidRPr="00566082">
        <w:rPr>
          <w:rFonts w:ascii="標楷體" w:eastAsia="標楷體" w:hAnsi="標楷體"/>
          <w:b/>
          <w:color w:val="000000" w:themeColor="text1"/>
          <w:szCs w:val="24"/>
        </w:rPr>
        <w:t>1.</w:t>
      </w:r>
      <w:r w:rsidRPr="00566082">
        <w:rPr>
          <w:rFonts w:ascii="標楷體" w:eastAsia="標楷體" w:hAnsi="標楷體" w:hint="eastAsia"/>
          <w:b/>
          <w:color w:val="000000" w:themeColor="text1"/>
          <w:szCs w:val="24"/>
        </w:rPr>
        <w:t xml:space="preserve">　原住民族委員會已協同教育部致力推動族語師資培育事宜，惟國民基本教育階段仍由教學支援人員任教為主，未符法定專職聘用原則，又間有既有講師未符授課資格、培育取得教學資格人數偏低等情：</w:t>
      </w:r>
      <w:r w:rsidRPr="00566082">
        <w:rPr>
          <w:rFonts w:ascii="標楷體" w:eastAsia="標楷體" w:hAnsi="標楷體" w:hint="eastAsia"/>
          <w:color w:val="000000" w:themeColor="text1"/>
          <w:szCs w:val="24"/>
        </w:rPr>
        <w:t>依原住民族語言發展法第22條第1項規定：「中央教育主管機關應培訓原住民族語老師，並協助直轄市、縣（市）主管機關以專職方式聘用為原則。」高級中等以下學校及幼兒園原住民族語師資培育及聘用辦法第2條規定，族語課程教學之師資主要包括取得本土語文族語專長教師證書之合格教師，及具族語能力認證之合格教師、族語老師、教學支援工作人員；所稱具族語能力認證，指取得原住民族委員會102年底以前核發之族語能力認證考試合格證書，或103年以後核發之族語能力認證測驗高級以上合格證書者。經查執行情形，核有：（1）據教育部國民及學前教育署（下稱國教署）提供資料，截至112年11月底止，族語教學人員共計2,076人，其中現職合格教師通過族語能力認證者222人、原住民族語老師230人、教學支援人員計1,624人，總計專職人員452人</w:t>
      </w:r>
      <w:r w:rsidR="00C2362F" w:rsidRPr="00C2362F">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占21.77％</w:t>
      </w:r>
      <w:r w:rsidR="006C41C5" w:rsidRPr="006C41C5">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，非專職人員1,624人</w:t>
      </w:r>
      <w:r w:rsidR="00C2362F" w:rsidRPr="00C2362F">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占78.23％</w:t>
      </w:r>
      <w:r w:rsidR="006C41C5" w:rsidRPr="006C41C5">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未符原住民族語言發展法第22條所定以專職方式聘用老師之原則，且較諸閩南語、客語文課程之專職人員師資占比77％、56％，亦有改善提升空間；又依國教署「國民中小學教職員人力資源網」產製112學年度第1學期「本土語文/臺灣手語/新住民語文師資概況表</w:t>
      </w:r>
      <w:r w:rsidR="00C2362F" w:rsidRPr="00C2362F">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學校彙整表</w:t>
      </w:r>
      <w:r w:rsidR="006C41C5" w:rsidRPr="006C41C5">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」，交叉比對族語高級認證資料庫名單，涉有開班教授族語師資646人次未取得族語高級認證，恐不符合授課資格等情，均影響族語長期推廣及復振</w:t>
      </w:r>
      <w:r w:rsidR="0018365E">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2）教育部為培育族語正式專職教師，並提供教學支援人員修習師資職前教育課程，取得族語之本土語文專長教師證書之機會，自109學年度起補助8所原住民族師資培育大學推動「師資培育之大學辦理原住民族師資培育專班實施計畫」、學士後教育學分班、在職進修專長學分班等多元管道，培育正式族語教師，111及112年度補助經費分別為1,228萬餘元、1,127萬餘元。教育部於109年預估，113學年度之前依前揭3種管道可供給族語教學正式專任師資104名，惟109學年度至112學年度第1學期執行結果，實際培育具族語教學資格者僅12人，恐難以達成前揭預期目標</w:t>
      </w:r>
      <w:r w:rsidR="0018365E">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3）原住民族委員會於106年與教育部共同頒布原住民族語言師資培育計畫，自107學年度起依該計畫、原住民族語言發展法第21條及第22條規定，補助國立臺灣師範大學等7所大學成立原住民族語言學習中心，開辦族語學習班及學分班，計畫目標包含提供社會大眾修習族語、培育同時符合</w:t>
      </w:r>
      <w:r w:rsidRPr="007920E7">
        <w:rPr>
          <w:rFonts w:ascii="標楷體" w:eastAsia="標楷體" w:hAnsi="標楷體" w:hint="eastAsia"/>
          <w:color w:val="000000" w:themeColor="text1"/>
          <w:szCs w:val="24"/>
        </w:rPr>
        <w:t>修畢族語學分（20學分）及族語能力認證高級之族語教學師資，107至112學年度補助經費</w:t>
      </w:r>
      <w:r w:rsidRPr="007920E7">
        <w:rPr>
          <w:rFonts w:ascii="標楷體" w:eastAsia="標楷體" w:hAnsi="標楷體" w:hint="eastAsia"/>
          <w:color w:val="000000" w:themeColor="text1"/>
          <w:szCs w:val="24"/>
        </w:rPr>
        <w:lastRenderedPageBreak/>
        <w:t>合</w:t>
      </w:r>
      <w:r w:rsidRPr="00566082">
        <w:rPr>
          <w:rFonts w:ascii="標楷體" w:eastAsia="標楷體" w:hAnsi="標楷體" w:hint="eastAsia"/>
          <w:color w:val="000000" w:themeColor="text1"/>
          <w:szCs w:val="24"/>
        </w:rPr>
        <w:t>計1億6,533萬元。截至112年7月底止執行結果，修課1</w:t>
      </w:r>
      <w:r w:rsidR="00DD2F33">
        <w:rPr>
          <w:rFonts w:ascii="標楷體" w:eastAsia="標楷體" w:hAnsi="標楷體" w:hint="eastAsia"/>
          <w:color w:val="000000" w:themeColor="text1"/>
          <w:szCs w:val="24"/>
        </w:rPr>
        <w:t>萬</w:t>
      </w:r>
      <w:r w:rsidRPr="00566082">
        <w:rPr>
          <w:rFonts w:ascii="標楷體" w:eastAsia="標楷體" w:hAnsi="標楷體" w:hint="eastAsia"/>
          <w:color w:val="000000" w:themeColor="text1"/>
          <w:szCs w:val="24"/>
        </w:rPr>
        <w:t>4,807人次、通過各級族語能力認證2,218人次，惟107至111學年度結業取得修畢學分證明者僅485人次、通過族語能力認證高級以上者僅108</w:t>
      </w:r>
      <w:r w:rsidR="0043255F">
        <w:rPr>
          <w:rFonts w:ascii="標楷體" w:eastAsia="標楷體" w:hAnsi="標楷體" w:hint="eastAsia"/>
          <w:color w:val="000000" w:themeColor="text1"/>
          <w:szCs w:val="24"/>
        </w:rPr>
        <w:t>人次，補充族語教學</w:t>
      </w:r>
      <w:r w:rsidRPr="00566082">
        <w:rPr>
          <w:rFonts w:ascii="標楷體" w:eastAsia="標楷體" w:hAnsi="標楷體" w:hint="eastAsia"/>
          <w:color w:val="000000" w:themeColor="text1"/>
          <w:szCs w:val="24"/>
        </w:rPr>
        <w:t>潛在師資</w:t>
      </w:r>
      <w:r w:rsidR="0043255F">
        <w:rPr>
          <w:rFonts w:ascii="標楷體" w:eastAsia="標楷體" w:hAnsi="標楷體" w:hint="eastAsia"/>
          <w:color w:val="000000" w:themeColor="text1"/>
          <w:szCs w:val="24"/>
        </w:rPr>
        <w:t>之</w:t>
      </w:r>
      <w:r w:rsidRPr="00566082">
        <w:rPr>
          <w:rFonts w:ascii="標楷體" w:eastAsia="標楷體" w:hAnsi="標楷體" w:hint="eastAsia"/>
          <w:color w:val="000000" w:themeColor="text1"/>
          <w:szCs w:val="24"/>
        </w:rPr>
        <w:t>量能有限</w:t>
      </w:r>
      <w:r w:rsidR="0018365E">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（4）原住民族委員會及教育部為因應族語教學師資不足，研議評估聘任資格由族語認證高級調降為中高級之可行性，惟各界對於族語師資資格放寬之看法迥異，尚未凝聚共識</w:t>
      </w:r>
      <w:r w:rsidR="0018365E">
        <w:rPr>
          <w:rFonts w:ascii="標楷體" w:eastAsia="標楷體" w:hAnsi="標楷體" w:hint="eastAsia"/>
          <w:color w:val="000000" w:themeColor="text1"/>
          <w:szCs w:val="24"/>
        </w:rPr>
        <w:t>等情事</w:t>
      </w:r>
      <w:r w:rsidRPr="00566082">
        <w:rPr>
          <w:rFonts w:ascii="標楷體" w:eastAsia="標楷體" w:hAnsi="標楷體" w:hint="eastAsia"/>
          <w:color w:val="000000" w:themeColor="text1"/>
          <w:szCs w:val="24"/>
        </w:rPr>
        <w:t>。經函請原住民族委員會協同教育部研謀有效充實族語師資之對策，並確實檢討放寬任教資格政策之可行性及利弊得失，以持續提升族語教學量能及品質，俾利世代傳承語言及文化。據復：已於112年底與教育部討論推動多元管道培育族語師資，並將研議減輕師資生修業負擔、檢討教師資格檢定科目等措施之可行性，另有關放寬族語任教資格，將透過全國分區座談會徵詢族語工作者意見，提供教育部作為研議調整族語師資資格之參據。</w:t>
      </w:r>
    </w:p>
    <w:p w14:paraId="1F12F240" w14:textId="539E062F" w:rsidR="006852E1" w:rsidRPr="00566082" w:rsidRDefault="006852E1" w:rsidP="006852E1">
      <w:pPr>
        <w:overflowPunct w:val="0"/>
        <w:snapToGrid w:val="0"/>
        <w:spacing w:line="430" w:lineRule="exact"/>
        <w:ind w:firstLineChars="450" w:firstLine="1081"/>
        <w:jc w:val="both"/>
        <w:rPr>
          <w:rFonts w:ascii="標楷體" w:eastAsia="標楷體" w:hAnsi="標楷體"/>
          <w:color w:val="000000" w:themeColor="text1"/>
          <w:szCs w:val="24"/>
        </w:rPr>
      </w:pPr>
      <w:r w:rsidRPr="00566082">
        <w:rPr>
          <w:rFonts w:ascii="標楷體" w:eastAsia="標楷體" w:hAnsi="標楷體"/>
          <w:b/>
          <w:color w:val="000000" w:themeColor="text1"/>
          <w:szCs w:val="24"/>
        </w:rPr>
        <w:t>2.</w:t>
      </w:r>
      <w:r w:rsidRPr="00566082">
        <w:rPr>
          <w:rFonts w:ascii="標楷體" w:eastAsia="標楷體" w:hAnsi="標楷體" w:hint="eastAsia"/>
          <w:b/>
          <w:color w:val="000000" w:themeColor="text1"/>
          <w:szCs w:val="24"/>
        </w:rPr>
        <w:t xml:space="preserve">　政府透過十二年課綱及原住民族電視臺（廣播電臺），開設族語課程或製播節目，提供原住民學生多元學習族語管道，惟選修率或收看（聽）率、通過語言檢測比率及學習成效仍待提升：</w:t>
      </w:r>
      <w:r w:rsidRPr="00566082">
        <w:rPr>
          <w:rFonts w:ascii="標楷體" w:eastAsia="標楷體" w:hAnsi="標楷體" w:hint="eastAsia"/>
          <w:color w:val="000000" w:themeColor="text1"/>
          <w:szCs w:val="24"/>
        </w:rPr>
        <w:t>原住民族語言發展法第19條規定：「學校應依十二年國民基本教育本土語文課程綱要規定，提供原住民族語言課程，以因應原住民學生修習需要，並鼓勵以原住民族語言進行教學。」原住民族委員會、教育部及所屬國教署為提供原住民學生學習族語機會及環境，111學年度補助市縣政府族語專職老師經費1億2,106萬餘元、補助市縣政府開設國中小族語課程經費1億5,702萬元、補助高中開設族語課程經費761萬餘元，辦理國小族語教學直播共學計畫經費2,945萬元；又原住民族委員會為配合國家語言整體發展方案，發展族語傳媒資源，提升族語使用機會，112年度捐助財團法人原住民族文化事業基金會預算4億4,950萬元，辦理原住民族語言文化節目、新聞及廣播製播。經查執行情形，核有：（1）111學年度國民基本教育階段族語修習情形，在高中部分，依十二年國民基本教育課程綱要（下稱十二年課綱）語文領域</w:t>
      </w:r>
      <w:r w:rsidRPr="00566082">
        <w:rPr>
          <w:rFonts w:ascii="標楷體" w:eastAsia="標楷體" w:hAnsi="標楷體"/>
          <w:color w:val="000000" w:themeColor="text1"/>
          <w:szCs w:val="24"/>
        </w:rPr>
        <w:t>—</w:t>
      </w:r>
      <w:r w:rsidRPr="00566082">
        <w:rPr>
          <w:rFonts w:ascii="標楷體" w:eastAsia="標楷體" w:hAnsi="標楷體" w:hint="eastAsia"/>
          <w:color w:val="000000" w:themeColor="text1"/>
          <w:szCs w:val="24"/>
        </w:rPr>
        <w:t>原住民族語文規定，族語必修課以高中1年級開設為原則，惟據原住民族委員會統計，111學年度受訪高中1年級原住民學生中，逾5成（53.50％）在校沒上族語課；在國中小學部分，依國民中小學開設本土語文課程應注意事項第3點規定，族語必修課開設於國中1、2年級及國小1至6年級，自111學年度起逐年實施（111學年度本土語必修課適用對象為國中1年級，及國小1至6年級），惟據國教署統計，111學年度第1學期</w:t>
      </w:r>
      <w:r w:rsidR="006C596E">
        <w:rPr>
          <w:rFonts w:ascii="標楷體" w:eastAsia="標楷體" w:hAnsi="標楷體" w:hint="eastAsia"/>
          <w:color w:val="000000" w:themeColor="text1"/>
          <w:szCs w:val="24"/>
        </w:rPr>
        <w:t>有</w:t>
      </w:r>
      <w:r w:rsidRPr="00566082">
        <w:rPr>
          <w:rFonts w:ascii="標楷體" w:eastAsia="標楷體" w:hAnsi="標楷體" w:hint="eastAsia"/>
          <w:color w:val="000000" w:themeColor="text1"/>
          <w:szCs w:val="24"/>
        </w:rPr>
        <w:t>選習族語意願</w:t>
      </w:r>
      <w:r w:rsidR="006C596E">
        <w:rPr>
          <w:rFonts w:ascii="標楷體" w:eastAsia="標楷體" w:hAnsi="標楷體" w:hint="eastAsia"/>
          <w:color w:val="000000" w:themeColor="text1"/>
          <w:szCs w:val="24"/>
        </w:rPr>
        <w:t>之</w:t>
      </w:r>
      <w:r w:rsidRPr="00566082">
        <w:rPr>
          <w:rFonts w:ascii="標楷體" w:eastAsia="標楷體" w:hAnsi="標楷體" w:hint="eastAsia"/>
          <w:color w:val="000000" w:themeColor="text1"/>
          <w:szCs w:val="24"/>
        </w:rPr>
        <w:t>國中1年級</w:t>
      </w:r>
      <w:r w:rsidR="006C596E">
        <w:rPr>
          <w:rFonts w:ascii="標楷體" w:eastAsia="標楷體" w:hAnsi="標楷體" w:hint="eastAsia"/>
          <w:color w:val="000000" w:themeColor="text1"/>
          <w:szCs w:val="24"/>
        </w:rPr>
        <w:t>及國小學生分別計</w:t>
      </w:r>
      <w:r w:rsidRPr="00566082">
        <w:rPr>
          <w:rFonts w:ascii="標楷體" w:eastAsia="標楷體" w:hAnsi="標楷體" w:hint="eastAsia"/>
          <w:color w:val="000000" w:themeColor="text1"/>
          <w:szCs w:val="24"/>
        </w:rPr>
        <w:t>4,901</w:t>
      </w:r>
      <w:r w:rsidR="006C596E">
        <w:rPr>
          <w:rFonts w:ascii="標楷體" w:eastAsia="標楷體" w:hAnsi="標楷體" w:hint="eastAsia"/>
          <w:color w:val="000000" w:themeColor="text1"/>
          <w:szCs w:val="24"/>
        </w:rPr>
        <w:t>人、</w:t>
      </w:r>
      <w:r w:rsidRPr="00566082">
        <w:rPr>
          <w:rFonts w:ascii="標楷體" w:eastAsia="標楷體" w:hAnsi="標楷體" w:hint="eastAsia"/>
          <w:color w:val="000000" w:themeColor="text1"/>
          <w:szCs w:val="24"/>
        </w:rPr>
        <w:t>3萬5,277人，</w:t>
      </w:r>
      <w:r w:rsidR="006C596E">
        <w:rPr>
          <w:rFonts w:ascii="標楷體" w:eastAsia="標楷體" w:hAnsi="標楷體" w:hint="eastAsia"/>
          <w:color w:val="000000" w:themeColor="text1"/>
          <w:szCs w:val="24"/>
        </w:rPr>
        <w:t>倘假設其為原住民學生</w:t>
      </w:r>
      <w:r w:rsidRPr="00566082">
        <w:rPr>
          <w:rFonts w:ascii="標楷體" w:eastAsia="標楷體" w:hAnsi="標楷體" w:hint="eastAsia"/>
          <w:color w:val="000000" w:themeColor="text1"/>
          <w:szCs w:val="24"/>
        </w:rPr>
        <w:t>，</w:t>
      </w:r>
      <w:r w:rsidR="006C596E">
        <w:rPr>
          <w:rFonts w:ascii="標楷體" w:eastAsia="標楷體" w:hAnsi="標楷體" w:hint="eastAsia"/>
          <w:color w:val="000000" w:themeColor="text1"/>
          <w:szCs w:val="24"/>
        </w:rPr>
        <w:t>僅</w:t>
      </w:r>
      <w:r w:rsidRPr="00566082">
        <w:rPr>
          <w:rFonts w:ascii="標楷體" w:eastAsia="標楷體" w:hAnsi="標楷體" w:hint="eastAsia"/>
          <w:color w:val="000000" w:themeColor="text1"/>
          <w:szCs w:val="24"/>
        </w:rPr>
        <w:t>分別占111學年度國中1年級及國小</w:t>
      </w:r>
      <w:r w:rsidR="006C596E">
        <w:rPr>
          <w:rFonts w:ascii="標楷體" w:eastAsia="標楷體" w:hAnsi="標楷體" w:hint="eastAsia"/>
          <w:color w:val="000000" w:themeColor="text1"/>
          <w:szCs w:val="24"/>
        </w:rPr>
        <w:t>全體</w:t>
      </w:r>
      <w:r w:rsidRPr="00566082">
        <w:rPr>
          <w:rFonts w:ascii="標楷體" w:eastAsia="標楷體" w:hAnsi="標楷體" w:hint="eastAsia"/>
          <w:color w:val="000000" w:themeColor="text1"/>
          <w:szCs w:val="24"/>
        </w:rPr>
        <w:t>原住民學生數之72.25％、76.74％，原住民學生修習族語比率尚待提升；（2）據原住民族委員會族語使用問卷調查結果，111學年度未收看（聽）原住民族電視臺、原住民族廣播電臺之比率，國中1年級學生達66.12％、77.49％，高中1年級學生則達74.35％、84.05％，原住民學生收看（聽）情形欠佳；（3）</w:t>
      </w:r>
      <w:r w:rsidR="006C596E">
        <w:rPr>
          <w:rFonts w:ascii="標楷體" w:eastAsia="標楷體" w:hAnsi="標楷體" w:hint="eastAsia"/>
          <w:color w:val="000000" w:themeColor="text1"/>
          <w:szCs w:val="24"/>
        </w:rPr>
        <w:t>據</w:t>
      </w:r>
      <w:r w:rsidRPr="00566082">
        <w:rPr>
          <w:rFonts w:ascii="標楷體" w:eastAsia="標楷體" w:hAnsi="標楷體" w:hint="eastAsia"/>
          <w:color w:val="000000" w:themeColor="text1"/>
          <w:szCs w:val="24"/>
        </w:rPr>
        <w:t>族語能力認證測驗簡章、族語教學教材、財團法人原</w:t>
      </w:r>
      <w:r w:rsidRPr="006C596E">
        <w:rPr>
          <w:rFonts w:ascii="標楷體" w:eastAsia="標楷體" w:hAnsi="標楷體" w:hint="eastAsia"/>
          <w:color w:val="000000" w:themeColor="text1"/>
          <w:szCs w:val="24"/>
        </w:rPr>
        <w:t>住民族語言研究發展基金會評估報告及族語教學專業文獻，國小原住民學生倘依循十二年課綱</w:t>
      </w:r>
      <w:r w:rsidRPr="00566082">
        <w:rPr>
          <w:rFonts w:ascii="標楷體" w:eastAsia="標楷體" w:hAnsi="標楷體" w:hint="eastAsia"/>
          <w:color w:val="000000" w:themeColor="text1"/>
          <w:szCs w:val="24"/>
        </w:rPr>
        <w:t>學習階段修習</w:t>
      </w:r>
      <w:r w:rsidRPr="00566082">
        <w:rPr>
          <w:rFonts w:ascii="標楷體" w:eastAsia="標楷體" w:hAnsi="標楷體" w:hint="eastAsia"/>
          <w:color w:val="000000" w:themeColor="text1"/>
          <w:szCs w:val="24"/>
        </w:rPr>
        <w:lastRenderedPageBreak/>
        <w:t>族語課程，畢業時應具備通過族語認證中級能力，國中原住民學生應具備通過族語認證中高級能力。惟本部於112年10月至花蓮縣及臺東縣等地方政府查核發現，部分教學現場國中學生族語程度不足，須使用國小階段之教材教學，凸顯國小學生族語學習成就未能按該階段教材內容妥為內化吸收；又111學年度3,267位高中1年級原住民學生中，僅1.01％通過中高級以上族語認證，13至15歲（國中）、16至18歲（高中）原住民學生族語認證通過率，初級均約3成、中級均約5成、中高級分別為1.80％及3.79％，原住民國、高中學生族語能力認證通過比率偏低</w:t>
      </w:r>
      <w:r w:rsidR="00FC66C0">
        <w:rPr>
          <w:rFonts w:ascii="標楷體" w:eastAsia="標楷體" w:hAnsi="標楷體" w:hint="eastAsia"/>
          <w:color w:val="000000" w:themeColor="text1"/>
          <w:szCs w:val="24"/>
        </w:rPr>
        <w:t>等情事</w:t>
      </w:r>
      <w:r w:rsidRPr="00566082">
        <w:rPr>
          <w:rFonts w:ascii="標楷體" w:eastAsia="標楷體" w:hAnsi="標楷體" w:hint="eastAsia"/>
          <w:color w:val="000000" w:themeColor="text1"/>
          <w:szCs w:val="24"/>
        </w:rPr>
        <w:t>。經函請原住民族委員會持續與教育部及所屬國教署合作，協助提升原住民學生選習族語課程比率，並研謀鼓勵學生報考族語認證、培養接近族語傳媒興趣，強化語言學習及增加使用頻率，進而加深其對原住民族文化認同程度，促進民族語文之傳承。據復：</w:t>
      </w:r>
      <w:r w:rsidR="00FC66C0" w:rsidRPr="00566082">
        <w:rPr>
          <w:rFonts w:ascii="標楷體" w:eastAsia="標楷體" w:hAnsi="標楷體" w:hint="eastAsia"/>
          <w:color w:val="000000" w:themeColor="text1"/>
          <w:szCs w:val="24"/>
        </w:rPr>
        <w:t>（1）</w:t>
      </w:r>
      <w:r w:rsidRPr="00566082">
        <w:rPr>
          <w:rFonts w:ascii="標楷體" w:eastAsia="標楷體" w:hAnsi="標楷體" w:hint="eastAsia"/>
          <w:color w:val="000000" w:themeColor="text1"/>
          <w:szCs w:val="24"/>
        </w:rPr>
        <w:t>將依據各市縣修課比率，建議教育部督導研提提高原住民學生修習族語課程比率之具體策略；</w:t>
      </w:r>
      <w:r w:rsidR="00FC66C0" w:rsidRPr="00566082">
        <w:rPr>
          <w:rFonts w:ascii="標楷體" w:eastAsia="標楷體" w:hAnsi="標楷體" w:hint="eastAsia"/>
          <w:color w:val="000000" w:themeColor="text1"/>
          <w:szCs w:val="24"/>
        </w:rPr>
        <w:t>（</w:t>
      </w:r>
      <w:r w:rsidR="00FC66C0">
        <w:rPr>
          <w:rFonts w:ascii="標楷體" w:eastAsia="標楷體" w:hAnsi="標楷體" w:hint="eastAsia"/>
          <w:color w:val="000000" w:themeColor="text1"/>
          <w:szCs w:val="24"/>
        </w:rPr>
        <w:t>2</w:t>
      </w:r>
      <w:r w:rsidR="00FC66C0" w:rsidRPr="00566082">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持續進行媒體節目在族語教學上應用之研發，培養學生接近族語傳媒興趣；</w:t>
      </w:r>
      <w:r w:rsidR="00FC66C0" w:rsidRPr="00566082">
        <w:rPr>
          <w:rFonts w:ascii="標楷體" w:eastAsia="標楷體" w:hAnsi="標楷體" w:hint="eastAsia"/>
          <w:color w:val="000000" w:themeColor="text1"/>
          <w:szCs w:val="24"/>
        </w:rPr>
        <w:t>（</w:t>
      </w:r>
      <w:r w:rsidR="00FC66C0">
        <w:rPr>
          <w:rFonts w:ascii="標楷體" w:eastAsia="標楷體" w:hAnsi="標楷體" w:hint="eastAsia"/>
          <w:color w:val="000000" w:themeColor="text1"/>
          <w:szCs w:val="24"/>
        </w:rPr>
        <w:t>3</w:t>
      </w:r>
      <w:r w:rsidR="00FC66C0" w:rsidRPr="00566082">
        <w:rPr>
          <w:rFonts w:ascii="標楷體" w:eastAsia="標楷體" w:hAnsi="標楷體" w:hint="eastAsia"/>
          <w:color w:val="000000" w:themeColor="text1"/>
          <w:szCs w:val="24"/>
        </w:rPr>
        <w:t>）</w:t>
      </w:r>
      <w:r w:rsidRPr="00566082">
        <w:rPr>
          <w:rFonts w:ascii="標楷體" w:eastAsia="標楷體" w:hAnsi="標楷體" w:hint="eastAsia"/>
          <w:color w:val="000000" w:themeColor="text1"/>
          <w:szCs w:val="24"/>
        </w:rPr>
        <w:t>持續推動出版應試指南與線上模擬測驗程式等措施，以提升原住民學生報考族語認證意願。</w:t>
      </w:r>
    </w:p>
    <w:p w14:paraId="34E4345A" w14:textId="7262D5A5" w:rsidR="006852E1" w:rsidRPr="00566082" w:rsidRDefault="006852E1" w:rsidP="00F54540">
      <w:pPr>
        <w:overflowPunct w:val="0"/>
        <w:snapToGrid w:val="0"/>
        <w:spacing w:line="420" w:lineRule="exact"/>
        <w:ind w:firstLineChars="450" w:firstLine="1081"/>
        <w:jc w:val="both"/>
        <w:rPr>
          <w:rFonts w:ascii="標楷體" w:eastAsia="標楷體" w:hAnsi="標楷體"/>
          <w:color w:val="000000" w:themeColor="text1"/>
          <w:szCs w:val="24"/>
        </w:rPr>
      </w:pPr>
      <w:r w:rsidRPr="00566082">
        <w:rPr>
          <w:rFonts w:ascii="標楷體" w:eastAsia="標楷體" w:hAnsi="標楷體" w:hint="eastAsia"/>
          <w:b/>
          <w:color w:val="000000" w:themeColor="text1"/>
          <w:szCs w:val="24"/>
        </w:rPr>
        <w:t>3</w:t>
      </w:r>
      <w:r w:rsidRPr="00566082">
        <w:rPr>
          <w:rFonts w:ascii="標楷體" w:eastAsia="標楷體" w:hAnsi="標楷體"/>
          <w:b/>
          <w:color w:val="000000" w:themeColor="text1"/>
          <w:szCs w:val="24"/>
        </w:rPr>
        <w:t>.</w:t>
      </w:r>
      <w:r w:rsidRPr="00566082">
        <w:rPr>
          <w:rFonts w:ascii="標楷體" w:eastAsia="標楷體" w:hAnsi="標楷體" w:hint="eastAsia"/>
          <w:b/>
          <w:color w:val="000000" w:themeColor="text1"/>
          <w:szCs w:val="24"/>
        </w:rPr>
        <w:t xml:space="preserve">　原住民族委員會補助辦理族語保母及沉浸式族語教學幼兒園計畫，協助學齡前幼兒掌握族語學習黃金時期，惟送托族語保母保育幼兒，因實地訪查影片上傳機制未臻落實，致每月約有近2成幼兒學習動態不明；又沉浸式幼兒園逾9成分布於原住民族地區，未符合都會區原住民幼兒家長送托需求，且原住民族地區之幼兒園申請計畫普及率仍低：</w:t>
      </w:r>
      <w:r w:rsidRPr="00566082">
        <w:rPr>
          <w:rFonts w:ascii="標楷體" w:eastAsia="標楷體" w:hAnsi="標楷體" w:hint="eastAsia"/>
          <w:color w:val="000000" w:themeColor="text1"/>
          <w:szCs w:val="24"/>
        </w:rPr>
        <w:t>原住民族委員會為重塑「第一語言」學習環境，掌握學齡前（0-5歲）語言學習黃金時期，自102年起推動「原住民族保母獎助計畫」及「沉浸式族語教學幼兒園計畫」，前者計畫目的係透過國內社會福利體系之保母托育系統，結合族語傳承內涵，培育兼具專業托育技能及族語傳承能力之族語保母，建構自然族語與文化學習環境；後者計畫目的為提供幼兒族語學習與日常族語使用環境，提升族語教保員專業課程規劃及族語能力，並以幼兒園為核心，推動親子及老幼共學，帶動部落、社區共同參與，落實族語學習家庭化與部落化。原住民族委員會核定補助市縣政府辦理112年度原住民族語保母獎助計畫經費4,157萬餘元及112學年度沉浸式族語教學幼兒園計畫1億332萬餘元（原住民族委員會與國教署各分攤一半），經查執行情形，核有：（1）原住民族語保母獎助計畫雖訂有透過家訪員每月實地訪視原住民族語保母及其照顧之學齡前原住民幼兒族語學習狀況，家訪員並應拍攝影片繳交所屬市縣政府，由該市縣政府上傳至專案管理中心，</w:t>
      </w:r>
      <w:r w:rsidR="006C596E">
        <w:rPr>
          <w:rFonts w:ascii="標楷體" w:eastAsia="標楷體" w:hAnsi="標楷體" w:hint="eastAsia"/>
          <w:color w:val="000000" w:themeColor="text1"/>
          <w:szCs w:val="24"/>
        </w:rPr>
        <w:t>再由該中心審查學齡前原住民幼兒族語程度是否達標等監督作為，惟</w:t>
      </w:r>
      <w:r w:rsidRPr="00566082">
        <w:rPr>
          <w:rFonts w:ascii="標楷體" w:eastAsia="標楷體" w:hAnsi="標楷體" w:hint="eastAsia"/>
          <w:color w:val="000000" w:themeColor="text1"/>
          <w:szCs w:val="24"/>
        </w:rPr>
        <w:t>經分析原住民族委員會及專案管理中心提供資料，110年1至10月、111年2至11月、112年1至11月訪視影片平均每月未繳率分別為13.93％、22.42％、17.02％，約2成之補助案件無法確認原住民族語保母使用族語托育或學齡前原住民幼兒族語學習狀況，弱化專案管理中心監督計畫執行之力道；（2）據原住民族委員會提供資料，沉浸式族語教學幼兒園計畫110至112學年補助幼兒園所數（6</w:t>
      </w:r>
      <w:r w:rsidRPr="00566082">
        <w:rPr>
          <w:rFonts w:ascii="標楷體" w:eastAsia="標楷體" w:hAnsi="標楷體"/>
          <w:color w:val="000000" w:themeColor="text1"/>
          <w:szCs w:val="24"/>
        </w:rPr>
        <w:t>2</w:t>
      </w:r>
      <w:r w:rsidRPr="00566082">
        <w:rPr>
          <w:rFonts w:ascii="標楷體" w:eastAsia="標楷體" w:hAnsi="標楷體" w:hint="eastAsia"/>
          <w:color w:val="000000" w:themeColor="text1"/>
          <w:szCs w:val="24"/>
        </w:rPr>
        <w:t>至84所，統計基準含幼兒園所分班）、班次（70至94班）及收托幼兒數（1</w:t>
      </w:r>
      <w:r w:rsidRPr="00566082">
        <w:rPr>
          <w:rFonts w:ascii="標楷體" w:eastAsia="標楷體" w:hAnsi="標楷體"/>
          <w:color w:val="000000" w:themeColor="text1"/>
          <w:szCs w:val="24"/>
        </w:rPr>
        <w:t>,465</w:t>
      </w:r>
      <w:r w:rsidRPr="00566082">
        <w:rPr>
          <w:rFonts w:ascii="標楷體" w:eastAsia="標楷體" w:hAnsi="標楷體" w:hint="eastAsia"/>
          <w:color w:val="000000" w:themeColor="text1"/>
          <w:szCs w:val="24"/>
        </w:rPr>
        <w:t>至1</w:t>
      </w:r>
      <w:r w:rsidRPr="00566082">
        <w:rPr>
          <w:rFonts w:ascii="標楷體" w:eastAsia="標楷體" w:hAnsi="標楷體"/>
          <w:color w:val="000000" w:themeColor="text1"/>
          <w:szCs w:val="24"/>
        </w:rPr>
        <w:t>,609</w:t>
      </w:r>
      <w:r w:rsidRPr="00566082">
        <w:rPr>
          <w:rFonts w:ascii="標楷體" w:eastAsia="標楷體" w:hAnsi="標楷體" w:hint="eastAsia"/>
          <w:color w:val="000000" w:themeColor="text1"/>
          <w:szCs w:val="24"/>
        </w:rPr>
        <w:t>人）呈微</w:t>
      </w:r>
      <w:r w:rsidRPr="006C596E">
        <w:rPr>
          <w:rFonts w:ascii="標楷體" w:eastAsia="標楷體" w:hAnsi="標楷體" w:hint="eastAsia"/>
          <w:color w:val="000000" w:themeColor="text1"/>
          <w:szCs w:val="24"/>
        </w:rPr>
        <w:t>幅成長，惟補助對象以分布在原住民族地區為主（112學年度78所，占總數84所之92.86％），</w:t>
      </w:r>
      <w:r w:rsidRPr="00566082">
        <w:rPr>
          <w:rFonts w:ascii="標楷體" w:eastAsia="標楷體" w:hAnsi="標楷體" w:hint="eastAsia"/>
          <w:color w:val="000000" w:themeColor="text1"/>
          <w:szCs w:val="24"/>
        </w:rPr>
        <w:t>部分原</w:t>
      </w:r>
      <w:r w:rsidRPr="00566082">
        <w:rPr>
          <w:rFonts w:ascii="標楷體" w:eastAsia="標楷體" w:hAnsi="標楷體" w:hint="eastAsia"/>
          <w:color w:val="000000" w:themeColor="text1"/>
          <w:szCs w:val="24"/>
        </w:rPr>
        <w:lastRenderedPageBreak/>
        <w:t>住民幼兒人數設籍較多之非原住民族地區未設立沉浸式幼兒園，未符合都會區原住民幼兒家長送托需求；</w:t>
      </w:r>
      <w:r w:rsidR="006E17CA" w:rsidRPr="006E17CA">
        <w:rPr>
          <w:rFonts w:ascii="標楷體" w:eastAsia="標楷體" w:hAnsi="標楷體" w:hint="eastAsia"/>
          <w:color w:val="000000" w:themeColor="text1"/>
          <w:szCs w:val="24"/>
        </w:rPr>
        <w:t>另經</w:t>
      </w:r>
      <w:r w:rsidRPr="00566082">
        <w:rPr>
          <w:rFonts w:ascii="標楷體" w:eastAsia="標楷體" w:hAnsi="標楷體" w:hint="eastAsia"/>
          <w:color w:val="000000" w:themeColor="text1"/>
          <w:szCs w:val="24"/>
        </w:rPr>
        <w:t>查詢全國教保資訊網原住民族地區之幼兒園</w:t>
      </w:r>
      <w:r w:rsidR="006E17CA" w:rsidRPr="00566082">
        <w:rPr>
          <w:rFonts w:ascii="標楷體" w:eastAsia="標楷體" w:hAnsi="標楷體" w:hint="eastAsia"/>
          <w:color w:val="000000" w:themeColor="text1"/>
          <w:szCs w:val="24"/>
        </w:rPr>
        <w:t>（</w:t>
      </w:r>
      <w:r w:rsidR="006E17CA">
        <w:rPr>
          <w:rFonts w:ascii="標楷體" w:eastAsia="標楷體" w:hAnsi="標楷體" w:hint="eastAsia"/>
          <w:color w:val="000000" w:themeColor="text1"/>
          <w:szCs w:val="24"/>
        </w:rPr>
        <w:t>排除</w:t>
      </w:r>
      <w:r w:rsidR="006E17CA" w:rsidRPr="00566082">
        <w:rPr>
          <w:rFonts w:ascii="標楷體" w:eastAsia="標楷體" w:hAnsi="標楷體" w:hint="eastAsia"/>
          <w:color w:val="000000" w:themeColor="text1"/>
          <w:szCs w:val="24"/>
        </w:rPr>
        <w:t>分班重複計列部分）</w:t>
      </w:r>
      <w:r w:rsidRPr="00566082">
        <w:rPr>
          <w:rFonts w:ascii="標楷體" w:eastAsia="標楷體" w:hAnsi="標楷體" w:hint="eastAsia"/>
          <w:color w:val="000000" w:themeColor="text1"/>
          <w:szCs w:val="24"/>
        </w:rPr>
        <w:t>112學年度執行沉浸式族語教學之所數（63所），僅占原住民族地區所有幼兒園所數（420所）之15.00％，原住民族地區幼兒園申請計畫之普及率亦低</w:t>
      </w:r>
      <w:r w:rsidR="0001797C">
        <w:rPr>
          <w:rFonts w:ascii="標楷體" w:eastAsia="標楷體" w:hAnsi="標楷體" w:hint="eastAsia"/>
          <w:color w:val="000000" w:themeColor="text1"/>
          <w:szCs w:val="24"/>
        </w:rPr>
        <w:t>等情事</w:t>
      </w:r>
      <w:r w:rsidRPr="00566082">
        <w:rPr>
          <w:rFonts w:ascii="標楷體" w:eastAsia="標楷體" w:hAnsi="標楷體" w:hint="eastAsia"/>
          <w:color w:val="000000" w:themeColor="text1"/>
          <w:szCs w:val="24"/>
        </w:rPr>
        <w:t>。經函請原住民族委員會建立實務可行之運作機制，以強化專案管理中心監督力道，確保族語保母與幼兒互動之族語使用量</w:t>
      </w:r>
      <w:r w:rsidR="0001797C">
        <w:rPr>
          <w:rFonts w:ascii="標楷體" w:eastAsia="標楷體" w:hAnsi="標楷體" w:hint="eastAsia"/>
          <w:color w:val="000000" w:themeColor="text1"/>
          <w:szCs w:val="24"/>
        </w:rPr>
        <w:t>；另</w:t>
      </w:r>
      <w:r w:rsidRPr="00566082">
        <w:rPr>
          <w:rFonts w:ascii="標楷體" w:eastAsia="標楷體" w:hAnsi="標楷體" w:hint="eastAsia"/>
          <w:color w:val="000000" w:themeColor="text1"/>
          <w:szCs w:val="24"/>
        </w:rPr>
        <w:t>積極宣導沉浸式族語教學幼兒園計畫執行內容，以多管齊下方式（如主動盤點、洽談適合之幼兒園；研議鼓勵及培訓幼兒園員工族語能力及原住民族文化素養；降低幼兒園所參與計畫行政作業之約束；研謀增加族語教保員師資人力）擴展沉浸式幼兒園據點，以落實營造族語為「第一語言」之學習環境。據復：（1）族語保母托育影片上傳情形將納入地方政府工作會報，並就未達規定標準者，專案列管督促提出改善措施；（2）已盤點全國重點幼兒園所，積極宣導沉浸式族語教學幼兒園計畫；研議將族語教保員進修提升族語能力情形納入考核；已協助幼兒園所製作各項行政作業所需表件，並委託專案管理中心輔導各園所辦理有關行政工作以降低行政負擔；已鼓勵東華大學等4所大專院校提出申請設置教保員原住民專班。</w:t>
      </w:r>
    </w:p>
    <w:p w14:paraId="6A299C74" w14:textId="1287B450" w:rsidR="006B77A1" w:rsidRDefault="00F54540" w:rsidP="004F2BEF">
      <w:pPr>
        <w:widowControl/>
        <w:overflowPunct w:val="0"/>
        <w:spacing w:beforeLines="20" w:before="72" w:afterLines="20" w:after="72" w:line="440" w:lineRule="exact"/>
        <w:ind w:firstLineChars="200" w:firstLine="561"/>
        <w:jc w:val="both"/>
        <w:outlineLvl w:val="1"/>
        <w:rPr>
          <w:rFonts w:ascii="標楷體" w:eastAsia="標楷體" w:hAnsi="標楷體"/>
          <w:b/>
          <w:color w:val="000000" w:themeColor="text1"/>
          <w:sz w:val="28"/>
          <w:szCs w:val="28"/>
        </w:rPr>
      </w:pPr>
      <w:r w:rsidRPr="00F54540">
        <w:rPr>
          <w:rFonts w:ascii="標楷體" w:eastAsia="標楷體" w:hAnsi="標楷體" w:hint="eastAsia"/>
          <w:b/>
          <w:color w:val="000000" w:themeColor="text1"/>
          <w:sz w:val="28"/>
          <w:szCs w:val="28"/>
        </w:rPr>
        <w:t>（</w:t>
      </w:r>
      <w:r w:rsidR="00781889">
        <w:rPr>
          <w:rFonts w:ascii="標楷體" w:eastAsia="標楷體" w:hAnsi="標楷體" w:hint="eastAsia"/>
          <w:b/>
          <w:color w:val="000000" w:themeColor="text1"/>
          <w:sz w:val="28"/>
          <w:szCs w:val="28"/>
        </w:rPr>
        <w:t>二</w:t>
      </w:r>
      <w:r w:rsidRPr="00F54540">
        <w:rPr>
          <w:rFonts w:ascii="標楷體" w:eastAsia="標楷體" w:hAnsi="標楷體" w:hint="eastAsia"/>
          <w:b/>
          <w:color w:val="000000" w:themeColor="text1"/>
          <w:sz w:val="28"/>
          <w:szCs w:val="28"/>
        </w:rPr>
        <w:t>十</w:t>
      </w:r>
      <w:r w:rsidR="00781889">
        <w:rPr>
          <w:rFonts w:ascii="標楷體" w:eastAsia="標楷體" w:hAnsi="標楷體" w:hint="eastAsia"/>
          <w:b/>
          <w:color w:val="000000" w:themeColor="text1"/>
          <w:sz w:val="28"/>
          <w:szCs w:val="28"/>
        </w:rPr>
        <w:t>九</w:t>
      </w:r>
      <w:r w:rsidRPr="00F54540">
        <w:rPr>
          <w:rFonts w:ascii="標楷體" w:eastAsia="標楷體" w:hAnsi="標楷體" w:hint="eastAsia"/>
          <w:b/>
          <w:color w:val="000000" w:themeColor="text1"/>
          <w:sz w:val="28"/>
          <w:szCs w:val="28"/>
        </w:rPr>
        <w:t>）　客家委員會補助幼兒園辦理客語沉浸式教學計畫，</w:t>
      </w:r>
      <w:r w:rsidR="004F2BEF">
        <w:rPr>
          <w:rFonts w:ascii="標楷體" w:eastAsia="標楷體" w:hAnsi="標楷體" w:hint="eastAsia"/>
          <w:b/>
          <w:color w:val="000000" w:themeColor="text1"/>
          <w:sz w:val="28"/>
          <w:szCs w:val="28"/>
        </w:rPr>
        <w:t>惟</w:t>
      </w:r>
      <w:r w:rsidRPr="00F54540">
        <w:rPr>
          <w:rFonts w:ascii="標楷體" w:eastAsia="標楷體" w:hAnsi="標楷體" w:hint="eastAsia"/>
          <w:b/>
          <w:color w:val="000000" w:themeColor="text1"/>
          <w:sz w:val="28"/>
          <w:szCs w:val="28"/>
        </w:rPr>
        <w:t>實施「全客語幼兒園」之比率偏低，且近4成未參與</w:t>
      </w:r>
      <w:r w:rsidR="004F2BEF">
        <w:rPr>
          <w:rFonts w:ascii="標楷體" w:eastAsia="標楷體" w:hAnsi="標楷體" w:hint="eastAsia"/>
          <w:b/>
          <w:color w:val="000000" w:themeColor="text1"/>
          <w:sz w:val="28"/>
          <w:szCs w:val="28"/>
        </w:rPr>
        <w:t>幼童客語</w:t>
      </w:r>
      <w:r w:rsidRPr="00F54540">
        <w:rPr>
          <w:rFonts w:ascii="標楷體" w:eastAsia="標楷體" w:hAnsi="標楷體" w:hint="eastAsia"/>
          <w:b/>
          <w:color w:val="000000" w:themeColor="text1"/>
          <w:sz w:val="28"/>
          <w:szCs w:val="28"/>
        </w:rPr>
        <w:t>認證，允宜持續鼓勵受補助幼兒</w:t>
      </w:r>
      <w:r w:rsidR="004F2BEF">
        <w:rPr>
          <w:rFonts w:ascii="標楷體" w:eastAsia="標楷體" w:hAnsi="標楷體" w:hint="eastAsia"/>
          <w:b/>
          <w:color w:val="000000" w:themeColor="text1"/>
          <w:sz w:val="28"/>
          <w:szCs w:val="28"/>
        </w:rPr>
        <w:t>園營造全客語教學環境</w:t>
      </w:r>
      <w:r w:rsidRPr="00F54540">
        <w:rPr>
          <w:rFonts w:ascii="標楷體" w:eastAsia="標楷體" w:hAnsi="標楷體" w:hint="eastAsia"/>
          <w:b/>
          <w:color w:val="000000" w:themeColor="text1"/>
          <w:sz w:val="28"/>
          <w:szCs w:val="28"/>
        </w:rPr>
        <w:t>，落實客語及文化向下扎根傳承；另部分服務於中央部會、國立學校、市縣政府及鄉（鎮、市、區）公所之公教人員通過客語能力認證比率，距客語為通行語實施辦法所定目標仍有落差，允宜落實管考及加強辦理。</w:t>
      </w:r>
    </w:p>
    <w:p w14:paraId="412B9E2F" w14:textId="77777777" w:rsidR="00F54540" w:rsidRPr="00846803" w:rsidRDefault="00F54540" w:rsidP="00F54540">
      <w:pPr>
        <w:overflowPunct w:val="0"/>
        <w:spacing w:line="430" w:lineRule="exact"/>
        <w:ind w:firstLineChars="200" w:firstLine="480"/>
        <w:jc w:val="both"/>
        <w:rPr>
          <w:rFonts w:ascii="標楷體" w:eastAsia="標楷體" w:hAnsi="標楷體"/>
          <w:szCs w:val="24"/>
        </w:rPr>
      </w:pPr>
      <w:r w:rsidRPr="00846803">
        <w:rPr>
          <w:rFonts w:ascii="標楷體" w:eastAsia="標楷體" w:hAnsi="標楷體" w:hint="eastAsia"/>
          <w:szCs w:val="24"/>
        </w:rPr>
        <w:t>客</w:t>
      </w:r>
      <w:r>
        <w:rPr>
          <w:rFonts w:ascii="標楷體" w:eastAsia="標楷體" w:hAnsi="標楷體" w:hint="eastAsia"/>
          <w:szCs w:val="24"/>
        </w:rPr>
        <w:t>家</w:t>
      </w:r>
      <w:r w:rsidRPr="00846803">
        <w:rPr>
          <w:rFonts w:ascii="標楷體" w:eastAsia="標楷體" w:hAnsi="標楷體" w:hint="eastAsia"/>
          <w:szCs w:val="24"/>
        </w:rPr>
        <w:t>委</w:t>
      </w:r>
      <w:r>
        <w:rPr>
          <w:rFonts w:ascii="標楷體" w:eastAsia="標楷體" w:hAnsi="標楷體" w:hint="eastAsia"/>
          <w:szCs w:val="24"/>
        </w:rPr>
        <w:t>員</w:t>
      </w:r>
      <w:r w:rsidRPr="00846803">
        <w:rPr>
          <w:rFonts w:ascii="標楷體" w:eastAsia="標楷體" w:hAnsi="標楷體" w:hint="eastAsia"/>
          <w:szCs w:val="24"/>
        </w:rPr>
        <w:t>會為落實客家基本法</w:t>
      </w:r>
      <w:r>
        <w:rPr>
          <w:rFonts w:ascii="標楷體" w:eastAsia="標楷體" w:hAnsi="標楷體" w:hint="eastAsia"/>
          <w:szCs w:val="24"/>
        </w:rPr>
        <w:t>，傳承</w:t>
      </w:r>
      <w:r w:rsidRPr="002B0F1A">
        <w:rPr>
          <w:rFonts w:ascii="標楷體" w:eastAsia="標楷體" w:hAnsi="標楷體" w:hint="eastAsia"/>
          <w:szCs w:val="24"/>
        </w:rPr>
        <w:t>發揚客家語言</w:t>
      </w:r>
      <w:r w:rsidRPr="00846803">
        <w:rPr>
          <w:rFonts w:ascii="標楷體" w:eastAsia="標楷體" w:hAnsi="標楷體" w:hint="eastAsia"/>
          <w:szCs w:val="24"/>
        </w:rPr>
        <w:t>，辦理</w:t>
      </w:r>
      <w:r w:rsidRPr="00F63565">
        <w:rPr>
          <w:rFonts w:ascii="標楷體" w:eastAsia="標楷體" w:hAnsi="標楷體" w:hint="eastAsia"/>
          <w:szCs w:val="24"/>
        </w:rPr>
        <w:t>客</w:t>
      </w:r>
      <w:r>
        <w:rPr>
          <w:rFonts w:ascii="標楷體" w:eastAsia="標楷體" w:hAnsi="標楷體" w:hint="eastAsia"/>
          <w:szCs w:val="24"/>
        </w:rPr>
        <w:t>語教育推廣、</w:t>
      </w:r>
      <w:r w:rsidRPr="00846803">
        <w:rPr>
          <w:rFonts w:ascii="標楷體" w:eastAsia="標楷體" w:hAnsi="標楷體" w:hint="eastAsia"/>
          <w:szCs w:val="24"/>
        </w:rPr>
        <w:t>客語師資培育</w:t>
      </w:r>
      <w:r>
        <w:rPr>
          <w:rFonts w:ascii="標楷體" w:eastAsia="標楷體" w:hAnsi="標楷體" w:hint="eastAsia"/>
          <w:szCs w:val="24"/>
        </w:rPr>
        <w:t>、</w:t>
      </w:r>
      <w:r w:rsidRPr="00F63565">
        <w:rPr>
          <w:rFonts w:ascii="標楷體" w:eastAsia="標楷體" w:hAnsi="標楷體" w:hint="eastAsia"/>
          <w:szCs w:val="24"/>
        </w:rPr>
        <w:t>營造客語使用環境</w:t>
      </w:r>
      <w:r>
        <w:rPr>
          <w:rFonts w:ascii="標楷體" w:eastAsia="標楷體" w:hAnsi="標楷體" w:hint="eastAsia"/>
          <w:szCs w:val="24"/>
        </w:rPr>
        <w:t>、全國客語能力分級認證及推廣等各項工作</w:t>
      </w:r>
      <w:r w:rsidRPr="00846803">
        <w:rPr>
          <w:rFonts w:ascii="標楷體" w:eastAsia="標楷體" w:hAnsi="標楷體" w:hint="eastAsia"/>
          <w:szCs w:val="24"/>
        </w:rPr>
        <w:t>。經查執行情形，核有下列事項</w:t>
      </w:r>
      <w:r>
        <w:rPr>
          <w:rFonts w:ascii="標楷體" w:eastAsia="標楷體" w:hAnsi="標楷體" w:hint="eastAsia"/>
          <w:szCs w:val="24"/>
        </w:rPr>
        <w:t>：</w:t>
      </w:r>
    </w:p>
    <w:p w14:paraId="41605062" w14:textId="71725C77" w:rsidR="00F54540" w:rsidRDefault="00F54540" w:rsidP="004F2BEF">
      <w:pPr>
        <w:overflowPunct w:val="0"/>
        <w:spacing w:line="440" w:lineRule="exact"/>
        <w:ind w:firstLineChars="450" w:firstLine="1081"/>
        <w:jc w:val="both"/>
        <w:rPr>
          <w:rFonts w:ascii="標楷體" w:eastAsia="標楷體" w:hAnsi="標楷體"/>
          <w:szCs w:val="24"/>
        </w:rPr>
      </w:pPr>
      <w:r>
        <w:rPr>
          <w:rFonts w:ascii="標楷體" w:eastAsia="標楷體" w:hAnsi="標楷體" w:hint="eastAsia"/>
          <w:b/>
          <w:szCs w:val="24"/>
        </w:rPr>
        <w:t>1</w:t>
      </w:r>
      <w:r w:rsidRPr="00FB694C">
        <w:rPr>
          <w:rFonts w:ascii="標楷體" w:eastAsia="標楷體" w:hAnsi="標楷體" w:hint="eastAsia"/>
          <w:b/>
          <w:szCs w:val="24"/>
        </w:rPr>
        <w:t>.　補助</w:t>
      </w:r>
      <w:r>
        <w:rPr>
          <w:rFonts w:ascii="標楷體" w:eastAsia="標楷體" w:hAnsi="標楷體" w:hint="eastAsia"/>
          <w:b/>
          <w:szCs w:val="24"/>
        </w:rPr>
        <w:t>幼兒園辦理客語沉浸式教學計畫，惟</w:t>
      </w:r>
      <w:r w:rsidRPr="00FB694C">
        <w:rPr>
          <w:rFonts w:ascii="標楷體" w:eastAsia="標楷體" w:hAnsi="標楷體" w:hint="eastAsia"/>
          <w:b/>
          <w:szCs w:val="24"/>
        </w:rPr>
        <w:t>實施「全客語幼兒園」</w:t>
      </w:r>
      <w:r>
        <w:rPr>
          <w:rFonts w:ascii="標楷體" w:eastAsia="標楷體" w:hAnsi="標楷體" w:hint="eastAsia"/>
          <w:b/>
          <w:szCs w:val="24"/>
        </w:rPr>
        <w:t>之比率偏低</w:t>
      </w:r>
      <w:r w:rsidRPr="00FB694C">
        <w:rPr>
          <w:rFonts w:ascii="標楷體" w:eastAsia="標楷體" w:hAnsi="標楷體" w:hint="eastAsia"/>
          <w:b/>
          <w:szCs w:val="24"/>
        </w:rPr>
        <w:t>，且近4成未參與「幼幼客語闖通關」認證：</w:t>
      </w:r>
      <w:r w:rsidRPr="00846803">
        <w:rPr>
          <w:rFonts w:ascii="標楷體" w:eastAsia="標楷體" w:hAnsi="標楷體" w:hint="eastAsia"/>
          <w:szCs w:val="24"/>
        </w:rPr>
        <w:t>客</w:t>
      </w:r>
      <w:r>
        <w:rPr>
          <w:rFonts w:ascii="標楷體" w:eastAsia="標楷體" w:hAnsi="標楷體" w:hint="eastAsia"/>
          <w:szCs w:val="24"/>
        </w:rPr>
        <w:t>家</w:t>
      </w:r>
      <w:r w:rsidRPr="00846803">
        <w:rPr>
          <w:rFonts w:ascii="標楷體" w:eastAsia="標楷體" w:hAnsi="標楷體" w:hint="eastAsia"/>
          <w:szCs w:val="24"/>
        </w:rPr>
        <w:t>委</w:t>
      </w:r>
      <w:r>
        <w:rPr>
          <w:rFonts w:ascii="標楷體" w:eastAsia="標楷體" w:hAnsi="標楷體" w:hint="eastAsia"/>
          <w:szCs w:val="24"/>
        </w:rPr>
        <w:t>員</w:t>
      </w:r>
      <w:r w:rsidRPr="00846803">
        <w:rPr>
          <w:rFonts w:ascii="標楷體" w:eastAsia="標楷體" w:hAnsi="標楷體" w:hint="eastAsia"/>
          <w:szCs w:val="24"/>
        </w:rPr>
        <w:t>會為擴增國民中、小學及幼兒園實施及發展客語教學，並於客家文化重點發展區推動全客語幼兒園，依客家委員會推動客語生活學校補助作業要點第7點</w:t>
      </w:r>
      <w:r>
        <w:rPr>
          <w:rFonts w:ascii="標楷體" w:eastAsia="標楷體" w:hAnsi="標楷體" w:hint="eastAsia"/>
          <w:szCs w:val="24"/>
        </w:rPr>
        <w:t>之規定，</w:t>
      </w:r>
      <w:r w:rsidR="004F2BEF">
        <w:rPr>
          <w:rFonts w:ascii="標楷體" w:eastAsia="標楷體" w:hAnsi="標楷體" w:hint="eastAsia"/>
          <w:szCs w:val="24"/>
        </w:rPr>
        <w:t>訂定客家委員會補助國民中、小學及幼兒園「沉浸式客語教學計畫」</w:t>
      </w:r>
      <w:r>
        <w:rPr>
          <w:rFonts w:ascii="標楷體" w:eastAsia="標楷體" w:hAnsi="標楷體" w:hint="eastAsia"/>
          <w:szCs w:val="24"/>
        </w:rPr>
        <w:t>（下稱客語沉浸式教學計畫），</w:t>
      </w:r>
      <w:r w:rsidRPr="00846803">
        <w:rPr>
          <w:rFonts w:ascii="標楷體" w:eastAsia="標楷體" w:hAnsi="標楷體" w:hint="eastAsia"/>
          <w:szCs w:val="24"/>
        </w:rPr>
        <w:t>補助全國國民中、小學及公私立幼兒園辦理「客語沉浸式教學」，以客語為教學語言，將客語融入教保活動或學習領域</w:t>
      </w:r>
      <w:r>
        <w:rPr>
          <w:rFonts w:ascii="標楷體" w:eastAsia="標楷體" w:hAnsi="標楷體" w:hint="eastAsia"/>
          <w:szCs w:val="24"/>
        </w:rPr>
        <w:t>（科目）</w:t>
      </w:r>
      <w:r w:rsidRPr="00846803">
        <w:rPr>
          <w:rFonts w:ascii="標楷體" w:eastAsia="標楷體" w:hAnsi="標楷體" w:hint="eastAsia"/>
          <w:szCs w:val="24"/>
        </w:rPr>
        <w:t>課程，使用客語之比率至少達50％，</w:t>
      </w:r>
      <w:r>
        <w:rPr>
          <w:rFonts w:ascii="標楷體" w:eastAsia="標楷體" w:hAnsi="標楷體" w:hint="eastAsia"/>
          <w:szCs w:val="24"/>
        </w:rPr>
        <w:t>由教師、教保服務人員等校（園）編制內人員，擔任主要客語教學者，</w:t>
      </w:r>
      <w:r w:rsidRPr="00846803">
        <w:rPr>
          <w:rFonts w:ascii="標楷體" w:eastAsia="標楷體" w:hAnsi="標楷體" w:hint="eastAsia"/>
          <w:szCs w:val="24"/>
        </w:rPr>
        <w:t>亦得聘請客語薪傳師或客語教學支援工作人員擔任陪伴員或協同教學者，輔助客語教學；另為使客語向下扎根，該計畫</w:t>
      </w:r>
      <w:r>
        <w:rPr>
          <w:rFonts w:ascii="標楷體" w:eastAsia="標楷體" w:hAnsi="標楷體" w:hint="eastAsia"/>
          <w:szCs w:val="24"/>
        </w:rPr>
        <w:t>自</w:t>
      </w:r>
      <w:r w:rsidRPr="00846803">
        <w:rPr>
          <w:rFonts w:ascii="標楷體" w:eastAsia="標楷體" w:hAnsi="標楷體" w:hint="eastAsia"/>
          <w:szCs w:val="24"/>
        </w:rPr>
        <w:t>111</w:t>
      </w:r>
      <w:r>
        <w:rPr>
          <w:rFonts w:ascii="標楷體" w:eastAsia="標楷體" w:hAnsi="標楷體" w:hint="eastAsia"/>
          <w:szCs w:val="24"/>
        </w:rPr>
        <w:t>學年度起</w:t>
      </w:r>
      <w:r w:rsidRPr="00846803">
        <w:rPr>
          <w:rFonts w:ascii="標楷體" w:eastAsia="標楷體" w:hAnsi="標楷體" w:hint="eastAsia"/>
          <w:szCs w:val="24"/>
        </w:rPr>
        <w:t>補助位於客家文化重點發展區之公、私幼兒園實施「全客語幼兒園」，採完全早期沉浸、客語使用率接近100％模式，教保服務人員皆須具備良好客語溝通能力，</w:t>
      </w:r>
      <w:r>
        <w:rPr>
          <w:rFonts w:ascii="標楷體" w:eastAsia="標楷體" w:hAnsi="標楷體" w:hint="eastAsia"/>
          <w:szCs w:val="24"/>
        </w:rPr>
        <w:t>營造</w:t>
      </w:r>
      <w:r w:rsidRPr="00846803">
        <w:rPr>
          <w:rFonts w:ascii="標楷體" w:eastAsia="標楷體" w:hAnsi="標楷體" w:hint="eastAsia"/>
          <w:szCs w:val="24"/>
        </w:rPr>
        <w:t>全客語教育學習場域</w:t>
      </w:r>
      <w:r>
        <w:rPr>
          <w:rFonts w:ascii="標楷體" w:eastAsia="標楷體" w:hAnsi="標楷體" w:hint="eastAsia"/>
          <w:szCs w:val="24"/>
        </w:rPr>
        <w:t>且</w:t>
      </w:r>
      <w:r w:rsidRPr="00846803">
        <w:rPr>
          <w:rFonts w:ascii="標楷體" w:eastAsia="標楷體" w:hAnsi="標楷體" w:hint="eastAsia"/>
          <w:szCs w:val="24"/>
        </w:rPr>
        <w:t>融入在地文化教保活動之特色幼兒園。經查，幼兒園向客</w:t>
      </w:r>
      <w:r>
        <w:rPr>
          <w:rFonts w:ascii="標楷體" w:eastAsia="標楷體" w:hAnsi="標楷體" w:hint="eastAsia"/>
          <w:szCs w:val="24"/>
        </w:rPr>
        <w:t>家</w:t>
      </w:r>
      <w:r w:rsidRPr="00846803">
        <w:rPr>
          <w:rFonts w:ascii="標楷體" w:eastAsia="標楷體" w:hAnsi="標楷體" w:hint="eastAsia"/>
          <w:szCs w:val="24"/>
        </w:rPr>
        <w:t>委</w:t>
      </w:r>
      <w:r>
        <w:rPr>
          <w:rFonts w:ascii="標楷體" w:eastAsia="標楷體" w:hAnsi="標楷體" w:hint="eastAsia"/>
          <w:szCs w:val="24"/>
        </w:rPr>
        <w:t>員</w:t>
      </w:r>
      <w:r w:rsidRPr="00846803">
        <w:rPr>
          <w:rFonts w:ascii="標楷體" w:eastAsia="標楷體" w:hAnsi="標楷體" w:hint="eastAsia"/>
          <w:szCs w:val="24"/>
        </w:rPr>
        <w:t>會申請補</w:t>
      </w:r>
      <w:r w:rsidRPr="00EB4C8C">
        <w:rPr>
          <w:rFonts w:ascii="標楷體" w:eastAsia="標楷體" w:hAnsi="標楷體" w:hint="eastAsia"/>
          <w:szCs w:val="24"/>
        </w:rPr>
        <w:t>助客語沉浸式教學計畫，可視其教保服務人員客語能力及行政支持環境等，選擇辦理使用客語</w:t>
      </w:r>
      <w:r w:rsidRPr="00846803">
        <w:rPr>
          <w:rFonts w:ascii="標楷體" w:eastAsia="標楷體" w:hAnsi="標楷體" w:hint="eastAsia"/>
          <w:szCs w:val="24"/>
        </w:rPr>
        <w:t>比率</w:t>
      </w:r>
      <w:r w:rsidRPr="00846803">
        <w:rPr>
          <w:rFonts w:ascii="標楷體" w:eastAsia="標楷體" w:hAnsi="標楷體" w:hint="eastAsia"/>
          <w:szCs w:val="24"/>
        </w:rPr>
        <w:lastRenderedPageBreak/>
        <w:t>至少達50％之「客語沉浸式教學」計畫，或實施客語使用率接近100％模式且補助金額更高之「全客語幼兒園」計畫；惟111學年度</w:t>
      </w:r>
      <w:r>
        <w:rPr>
          <w:rFonts w:ascii="標楷體" w:eastAsia="標楷體" w:hAnsi="標楷體" w:hint="eastAsia"/>
          <w:szCs w:val="24"/>
        </w:rPr>
        <w:t>該會補助</w:t>
      </w:r>
      <w:r w:rsidRPr="00846803">
        <w:rPr>
          <w:rFonts w:ascii="標楷體" w:eastAsia="標楷體" w:hAnsi="標楷體" w:hint="eastAsia"/>
          <w:szCs w:val="24"/>
        </w:rPr>
        <w:t>77園</w:t>
      </w:r>
      <w:r>
        <w:rPr>
          <w:rFonts w:ascii="標楷體" w:eastAsia="標楷體" w:hAnsi="標楷體" w:hint="eastAsia"/>
          <w:szCs w:val="24"/>
        </w:rPr>
        <w:t>幼兒園</w:t>
      </w:r>
      <w:r w:rsidRPr="00846803">
        <w:rPr>
          <w:rFonts w:ascii="標楷體" w:eastAsia="標楷體" w:hAnsi="標楷體" w:hint="eastAsia"/>
          <w:szCs w:val="24"/>
        </w:rPr>
        <w:t>（150班、學童人數3,263人）</w:t>
      </w:r>
      <w:r>
        <w:rPr>
          <w:rFonts w:ascii="標楷體" w:eastAsia="標楷體" w:hAnsi="標楷體"/>
          <w:szCs w:val="24"/>
        </w:rPr>
        <w:t>2</w:t>
      </w:r>
      <w:r>
        <w:rPr>
          <w:rFonts w:ascii="標楷體" w:eastAsia="標楷體" w:hAnsi="標楷體" w:hint="eastAsia"/>
          <w:szCs w:val="24"/>
        </w:rPr>
        <w:t>,</w:t>
      </w:r>
      <w:r>
        <w:rPr>
          <w:rFonts w:ascii="標楷體" w:eastAsia="標楷體" w:hAnsi="標楷體"/>
          <w:szCs w:val="24"/>
        </w:rPr>
        <w:t>017</w:t>
      </w:r>
      <w:r>
        <w:rPr>
          <w:rFonts w:ascii="標楷體" w:eastAsia="標楷體" w:hAnsi="標楷體" w:hint="eastAsia"/>
          <w:szCs w:val="24"/>
        </w:rPr>
        <w:t>萬餘元</w:t>
      </w:r>
      <w:r w:rsidR="00C506FB">
        <w:rPr>
          <w:rFonts w:ascii="標楷體" w:eastAsia="標楷體" w:hAnsi="標楷體" w:hint="eastAsia"/>
          <w:szCs w:val="24"/>
        </w:rPr>
        <w:t>辦</w:t>
      </w:r>
      <w:r>
        <w:rPr>
          <w:rFonts w:ascii="標楷體" w:eastAsia="標楷體" w:hAnsi="標楷體" w:hint="eastAsia"/>
          <w:szCs w:val="24"/>
        </w:rPr>
        <w:t>理</w:t>
      </w:r>
      <w:r w:rsidRPr="00846803">
        <w:rPr>
          <w:rFonts w:ascii="標楷體" w:eastAsia="標楷體" w:hAnsi="標楷體" w:hint="eastAsia"/>
          <w:szCs w:val="24"/>
        </w:rPr>
        <w:t>客語沉浸式教學計畫</w:t>
      </w:r>
      <w:r>
        <w:rPr>
          <w:rFonts w:ascii="標楷體" w:eastAsia="標楷體" w:hAnsi="標楷體" w:hint="eastAsia"/>
          <w:szCs w:val="24"/>
        </w:rPr>
        <w:t>，其中</w:t>
      </w:r>
      <w:r w:rsidRPr="00846803">
        <w:rPr>
          <w:rFonts w:ascii="標楷體" w:eastAsia="標楷體" w:hAnsi="標楷體" w:hint="eastAsia"/>
          <w:szCs w:val="24"/>
        </w:rPr>
        <w:t>實施「全客語幼兒園」者，僅苗栗縣之2園幼兒園（8班、學童人數95人），占受補助幼兒園數之比率</w:t>
      </w:r>
      <w:r>
        <w:rPr>
          <w:rFonts w:ascii="標楷體" w:eastAsia="標楷體" w:hAnsi="標楷體" w:hint="eastAsia"/>
          <w:szCs w:val="24"/>
        </w:rPr>
        <w:t>（</w:t>
      </w:r>
      <w:r w:rsidRPr="00846803">
        <w:rPr>
          <w:rFonts w:ascii="標楷體" w:eastAsia="標楷體" w:hAnsi="標楷體" w:hint="eastAsia"/>
          <w:szCs w:val="24"/>
        </w:rPr>
        <w:t>2.60％</w:t>
      </w:r>
      <w:r>
        <w:rPr>
          <w:rFonts w:ascii="標楷體" w:eastAsia="標楷體" w:hAnsi="標楷體" w:hint="eastAsia"/>
          <w:szCs w:val="24"/>
        </w:rPr>
        <w:t>）</w:t>
      </w:r>
      <w:r w:rsidRPr="00846803">
        <w:rPr>
          <w:rFonts w:ascii="標楷體" w:eastAsia="標楷體" w:hAnsi="標楷體" w:hint="eastAsia"/>
          <w:szCs w:val="24"/>
        </w:rPr>
        <w:t>偏低。復查，客</w:t>
      </w:r>
      <w:r>
        <w:rPr>
          <w:rFonts w:ascii="標楷體" w:eastAsia="標楷體" w:hAnsi="標楷體" w:hint="eastAsia"/>
          <w:szCs w:val="24"/>
        </w:rPr>
        <w:t>家</w:t>
      </w:r>
      <w:r w:rsidRPr="00846803">
        <w:rPr>
          <w:rFonts w:ascii="標楷體" w:eastAsia="標楷體" w:hAnsi="標楷體" w:hint="eastAsia"/>
          <w:szCs w:val="24"/>
        </w:rPr>
        <w:t>委</w:t>
      </w:r>
      <w:r>
        <w:rPr>
          <w:rFonts w:ascii="標楷體" w:eastAsia="標楷體" w:hAnsi="標楷體" w:hint="eastAsia"/>
          <w:szCs w:val="24"/>
        </w:rPr>
        <w:t>員</w:t>
      </w:r>
      <w:r w:rsidRPr="00846803">
        <w:rPr>
          <w:rFonts w:ascii="標楷體" w:eastAsia="標楷體" w:hAnsi="標楷體" w:hint="eastAsia"/>
          <w:szCs w:val="24"/>
        </w:rPr>
        <w:t>會為鼓勵學齡前幼兒透過生活互動及遊戲方式學習客語，提升幼兒學習客語之聽、說能力，自101年度起辦理「幼幼客語闖通關」認證</w:t>
      </w:r>
      <w:r>
        <w:rPr>
          <w:rFonts w:ascii="標楷體" w:eastAsia="標楷體" w:hAnsi="標楷體" w:hint="eastAsia"/>
          <w:szCs w:val="24"/>
        </w:rPr>
        <w:t>，</w:t>
      </w:r>
      <w:r w:rsidRPr="00846803">
        <w:rPr>
          <w:rFonts w:ascii="標楷體" w:eastAsia="標楷體" w:hAnsi="標楷體" w:hint="eastAsia"/>
          <w:szCs w:val="24"/>
        </w:rPr>
        <w:t>111及112年度「幼幼客語闖通關」認證，係由</w:t>
      </w:r>
      <w:r>
        <w:rPr>
          <w:rFonts w:ascii="標楷體" w:eastAsia="標楷體" w:hAnsi="標楷體" w:hint="eastAsia"/>
          <w:szCs w:val="24"/>
        </w:rPr>
        <w:t>幼兒園為其</w:t>
      </w:r>
      <w:r w:rsidRPr="00846803">
        <w:rPr>
          <w:rFonts w:ascii="標楷體" w:eastAsia="標楷體" w:hAnsi="標楷體" w:hint="eastAsia"/>
          <w:szCs w:val="24"/>
        </w:rPr>
        <w:t>就讀幼童團體報名</w:t>
      </w:r>
      <w:r>
        <w:rPr>
          <w:rFonts w:ascii="標楷體" w:eastAsia="標楷體" w:hAnsi="標楷體" w:hint="eastAsia"/>
          <w:szCs w:val="24"/>
        </w:rPr>
        <w:t>在園認證</w:t>
      </w:r>
      <w:r w:rsidRPr="00846803">
        <w:rPr>
          <w:rFonts w:ascii="標楷體" w:eastAsia="標楷體" w:hAnsi="標楷體" w:hint="eastAsia"/>
          <w:szCs w:val="24"/>
        </w:rPr>
        <w:t>，透過遊戲關卡評量幼童客語聽力理解與口語表達狀況，完成通關者頒發參加證書</w:t>
      </w:r>
      <w:r>
        <w:rPr>
          <w:rFonts w:ascii="標楷體" w:eastAsia="標楷體" w:hAnsi="標楷體" w:hint="eastAsia"/>
          <w:szCs w:val="24"/>
        </w:rPr>
        <w:t>；惟</w:t>
      </w:r>
      <w:r w:rsidRPr="00846803">
        <w:rPr>
          <w:rFonts w:ascii="標楷體" w:eastAsia="標楷體" w:hAnsi="標楷體" w:hint="eastAsia"/>
          <w:szCs w:val="24"/>
        </w:rPr>
        <w:t>111學年度參與客語沉浸式教學計畫之77園幼兒園，參加111至112年度「幼幼客語闖通關」認證者計48園，占比62.34％，</w:t>
      </w:r>
      <w:r>
        <w:rPr>
          <w:rFonts w:ascii="標楷體" w:eastAsia="標楷體" w:hAnsi="標楷體" w:hint="eastAsia"/>
          <w:szCs w:val="24"/>
        </w:rPr>
        <w:t>仍</w:t>
      </w:r>
      <w:r w:rsidRPr="00846803">
        <w:rPr>
          <w:rFonts w:ascii="標楷體" w:eastAsia="標楷體" w:hAnsi="標楷體" w:hint="eastAsia"/>
          <w:szCs w:val="24"/>
        </w:rPr>
        <w:t>有近4成受補助幼兒園囿</w:t>
      </w:r>
      <w:r>
        <w:rPr>
          <w:rFonts w:ascii="標楷體" w:eastAsia="標楷體" w:hAnsi="標楷體" w:hint="eastAsia"/>
          <w:szCs w:val="24"/>
        </w:rPr>
        <w:t>於園內具備認證能力之幼童人數不足等而未參加</w:t>
      </w:r>
      <w:r w:rsidR="0050618F">
        <w:rPr>
          <w:rFonts w:ascii="標楷體" w:eastAsia="標楷體" w:hAnsi="標楷體" w:hint="eastAsia"/>
          <w:szCs w:val="24"/>
        </w:rPr>
        <w:t>。</w:t>
      </w:r>
      <w:r>
        <w:rPr>
          <w:rFonts w:ascii="標楷體" w:eastAsia="標楷體" w:hAnsi="標楷體" w:hint="eastAsia"/>
          <w:szCs w:val="24"/>
        </w:rPr>
        <w:t>經函請客家委員會</w:t>
      </w:r>
      <w:r w:rsidRPr="00846803">
        <w:rPr>
          <w:rFonts w:ascii="標楷體" w:eastAsia="標楷體" w:hAnsi="標楷體" w:hint="eastAsia"/>
          <w:szCs w:val="24"/>
        </w:rPr>
        <w:t>持續鼓勵</w:t>
      </w:r>
      <w:r w:rsidRPr="00564A65">
        <w:rPr>
          <w:rFonts w:ascii="標楷體" w:eastAsia="標楷體" w:hAnsi="標楷體" w:hint="eastAsia"/>
          <w:szCs w:val="24"/>
        </w:rPr>
        <w:t>參與客語沉浸式教學計畫之幼兒園</w:t>
      </w:r>
      <w:r>
        <w:rPr>
          <w:rFonts w:ascii="標楷體" w:eastAsia="標楷體" w:hAnsi="標楷體" w:hint="eastAsia"/>
          <w:szCs w:val="24"/>
        </w:rPr>
        <w:t>，</w:t>
      </w:r>
      <w:r w:rsidRPr="003305D0">
        <w:rPr>
          <w:rFonts w:ascii="標楷體" w:eastAsia="標楷體" w:hAnsi="標楷體" w:hint="eastAsia"/>
          <w:szCs w:val="24"/>
        </w:rPr>
        <w:t>提升教職員客語能力，累積客語教學能量</w:t>
      </w:r>
      <w:r>
        <w:rPr>
          <w:rFonts w:ascii="標楷體" w:eastAsia="標楷體" w:hAnsi="標楷體" w:hint="eastAsia"/>
          <w:szCs w:val="24"/>
        </w:rPr>
        <w:t>，加強</w:t>
      </w:r>
      <w:r w:rsidRPr="003305D0">
        <w:rPr>
          <w:rFonts w:ascii="標楷體" w:eastAsia="標楷體" w:hAnsi="標楷體" w:hint="eastAsia"/>
          <w:szCs w:val="24"/>
        </w:rPr>
        <w:t>推動實施「全客語幼兒園」</w:t>
      </w:r>
      <w:r>
        <w:rPr>
          <w:rFonts w:ascii="標楷體" w:eastAsia="標楷體" w:hAnsi="標楷體" w:hint="eastAsia"/>
          <w:szCs w:val="24"/>
        </w:rPr>
        <w:t>，</w:t>
      </w:r>
      <w:r w:rsidRPr="00846803">
        <w:rPr>
          <w:rFonts w:ascii="標楷體" w:eastAsia="標楷體" w:hAnsi="標楷體" w:hint="eastAsia"/>
          <w:szCs w:val="24"/>
        </w:rPr>
        <w:t>營造全客語教學環境，</w:t>
      </w:r>
      <w:r>
        <w:rPr>
          <w:rFonts w:ascii="標楷體" w:eastAsia="標楷體" w:hAnsi="標楷體" w:hint="eastAsia"/>
          <w:szCs w:val="24"/>
        </w:rPr>
        <w:t>並積極</w:t>
      </w:r>
      <w:r w:rsidRPr="00846803">
        <w:rPr>
          <w:rFonts w:ascii="標楷體" w:eastAsia="標楷體" w:hAnsi="標楷體" w:hint="eastAsia"/>
          <w:szCs w:val="24"/>
        </w:rPr>
        <w:t>參加幼童客語認證，提升幼童客語學習動機，進而推廣家庭及社區使用客語，落實客語及文化向下扎根傳承。</w:t>
      </w:r>
      <w:r>
        <w:rPr>
          <w:rFonts w:ascii="標楷體" w:eastAsia="標楷體" w:hAnsi="標楷體" w:hint="eastAsia"/>
          <w:szCs w:val="24"/>
        </w:rPr>
        <w:t>據復：</w:t>
      </w:r>
      <w:r w:rsidRPr="00283AAC">
        <w:rPr>
          <w:rFonts w:ascii="標楷體" w:eastAsia="標楷體" w:hAnsi="標楷體" w:hint="eastAsia"/>
          <w:szCs w:val="24"/>
        </w:rPr>
        <w:t>112學年度已新增屏東縣2園幼兒園</w:t>
      </w:r>
      <w:r w:rsidRPr="003305D0">
        <w:rPr>
          <w:rFonts w:ascii="標楷體" w:eastAsia="標楷體" w:hAnsi="標楷體" w:hint="eastAsia"/>
          <w:szCs w:val="24"/>
        </w:rPr>
        <w:t>實施「全客語幼兒園」</w:t>
      </w:r>
      <w:r w:rsidRPr="00283AAC">
        <w:rPr>
          <w:rFonts w:ascii="標楷體" w:eastAsia="標楷體" w:hAnsi="標楷體" w:hint="eastAsia"/>
          <w:szCs w:val="24"/>
        </w:rPr>
        <w:t>，將持續輔導更多</w:t>
      </w:r>
      <w:r>
        <w:rPr>
          <w:rFonts w:ascii="標楷體" w:eastAsia="標楷體" w:hAnsi="標楷體" w:hint="eastAsia"/>
          <w:szCs w:val="24"/>
        </w:rPr>
        <w:t>幼兒園參加</w:t>
      </w:r>
      <w:r w:rsidRPr="00283AAC">
        <w:rPr>
          <w:rFonts w:ascii="標楷體" w:eastAsia="標楷體" w:hAnsi="標楷體" w:hint="eastAsia"/>
          <w:szCs w:val="24"/>
        </w:rPr>
        <w:t>，並持續鼓勵受補助幼兒園，積極營造客語學習環境及參與幼幼客語闖</w:t>
      </w:r>
      <w:r>
        <w:rPr>
          <w:rFonts w:ascii="標楷體" w:eastAsia="標楷體" w:hAnsi="標楷體" w:hint="eastAsia"/>
          <w:szCs w:val="24"/>
        </w:rPr>
        <w:t>通關認證，以評量其學習成效，落實日常生活客語，及提高客語使用率。</w:t>
      </w:r>
    </w:p>
    <w:p w14:paraId="2A68529F" w14:textId="5C51493D" w:rsidR="00F54540" w:rsidRDefault="00F54540" w:rsidP="00BC1B23">
      <w:pPr>
        <w:overflowPunct w:val="0"/>
        <w:spacing w:line="430" w:lineRule="exact"/>
        <w:ind w:firstLineChars="450" w:firstLine="1081"/>
        <w:jc w:val="both"/>
      </w:pPr>
      <w:r>
        <w:rPr>
          <w:rFonts w:ascii="標楷體" w:eastAsia="標楷體" w:hAnsi="標楷體" w:hint="eastAsia"/>
          <w:b/>
          <w:szCs w:val="24"/>
        </w:rPr>
        <w:t>2</w:t>
      </w:r>
      <w:r w:rsidRPr="00DF2317">
        <w:rPr>
          <w:rFonts w:ascii="標楷體" w:eastAsia="標楷體" w:hAnsi="標楷體" w:hint="eastAsia"/>
          <w:b/>
          <w:szCs w:val="24"/>
        </w:rPr>
        <w:t>.　部分服務於中央部會、國立學校、市縣政府及鄉（鎮、市、區）公所之公教人員通過客語能力認證比率，距客語為通行語實施辦法所定目標仍有落差：</w:t>
      </w:r>
      <w:r w:rsidRPr="00381B5F">
        <w:rPr>
          <w:rFonts w:ascii="標楷體" w:eastAsia="標楷體" w:hAnsi="標楷體" w:hint="eastAsia"/>
          <w:szCs w:val="24"/>
        </w:rPr>
        <w:t>依據</w:t>
      </w:r>
      <w:r w:rsidRPr="00045F4F">
        <w:rPr>
          <w:rFonts w:ascii="標楷體" w:eastAsia="標楷體" w:hAnsi="標楷體" w:hint="eastAsia"/>
          <w:szCs w:val="24"/>
        </w:rPr>
        <w:t>客家基本法（107年1月31日修正）第4條規定</w:t>
      </w:r>
      <w:r>
        <w:rPr>
          <w:rFonts w:ascii="標楷體" w:eastAsia="標楷體" w:hAnsi="標楷體" w:hint="eastAsia"/>
          <w:szCs w:val="24"/>
        </w:rPr>
        <w:t>，</w:t>
      </w:r>
      <w:r w:rsidRPr="00045F4F">
        <w:rPr>
          <w:rFonts w:ascii="標楷體" w:eastAsia="標楷體" w:hAnsi="標楷體" w:hint="eastAsia"/>
          <w:szCs w:val="24"/>
        </w:rPr>
        <w:t>客家人口達三分之一以上之鄉（鎮、市、區），應以客語為通行語之一</w:t>
      </w:r>
      <w:r>
        <w:rPr>
          <w:rFonts w:ascii="標楷體" w:eastAsia="標楷體" w:hAnsi="標楷體" w:hint="eastAsia"/>
          <w:szCs w:val="24"/>
        </w:rPr>
        <w:t>，</w:t>
      </w:r>
      <w:r w:rsidRPr="00045F4F">
        <w:rPr>
          <w:rFonts w:ascii="標楷體" w:eastAsia="標楷體" w:hAnsi="標楷體" w:hint="eastAsia"/>
          <w:szCs w:val="24"/>
        </w:rPr>
        <w:t>直轄市、縣（市）、鄉（鎮、市、區）客家人口達二分之一以上者，應以客語為主要通行語</w:t>
      </w:r>
      <w:r>
        <w:rPr>
          <w:rFonts w:ascii="標楷體" w:eastAsia="標楷體" w:hAnsi="標楷體" w:hint="eastAsia"/>
          <w:szCs w:val="24"/>
        </w:rPr>
        <w:t>，又以客語為通行語之辦法，由客家委員會定之。</w:t>
      </w:r>
      <w:r w:rsidRPr="00045F4F">
        <w:rPr>
          <w:rFonts w:ascii="標楷體" w:eastAsia="標楷體" w:hAnsi="標楷體" w:hint="eastAsia"/>
          <w:szCs w:val="24"/>
        </w:rPr>
        <w:t>客語為通行語實施辦法</w:t>
      </w:r>
      <w:r>
        <w:rPr>
          <w:rFonts w:ascii="標楷體" w:eastAsia="標楷體" w:hAnsi="標楷體" w:hint="eastAsia"/>
          <w:szCs w:val="24"/>
        </w:rPr>
        <w:t>（下稱實施辦法）</w:t>
      </w:r>
      <w:r w:rsidRPr="00045F4F">
        <w:rPr>
          <w:rFonts w:ascii="標楷體" w:eastAsia="標楷體" w:hAnsi="標楷體" w:hint="eastAsia"/>
          <w:szCs w:val="24"/>
        </w:rPr>
        <w:t>第3條規定</w:t>
      </w:r>
      <w:r>
        <w:rPr>
          <w:rFonts w:ascii="標楷體" w:eastAsia="標楷體" w:hAnsi="標楷體" w:hint="eastAsia"/>
          <w:szCs w:val="24"/>
        </w:rPr>
        <w:t>，於</w:t>
      </w:r>
      <w:r w:rsidRPr="00045F4F">
        <w:rPr>
          <w:rFonts w:ascii="標楷體" w:eastAsia="標楷體" w:hAnsi="標楷體" w:hint="eastAsia"/>
          <w:szCs w:val="24"/>
        </w:rPr>
        <w:t>108年11月5</w:t>
      </w:r>
      <w:r>
        <w:rPr>
          <w:rFonts w:ascii="標楷體" w:eastAsia="標楷體" w:hAnsi="標楷體" w:hint="eastAsia"/>
          <w:szCs w:val="24"/>
        </w:rPr>
        <w:t>日公告</w:t>
      </w:r>
      <w:r w:rsidRPr="00045F4F">
        <w:rPr>
          <w:rFonts w:ascii="標楷體" w:eastAsia="標楷體" w:hAnsi="標楷體" w:hint="eastAsia"/>
          <w:szCs w:val="24"/>
        </w:rPr>
        <w:t>我國客語為通行語地區名單</w:t>
      </w:r>
      <w:r>
        <w:rPr>
          <w:rFonts w:ascii="標楷體" w:eastAsia="標楷體" w:hAnsi="標楷體" w:hint="eastAsia"/>
          <w:szCs w:val="24"/>
        </w:rPr>
        <w:t>。依據該名單，</w:t>
      </w:r>
      <w:r w:rsidRPr="00045F4F">
        <w:rPr>
          <w:rFonts w:ascii="標楷體" w:eastAsia="標楷體" w:hAnsi="標楷體" w:hint="eastAsia"/>
          <w:szCs w:val="24"/>
        </w:rPr>
        <w:t>在鄉（鎮、市、區）層級部分，客家人口達二分之一或三分之一以上，應以客語為主要通行語或通行語之一者，計有桃園市中壢區等70個鄉（鎮、市、區）；在直轄市、縣（市）層級部分，客家人口達二分之一以上，應以客語為主要通行語者，計有新竹縣、苗栗縣等2縣。又依實施辦法第13條規定，中央或各級地方政府客家專責機關（構）及服務於客語為通行語地區之公教人員，於實施辦法施行後8</w:t>
      </w:r>
      <w:r>
        <w:rPr>
          <w:rFonts w:ascii="標楷體" w:eastAsia="標楷體" w:hAnsi="標楷體" w:hint="eastAsia"/>
          <w:szCs w:val="24"/>
        </w:rPr>
        <w:t>年內（</w:t>
      </w:r>
      <w:r w:rsidRPr="00045F4F">
        <w:rPr>
          <w:rFonts w:ascii="標楷體" w:eastAsia="標楷體" w:hAnsi="標楷體" w:hint="eastAsia"/>
          <w:szCs w:val="24"/>
        </w:rPr>
        <w:t>115年11月25日前），應有符合服務機關（構）、學校所在地客家人口之比率通過客語能力認證；前開機關（構）、學校應自訂所屬公教人員逐年</w:t>
      </w:r>
      <w:r>
        <w:rPr>
          <w:rFonts w:ascii="標楷體" w:eastAsia="標楷體" w:hAnsi="標楷體" w:hint="eastAsia"/>
          <w:szCs w:val="24"/>
        </w:rPr>
        <w:t>通過客語能力認證比率之計畫，並由各級政府或目的事業主管機關報由客家委員</w:t>
      </w:r>
      <w:r w:rsidRPr="00045F4F">
        <w:rPr>
          <w:rFonts w:ascii="標楷體" w:eastAsia="標楷體" w:hAnsi="標楷體" w:hint="eastAsia"/>
          <w:szCs w:val="24"/>
        </w:rPr>
        <w:t>會納入國家客家發展計畫逐年檢核。經查，</w:t>
      </w:r>
      <w:r>
        <w:rPr>
          <w:rFonts w:ascii="標楷體" w:eastAsia="標楷體" w:hAnsi="標楷體" w:hint="eastAsia"/>
          <w:szCs w:val="24"/>
        </w:rPr>
        <w:t>客家委員會</w:t>
      </w:r>
      <w:r w:rsidRPr="00045F4F">
        <w:rPr>
          <w:rFonts w:ascii="標楷體" w:eastAsia="標楷體" w:hAnsi="標楷體" w:hint="eastAsia"/>
          <w:szCs w:val="24"/>
        </w:rPr>
        <w:t>為推動實施辦法第13條規定事項，於109年8月5日函請各客語為通行語地區之鄉（鎮、市、區）公所、轄內有客語為通行語地區之</w:t>
      </w:r>
      <w:r w:rsidRPr="006906BD">
        <w:rPr>
          <w:rFonts w:ascii="標楷體" w:eastAsia="標楷體" w:hAnsi="標楷體" w:hint="eastAsia"/>
          <w:szCs w:val="24"/>
        </w:rPr>
        <w:t>直轄市、縣（市）</w:t>
      </w:r>
      <w:r w:rsidRPr="00045F4F">
        <w:rPr>
          <w:rFonts w:ascii="標楷體" w:eastAsia="標楷體" w:hAnsi="標楷體" w:hint="eastAsia"/>
          <w:szCs w:val="24"/>
        </w:rPr>
        <w:t>政府</w:t>
      </w:r>
      <w:r>
        <w:rPr>
          <w:rFonts w:ascii="標楷體" w:eastAsia="標楷體" w:hAnsi="標楷體" w:hint="eastAsia"/>
          <w:szCs w:val="24"/>
        </w:rPr>
        <w:t>（下稱</w:t>
      </w:r>
      <w:r w:rsidRPr="00045F4F">
        <w:rPr>
          <w:rFonts w:ascii="標楷體" w:eastAsia="標楷體" w:hAnsi="標楷體" w:hint="eastAsia"/>
          <w:szCs w:val="24"/>
        </w:rPr>
        <w:t>市縣政府</w:t>
      </w:r>
      <w:r>
        <w:rPr>
          <w:rFonts w:ascii="標楷體" w:eastAsia="標楷體" w:hAnsi="標楷體" w:hint="eastAsia"/>
          <w:szCs w:val="24"/>
        </w:rPr>
        <w:t>）</w:t>
      </w:r>
      <w:r w:rsidRPr="00045F4F">
        <w:rPr>
          <w:rFonts w:ascii="標楷體" w:eastAsia="標楷體" w:hAnsi="標楷體" w:hint="eastAsia"/>
          <w:szCs w:val="24"/>
        </w:rPr>
        <w:t>、所屬機關（單位）位於客語為通行語地區之中央部會，及各級政府客家專責機關（構）等機關單位</w:t>
      </w:r>
      <w:r>
        <w:rPr>
          <w:rFonts w:ascii="標楷體" w:eastAsia="標楷體" w:hAnsi="標楷體" w:hint="eastAsia"/>
          <w:szCs w:val="24"/>
        </w:rPr>
        <w:t>，</w:t>
      </w:r>
      <w:r w:rsidRPr="00045F4F">
        <w:rPr>
          <w:rFonts w:ascii="標楷體" w:eastAsia="標楷體" w:hAnsi="標楷體" w:hint="eastAsia"/>
          <w:szCs w:val="24"/>
        </w:rPr>
        <w:t>填報所屬公教人員109至112年度逐年通過客語能力認證比率推動計畫預計達成</w:t>
      </w:r>
      <w:r w:rsidRPr="00045F4F">
        <w:rPr>
          <w:rFonts w:ascii="標楷體" w:eastAsia="標楷體" w:hAnsi="標楷體" w:hint="eastAsia"/>
          <w:szCs w:val="24"/>
        </w:rPr>
        <w:lastRenderedPageBreak/>
        <w:t>通過認證比率目標值，及推動策略規劃等</w:t>
      </w:r>
      <w:r>
        <w:rPr>
          <w:rFonts w:ascii="標楷體" w:eastAsia="標楷體" w:hAnsi="標楷體" w:hint="eastAsia"/>
          <w:szCs w:val="24"/>
        </w:rPr>
        <w:t>；</w:t>
      </w:r>
      <w:r w:rsidRPr="00045F4F">
        <w:rPr>
          <w:rFonts w:ascii="標楷體" w:eastAsia="標楷體" w:hAnsi="標楷體" w:hint="eastAsia"/>
          <w:szCs w:val="24"/>
        </w:rPr>
        <w:t>惟後續並未彙整各機關</w:t>
      </w:r>
      <w:r>
        <w:rPr>
          <w:rFonts w:ascii="標楷體" w:eastAsia="標楷體" w:hAnsi="標楷體" w:hint="eastAsia"/>
          <w:szCs w:val="24"/>
        </w:rPr>
        <w:t>單位填報結果，</w:t>
      </w:r>
      <w:r w:rsidRPr="00045F4F">
        <w:rPr>
          <w:rFonts w:ascii="標楷體" w:eastAsia="標楷體" w:hAnsi="標楷體" w:hint="eastAsia"/>
          <w:szCs w:val="24"/>
        </w:rPr>
        <w:t>各機關單位109至112年度自訂目標值達成狀況，亦未納入國家客家發展計畫持續追蹤檢核，核與實施辦法第13條</w:t>
      </w:r>
      <w:r>
        <w:rPr>
          <w:rFonts w:ascii="標楷體" w:eastAsia="標楷體" w:hAnsi="標楷體" w:hint="eastAsia"/>
          <w:szCs w:val="24"/>
        </w:rPr>
        <w:t>之</w:t>
      </w:r>
      <w:r w:rsidRPr="00045F4F">
        <w:rPr>
          <w:rFonts w:ascii="標楷體" w:eastAsia="標楷體" w:hAnsi="標楷體" w:hint="eastAsia"/>
          <w:szCs w:val="24"/>
        </w:rPr>
        <w:t>規定有間。</w:t>
      </w:r>
      <w:r>
        <w:rPr>
          <w:rFonts w:ascii="標楷體" w:eastAsia="標楷體" w:hAnsi="標楷體" w:hint="eastAsia"/>
          <w:szCs w:val="24"/>
        </w:rPr>
        <w:t>復</w:t>
      </w:r>
      <w:r w:rsidRPr="00045F4F">
        <w:rPr>
          <w:rFonts w:ascii="標楷體" w:eastAsia="標楷體" w:hAnsi="標楷體" w:hint="eastAsia"/>
          <w:szCs w:val="24"/>
        </w:rPr>
        <w:t>查</w:t>
      </w:r>
      <w:r>
        <w:rPr>
          <w:rFonts w:ascii="標楷體" w:eastAsia="標楷體" w:hAnsi="標楷體" w:hint="eastAsia"/>
          <w:szCs w:val="24"/>
        </w:rPr>
        <w:t>，</w:t>
      </w:r>
      <w:r w:rsidRPr="00045F4F">
        <w:rPr>
          <w:rFonts w:ascii="標楷體" w:eastAsia="標楷體" w:hAnsi="標楷體" w:hint="eastAsia"/>
          <w:szCs w:val="24"/>
        </w:rPr>
        <w:t>依</w:t>
      </w:r>
      <w:r>
        <w:rPr>
          <w:rFonts w:ascii="標楷體" w:eastAsia="標楷體" w:hAnsi="標楷體" w:hint="eastAsia"/>
          <w:szCs w:val="24"/>
        </w:rPr>
        <w:t>客家委員</w:t>
      </w:r>
      <w:r w:rsidRPr="00045F4F">
        <w:rPr>
          <w:rFonts w:ascii="標楷體" w:eastAsia="標楷體" w:hAnsi="標楷體" w:hint="eastAsia"/>
          <w:szCs w:val="24"/>
        </w:rPr>
        <w:t>會統計截至111年底</w:t>
      </w:r>
      <w:r>
        <w:rPr>
          <w:rFonts w:ascii="標楷體" w:eastAsia="標楷體" w:hAnsi="標楷體" w:hint="eastAsia"/>
          <w:szCs w:val="24"/>
        </w:rPr>
        <w:t>止</w:t>
      </w:r>
      <w:r w:rsidRPr="00045F4F">
        <w:rPr>
          <w:rFonts w:ascii="標楷體" w:eastAsia="標楷體" w:hAnsi="標楷體" w:hint="eastAsia"/>
          <w:szCs w:val="24"/>
        </w:rPr>
        <w:t>公教人員通過客語能力認證情形，在客語為通行語地區之</w:t>
      </w:r>
      <w:r>
        <w:rPr>
          <w:rFonts w:ascii="標楷體" w:eastAsia="標楷體" w:hAnsi="標楷體" w:hint="eastAsia"/>
          <w:szCs w:val="24"/>
        </w:rPr>
        <w:t>70個</w:t>
      </w:r>
      <w:r w:rsidRPr="00045F4F">
        <w:rPr>
          <w:rFonts w:ascii="標楷體" w:eastAsia="標楷體" w:hAnsi="標楷體" w:hint="eastAsia"/>
          <w:szCs w:val="24"/>
        </w:rPr>
        <w:t>鄉（鎮、市、區），</w:t>
      </w:r>
      <w:r>
        <w:rPr>
          <w:rFonts w:ascii="標楷體" w:eastAsia="標楷體" w:hAnsi="標楷體" w:hint="eastAsia"/>
          <w:szCs w:val="24"/>
        </w:rPr>
        <w:t>計</w:t>
      </w:r>
      <w:r w:rsidRPr="00045F4F">
        <w:rPr>
          <w:rFonts w:ascii="標楷體" w:eastAsia="標楷體" w:hAnsi="標楷體" w:hint="eastAsia"/>
          <w:szCs w:val="24"/>
        </w:rPr>
        <w:t>有高雄市美濃區等17個鄉（鎮、市、區）符合度</w:t>
      </w:r>
      <w:r w:rsidR="004F2BEF" w:rsidRPr="00045F4F">
        <w:rPr>
          <w:rFonts w:ascii="標楷體" w:eastAsia="標楷體" w:hAnsi="標楷體" w:hint="eastAsia"/>
          <w:szCs w:val="24"/>
        </w:rPr>
        <w:t>（</w:t>
      </w:r>
      <w:r>
        <w:rPr>
          <w:rFonts w:ascii="標楷體" w:eastAsia="標楷體" w:hAnsi="標楷體" w:hint="eastAsia"/>
          <w:szCs w:val="24"/>
        </w:rPr>
        <w:t>指</w:t>
      </w:r>
      <w:r w:rsidRPr="00DA021B">
        <w:rPr>
          <w:rFonts w:ascii="標楷體" w:eastAsia="標楷體" w:hAnsi="標楷體" w:hint="eastAsia"/>
          <w:szCs w:val="24"/>
        </w:rPr>
        <w:t>服務於客語為通行語地區之公教人員通過客語能力認證</w:t>
      </w:r>
      <w:r>
        <w:rPr>
          <w:rFonts w:ascii="標楷體" w:eastAsia="標楷體" w:hAnsi="標楷體" w:hint="eastAsia"/>
          <w:szCs w:val="24"/>
        </w:rPr>
        <w:t>之比率</w:t>
      </w:r>
      <w:r w:rsidRPr="00DA021B">
        <w:rPr>
          <w:rFonts w:ascii="標楷體" w:eastAsia="標楷體" w:hAnsi="標楷體" w:hint="eastAsia"/>
          <w:szCs w:val="24"/>
        </w:rPr>
        <w:t>符合服務</w:t>
      </w:r>
      <w:r>
        <w:rPr>
          <w:rFonts w:ascii="標楷體" w:eastAsia="標楷體" w:hAnsi="標楷體" w:hint="eastAsia"/>
          <w:szCs w:val="24"/>
        </w:rPr>
        <w:t>單位</w:t>
      </w:r>
      <w:r w:rsidRPr="00DA021B">
        <w:rPr>
          <w:rFonts w:ascii="標楷體" w:eastAsia="標楷體" w:hAnsi="標楷體" w:hint="eastAsia"/>
          <w:szCs w:val="24"/>
        </w:rPr>
        <w:t>所在地客家人口之比</w:t>
      </w:r>
      <w:r>
        <w:rPr>
          <w:rFonts w:ascii="標楷體" w:eastAsia="標楷體" w:hAnsi="標楷體" w:hint="eastAsia"/>
          <w:szCs w:val="24"/>
        </w:rPr>
        <w:t>率，</w:t>
      </w:r>
      <w:r w:rsidRPr="00DA021B">
        <w:rPr>
          <w:rFonts w:ascii="標楷體" w:eastAsia="標楷體" w:hAnsi="標楷體" w:hint="eastAsia"/>
          <w:szCs w:val="24"/>
        </w:rPr>
        <w:t>以通過客語能力認證人數比率</w:t>
      </w:r>
      <m:oMath>
        <m:r>
          <m:rPr>
            <m:sty m:val="p"/>
          </m:rPr>
          <w:rPr>
            <w:rFonts w:ascii="Cambria Math" w:eastAsia="標楷體" w:hAnsi="Cambria Math"/>
            <w:szCs w:val="24"/>
          </w:rPr>
          <m:t>÷</m:t>
        </m:r>
      </m:oMath>
      <w:r w:rsidRPr="00DA021B">
        <w:rPr>
          <w:rFonts w:ascii="標楷體" w:eastAsia="標楷體" w:hAnsi="標楷體" w:hint="eastAsia"/>
          <w:szCs w:val="24"/>
        </w:rPr>
        <w:t>所</w:t>
      </w:r>
      <w:r w:rsidR="009C6696" w:rsidRPr="00463381">
        <w:rPr>
          <w:rFonts w:ascii="標楷體" w:eastAsia="標楷體" w:hAnsi="標楷體"/>
          <w:noProof/>
          <w:szCs w:val="24"/>
        </w:rPr>
        <mc:AlternateContent>
          <mc:Choice Requires="wps">
            <w:drawing>
              <wp:anchor distT="45720" distB="45720" distL="114300" distR="114300" simplePos="0" relativeHeight="251669504" behindDoc="0" locked="0" layoutInCell="1" allowOverlap="1" wp14:anchorId="722D44FD" wp14:editId="6F90FB53">
                <wp:simplePos x="0" y="0"/>
                <wp:positionH relativeFrom="margin">
                  <wp:posOffset>2084070</wp:posOffset>
                </wp:positionH>
                <wp:positionV relativeFrom="paragraph">
                  <wp:posOffset>1431925</wp:posOffset>
                </wp:positionV>
                <wp:extent cx="4210050" cy="2705100"/>
                <wp:effectExtent l="0" t="0" r="0" b="0"/>
                <wp:wrapSquare wrapText="bothSides"/>
                <wp:docPr id="3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050" cy="2705100"/>
                        </a:xfrm>
                        <a:prstGeom prst="rect">
                          <a:avLst/>
                        </a:prstGeom>
                        <a:noFill/>
                        <a:ln w="9525">
                          <a:noFill/>
                          <a:miter lim="800000"/>
                          <a:headEnd/>
                          <a:tailEnd/>
                        </a:ln>
                      </wps:spPr>
                      <wps:txbx>
                        <w:txbxContent>
                          <w:tbl>
                            <w:tblPr>
                              <w:tblW w:w="6379" w:type="dxa"/>
                              <w:tblCellMar>
                                <w:left w:w="28" w:type="dxa"/>
                                <w:right w:w="28" w:type="dxa"/>
                              </w:tblCellMar>
                              <w:tblLook w:val="04A0" w:firstRow="1" w:lastRow="0" w:firstColumn="1" w:lastColumn="0" w:noHBand="0" w:noVBand="1"/>
                            </w:tblPr>
                            <w:tblGrid>
                              <w:gridCol w:w="567"/>
                              <w:gridCol w:w="851"/>
                              <w:gridCol w:w="850"/>
                              <w:gridCol w:w="993"/>
                              <w:gridCol w:w="567"/>
                              <w:gridCol w:w="850"/>
                              <w:gridCol w:w="851"/>
                              <w:gridCol w:w="850"/>
                            </w:tblGrid>
                            <w:tr w:rsidR="00A0212B" w:rsidRPr="00763C49" w14:paraId="3FF64E5C" w14:textId="77777777" w:rsidTr="001633EC">
                              <w:trPr>
                                <w:trHeight w:val="274"/>
                              </w:trPr>
                              <w:tc>
                                <w:tcPr>
                                  <w:tcW w:w="6379" w:type="dxa"/>
                                  <w:gridSpan w:val="8"/>
                                  <w:shd w:val="clear" w:color="auto" w:fill="auto"/>
                                  <w:noWrap/>
                                </w:tcPr>
                                <w:p w14:paraId="228E1632" w14:textId="28055E22" w:rsidR="00A0212B" w:rsidRPr="00763C49" w:rsidRDefault="00A0212B">
                                  <w:pPr>
                                    <w:widowControl/>
                                    <w:spacing w:line="260" w:lineRule="exact"/>
                                    <w:ind w:leftChars="-13" w:left="669" w:rightChars="27" w:right="65" w:hangingChars="330" w:hanging="700"/>
                                    <w:jc w:val="both"/>
                                    <w:rPr>
                                      <w:rFonts w:ascii="標楷體" w:eastAsia="標楷體" w:hAnsi="標楷體" w:cs="新細明體"/>
                                      <w:color w:val="000000"/>
                                      <w:spacing w:val="-14"/>
                                      <w:kern w:val="0"/>
                                      <w:sz w:val="28"/>
                                      <w:szCs w:val="28"/>
                                    </w:rPr>
                                  </w:pPr>
                                  <w:r w:rsidRPr="00763C49">
                                    <w:rPr>
                                      <w:rFonts w:ascii="標楷體" w:eastAsia="標楷體" w:hAnsi="標楷體" w:hint="eastAsia"/>
                                      <w:b/>
                                      <w:spacing w:val="-14"/>
                                      <w:szCs w:val="28"/>
                                    </w:rPr>
                                    <w:t>表</w:t>
                                  </w:r>
                                  <w:r>
                                    <w:rPr>
                                      <w:rFonts w:ascii="標楷體" w:eastAsia="標楷體" w:hAnsi="標楷體"/>
                                      <w:b/>
                                      <w:spacing w:val="-14"/>
                                      <w:szCs w:val="28"/>
                                    </w:rPr>
                                    <w:t>36</w:t>
                                  </w:r>
                                  <w:r>
                                    <w:rPr>
                                      <w:rFonts w:ascii="標楷體" w:eastAsia="標楷體" w:hAnsi="標楷體" w:hint="eastAsia"/>
                                      <w:b/>
                                      <w:spacing w:val="-14"/>
                                      <w:szCs w:val="28"/>
                                    </w:rPr>
                                    <w:t xml:space="preserve">　</w:t>
                                  </w:r>
                                  <w:r w:rsidRPr="0057774A">
                                    <w:rPr>
                                      <w:rFonts w:ascii="標楷體" w:eastAsia="標楷體" w:hAnsi="標楷體" w:hint="eastAsia"/>
                                      <w:b/>
                                      <w:spacing w:val="-8"/>
                                      <w:szCs w:val="28"/>
                                    </w:rPr>
                                    <w:t>截至</w:t>
                                  </w:r>
                                  <w:r w:rsidRPr="0057774A">
                                    <w:rPr>
                                      <w:rFonts w:ascii="標楷體" w:eastAsia="標楷體" w:hAnsi="標楷體"/>
                                      <w:b/>
                                      <w:spacing w:val="-8"/>
                                      <w:szCs w:val="28"/>
                                    </w:rPr>
                                    <w:t>111年底</w:t>
                                  </w:r>
                                  <w:r w:rsidRPr="0057774A">
                                    <w:rPr>
                                      <w:rFonts w:ascii="標楷體" w:eastAsia="標楷體" w:hAnsi="標楷體" w:hint="eastAsia"/>
                                      <w:b/>
                                      <w:spacing w:val="-8"/>
                                      <w:szCs w:val="28"/>
                                    </w:rPr>
                                    <w:t>以客語為通行語地區之鄉（鎮、市、區）</w:t>
                                  </w:r>
                                  <w:r w:rsidRPr="0057774A">
                                    <w:rPr>
                                      <w:rFonts w:ascii="標楷體" w:eastAsia="標楷體" w:hAnsi="標楷體"/>
                                      <w:b/>
                                      <w:spacing w:val="-8"/>
                                      <w:szCs w:val="28"/>
                                    </w:rPr>
                                    <w:t>公</w:t>
                                  </w:r>
                                  <w:r w:rsidRPr="0057774A">
                                    <w:rPr>
                                      <w:rFonts w:ascii="標楷體" w:eastAsia="標楷體" w:hAnsi="標楷體" w:hint="eastAsia"/>
                                      <w:b/>
                                      <w:spacing w:val="-8"/>
                                      <w:szCs w:val="28"/>
                                    </w:rPr>
                                    <w:t>教</w:t>
                                  </w:r>
                                  <w:r w:rsidRPr="0057774A">
                                    <w:rPr>
                                      <w:rFonts w:ascii="標楷體" w:eastAsia="標楷體" w:hAnsi="標楷體"/>
                                      <w:b/>
                                      <w:spacing w:val="-8"/>
                                      <w:szCs w:val="28"/>
                                    </w:rPr>
                                    <w:t>人員通過客語能力認證</w:t>
                                  </w:r>
                                  <w:r w:rsidRPr="0057774A">
                                    <w:rPr>
                                      <w:rFonts w:ascii="標楷體" w:eastAsia="標楷體" w:hAnsi="標楷體" w:hint="eastAsia"/>
                                      <w:b/>
                                      <w:spacing w:val="-8"/>
                                      <w:szCs w:val="28"/>
                                    </w:rPr>
                                    <w:t>比率符合度未</w:t>
                                  </w:r>
                                  <w:r w:rsidRPr="0057774A">
                                    <w:rPr>
                                      <w:rFonts w:ascii="標楷體" w:eastAsia="標楷體" w:hAnsi="標楷體"/>
                                      <w:b/>
                                      <w:spacing w:val="-8"/>
                                      <w:szCs w:val="28"/>
                                    </w:rPr>
                                    <w:t>達50</w:t>
                                  </w:r>
                                  <w:r w:rsidRPr="0057774A">
                                    <w:rPr>
                                      <w:rFonts w:ascii="標楷體" w:eastAsia="標楷體" w:hAnsi="標楷體" w:hint="eastAsia"/>
                                      <w:b/>
                                      <w:spacing w:val="-8"/>
                                      <w:szCs w:val="28"/>
                                    </w:rPr>
                                    <w:t>％情形</w:t>
                                  </w:r>
                                </w:p>
                              </w:tc>
                            </w:tr>
                            <w:tr w:rsidR="00A0212B" w:rsidRPr="00174B7D" w14:paraId="2B6D9FD0" w14:textId="77777777" w:rsidTr="001633EC">
                              <w:trPr>
                                <w:trHeight w:val="283"/>
                              </w:trPr>
                              <w:tc>
                                <w:tcPr>
                                  <w:tcW w:w="6379" w:type="dxa"/>
                                  <w:gridSpan w:val="8"/>
                                  <w:tcBorders>
                                    <w:bottom w:val="single" w:sz="4" w:space="0" w:color="auto"/>
                                  </w:tcBorders>
                                  <w:shd w:val="clear" w:color="auto" w:fill="auto"/>
                                  <w:noWrap/>
                                </w:tcPr>
                                <w:p w14:paraId="67290339" w14:textId="77777777" w:rsidR="00A0212B" w:rsidRPr="00174B7D" w:rsidRDefault="00A0212B" w:rsidP="001633EC">
                                  <w:pPr>
                                    <w:widowControl/>
                                    <w:spacing w:line="220" w:lineRule="exact"/>
                                    <w:jc w:val="right"/>
                                    <w:rPr>
                                      <w:rFonts w:ascii="標楷體" w:eastAsia="標楷體" w:hAnsi="標楷體" w:cs="新細明體"/>
                                      <w:color w:val="000000"/>
                                      <w:kern w:val="0"/>
                                    </w:rPr>
                                  </w:pPr>
                                  <w:r>
                                    <w:rPr>
                                      <w:rFonts w:ascii="標楷體" w:eastAsia="標楷體" w:hAnsi="標楷體" w:cs="新細明體" w:hint="eastAsia"/>
                                      <w:color w:val="000000"/>
                                      <w:kern w:val="0"/>
                                      <w:sz w:val="20"/>
                                    </w:rPr>
                                    <w:t>單位：</w:t>
                                  </w:r>
                                  <w:r w:rsidRPr="0083744B">
                                    <w:rPr>
                                      <w:rFonts w:ascii="標楷體" w:eastAsia="標楷體" w:hAnsi="標楷體" w:cs="新細明體" w:hint="eastAsia"/>
                                      <w:color w:val="000000"/>
                                      <w:kern w:val="0"/>
                                      <w:sz w:val="20"/>
                                    </w:rPr>
                                    <w:t>％</w:t>
                                  </w:r>
                                </w:p>
                              </w:tc>
                            </w:tr>
                            <w:tr w:rsidR="00A0212B" w:rsidRPr="00060654" w14:paraId="3B96A768"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8BCF0" w14:textId="77777777" w:rsidR="00A0212B" w:rsidRPr="00D561AF" w:rsidRDefault="00A0212B" w:rsidP="001633EC">
                                  <w:pPr>
                                    <w:spacing w:line="240" w:lineRule="exact"/>
                                    <w:jc w:val="center"/>
                                    <w:rPr>
                                      <w:rFonts w:ascii="標楷體" w:eastAsia="標楷體" w:hAnsi="標楷體" w:cs="新細明體"/>
                                      <w:color w:val="000000"/>
                                      <w:kern w:val="0"/>
                                      <w:sz w:val="20"/>
                                    </w:rPr>
                                  </w:pPr>
                                  <w:r w:rsidRPr="00D561AF">
                                    <w:rPr>
                                      <w:rFonts w:ascii="標楷體" w:eastAsia="標楷體" w:hAnsi="標楷體" w:cs="新細明體" w:hint="eastAsia"/>
                                      <w:color w:val="000000"/>
                                      <w:kern w:val="0"/>
                                      <w:sz w:val="20"/>
                                    </w:rPr>
                                    <w:t>項次</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51CE1" w14:textId="77777777" w:rsidR="00A0212B" w:rsidRPr="00D561AF" w:rsidRDefault="00A0212B" w:rsidP="001633EC">
                                  <w:pPr>
                                    <w:spacing w:line="240" w:lineRule="exact"/>
                                    <w:jc w:val="center"/>
                                    <w:rPr>
                                      <w:rFonts w:ascii="標楷體" w:eastAsia="標楷體" w:hAnsi="標楷體" w:cs="新細明體"/>
                                      <w:color w:val="000000"/>
                                      <w:kern w:val="0"/>
                                      <w:sz w:val="20"/>
                                    </w:rPr>
                                  </w:pPr>
                                  <w:r w:rsidRPr="00D561AF">
                                    <w:rPr>
                                      <w:rFonts w:ascii="標楷體" w:eastAsia="標楷體" w:hAnsi="標楷體" w:cs="新細明體" w:hint="eastAsia"/>
                                      <w:color w:val="000000"/>
                                      <w:kern w:val="0"/>
                                      <w:sz w:val="20"/>
                                    </w:rPr>
                                    <w:t>縣市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1A779" w14:textId="77777777" w:rsidR="00A0212B" w:rsidRPr="00060654" w:rsidRDefault="00A0212B" w:rsidP="001633EC">
                                  <w:pPr>
                                    <w:spacing w:line="240" w:lineRule="exact"/>
                                    <w:jc w:val="center"/>
                                    <w:rPr>
                                      <w:rFonts w:ascii="標楷體" w:eastAsia="標楷體" w:hAnsi="標楷體" w:cs="新細明體"/>
                                      <w:color w:val="000000"/>
                                      <w:spacing w:val="-16"/>
                                      <w:kern w:val="0"/>
                                      <w:sz w:val="20"/>
                                    </w:rPr>
                                  </w:pPr>
                                  <w:r w:rsidRPr="00060654">
                                    <w:rPr>
                                      <w:rFonts w:ascii="標楷體" w:eastAsia="標楷體" w:hAnsi="標楷體" w:cs="新細明體" w:hint="eastAsia"/>
                                      <w:color w:val="000000"/>
                                      <w:spacing w:val="-16"/>
                                      <w:kern w:val="0"/>
                                      <w:sz w:val="20"/>
                                    </w:rPr>
                                    <w:t>鄉（鎮、市、區）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102AE98"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符合度</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5EF0A454" w14:textId="77777777" w:rsidR="00A0212B" w:rsidRPr="00060654" w:rsidRDefault="00A0212B" w:rsidP="001633EC">
                                  <w:pPr>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項次</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0DD23AD" w14:textId="77777777" w:rsidR="00A0212B" w:rsidRPr="00060654" w:rsidRDefault="00A0212B" w:rsidP="001633EC">
                                  <w:pPr>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縣市</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EAE7E23" w14:textId="77777777" w:rsidR="00A0212B" w:rsidRPr="00060654" w:rsidRDefault="00A0212B" w:rsidP="001633EC">
                                  <w:pPr>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spacing w:val="-16"/>
                                      <w:kern w:val="0"/>
                                      <w:sz w:val="20"/>
                                    </w:rPr>
                                    <w:t>鄉（鎮、市、區）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729D9D6"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符合度</w:t>
                                  </w:r>
                                </w:p>
                              </w:tc>
                            </w:tr>
                            <w:tr w:rsidR="00A0212B" w:rsidRPr="00060654" w14:paraId="0A03DF96"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11142" w14:textId="77777777" w:rsidR="00A0212B" w:rsidRPr="00D561AF"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FC799" w14:textId="77777777" w:rsidR="00A0212B" w:rsidRPr="00D561AF" w:rsidRDefault="00A0212B" w:rsidP="001633EC">
                                  <w:pPr>
                                    <w:widowControl/>
                                    <w:spacing w:line="240" w:lineRule="exact"/>
                                    <w:jc w:val="center"/>
                                    <w:rPr>
                                      <w:rFonts w:ascii="標楷體" w:eastAsia="標楷體" w:hAnsi="標楷體" w:cs="新細明體"/>
                                      <w:color w:val="000000"/>
                                      <w:kern w:val="0"/>
                                      <w:sz w:val="20"/>
                                    </w:rPr>
                                  </w:pPr>
                                  <w:r w:rsidRPr="00D561AF">
                                    <w:rPr>
                                      <w:rFonts w:ascii="標楷體" w:eastAsia="標楷體" w:hAnsi="標楷體" w:cs="新細明體" w:hint="eastAsia"/>
                                      <w:color w:val="000000"/>
                                      <w:kern w:val="0"/>
                                      <w:sz w:val="20"/>
                                    </w:rPr>
                                    <w:t>新竹市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392262"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香山區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FE8CF5D"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42.39</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7167DA61"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831B2E6"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高雄市</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5A8FE8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甲仙區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F39DDEF"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9.80</w:t>
                                  </w:r>
                                </w:p>
                              </w:tc>
                            </w:tr>
                            <w:tr w:rsidR="00A0212B" w:rsidRPr="00060654" w14:paraId="790E06A4"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53517"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284A7" w14:textId="77777777" w:rsidR="00A0212B" w:rsidRPr="00D561AF"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苗栗縣</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7D793"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苑裡鎮</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2E762B99"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48.64</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673568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850" w:type="dxa"/>
                                  <w:vMerge w:val="restart"/>
                                  <w:tcBorders>
                                    <w:top w:val="single" w:sz="4" w:space="0" w:color="auto"/>
                                    <w:left w:val="single" w:sz="4" w:space="0" w:color="auto"/>
                                    <w:right w:val="single" w:sz="4" w:space="0" w:color="auto"/>
                                  </w:tcBorders>
                                  <w:shd w:val="clear" w:color="auto" w:fill="auto"/>
                                  <w:vAlign w:val="center"/>
                                </w:tcPr>
                                <w:p w14:paraId="11CBAA54"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屏東縣</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5202D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新埤鄉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4430B9"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47.87</w:t>
                                  </w:r>
                                </w:p>
                              </w:tc>
                            </w:tr>
                            <w:tr w:rsidR="00A0212B" w:rsidRPr="00060654" w14:paraId="6FE50C17"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1AED3"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93CA832"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臺中市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D744F"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和平區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3A33D4FD"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5.69</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717EC307"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850" w:type="dxa"/>
                                  <w:vMerge/>
                                  <w:tcBorders>
                                    <w:left w:val="single" w:sz="4" w:space="0" w:color="auto"/>
                                    <w:right w:val="single" w:sz="4" w:space="0" w:color="auto"/>
                                  </w:tcBorders>
                                  <w:shd w:val="clear" w:color="auto" w:fill="auto"/>
                                  <w:vAlign w:val="center"/>
                                </w:tcPr>
                                <w:p w14:paraId="270CCA92"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C41397"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萬巒鄉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D304572"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39.05</w:t>
                                  </w:r>
                                </w:p>
                              </w:tc>
                            </w:tr>
                            <w:tr w:rsidR="00A0212B" w:rsidRPr="00060654" w14:paraId="7AB5D23F"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DBAED"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46C8F794" w14:textId="77777777" w:rsidR="00A0212B" w:rsidRDefault="00A0212B" w:rsidP="001633EC">
                                  <w:pPr>
                                    <w:widowControl/>
                                    <w:spacing w:line="240" w:lineRule="exac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ECEAC"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豐原區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6DB5128"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44.83</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6C55FF9"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850" w:type="dxa"/>
                                  <w:vMerge/>
                                  <w:tcBorders>
                                    <w:left w:val="single" w:sz="4" w:space="0" w:color="auto"/>
                                    <w:right w:val="single" w:sz="4" w:space="0" w:color="auto"/>
                                  </w:tcBorders>
                                  <w:shd w:val="clear" w:color="auto" w:fill="auto"/>
                                  <w:vAlign w:val="center"/>
                                </w:tcPr>
                                <w:p w14:paraId="5CFF9145"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374FEA6"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高樹鄉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5A0670"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25.90</w:t>
                                  </w:r>
                                </w:p>
                              </w:tc>
                            </w:tr>
                            <w:tr w:rsidR="00A0212B" w:rsidRPr="00060654" w14:paraId="0129FAF0"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FB9BE"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995756F"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南投縣</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6DAC5"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國姓鄉</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78C3A149"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46.45</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40F790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850" w:type="dxa"/>
                                  <w:vMerge/>
                                  <w:tcBorders>
                                    <w:left w:val="single" w:sz="4" w:space="0" w:color="auto"/>
                                    <w:bottom w:val="single" w:sz="4" w:space="0" w:color="auto"/>
                                    <w:right w:val="single" w:sz="4" w:space="0" w:color="auto"/>
                                  </w:tcBorders>
                                  <w:shd w:val="clear" w:color="auto" w:fill="auto"/>
                                  <w:vAlign w:val="center"/>
                                </w:tcPr>
                                <w:p w14:paraId="60A33080"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887D5B"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佳冬鄉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23E0A9C"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46.78</w:t>
                                  </w:r>
                                </w:p>
                              </w:tc>
                            </w:tr>
                            <w:tr w:rsidR="00A0212B" w:rsidRPr="00060654" w14:paraId="0F5DC92A"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C6AC1"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1FE85658" w14:textId="77777777" w:rsidR="00A0212B" w:rsidRDefault="00A0212B" w:rsidP="001633EC">
                                  <w:pPr>
                                    <w:widowControl/>
                                    <w:spacing w:line="240" w:lineRule="exac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51FF3"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水里鄉</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9E766AD"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29.14</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D5AB392"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850" w:type="dxa"/>
                                  <w:vMerge w:val="restart"/>
                                  <w:tcBorders>
                                    <w:top w:val="single" w:sz="4" w:space="0" w:color="auto"/>
                                    <w:left w:val="single" w:sz="4" w:space="0" w:color="auto"/>
                                    <w:right w:val="single" w:sz="4" w:space="0" w:color="auto"/>
                                  </w:tcBorders>
                                  <w:shd w:val="clear" w:color="auto" w:fill="auto"/>
                                  <w:vAlign w:val="center"/>
                                </w:tcPr>
                                <w:p w14:paraId="6BA7AEC5"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花蓮縣</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AE8A764"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富里鄉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A6A697D"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10.88</w:t>
                                  </w:r>
                                </w:p>
                              </w:tc>
                            </w:tr>
                            <w:tr w:rsidR="00A0212B" w:rsidRPr="00060654" w14:paraId="36A23779"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B0130"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9595F"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雲林縣</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63733"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崙背鄉</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70D08760"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44.93</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AE664C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850" w:type="dxa"/>
                                  <w:vMerge/>
                                  <w:tcBorders>
                                    <w:left w:val="single" w:sz="4" w:space="0" w:color="auto"/>
                                    <w:bottom w:val="single" w:sz="4" w:space="0" w:color="auto"/>
                                    <w:right w:val="single" w:sz="4" w:space="0" w:color="auto"/>
                                  </w:tcBorders>
                                  <w:shd w:val="clear" w:color="auto" w:fill="auto"/>
                                  <w:vAlign w:val="center"/>
                                </w:tcPr>
                                <w:p w14:paraId="43B5570D"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ED95402"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瑞穗鄉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27892BE"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12.84</w:t>
                                  </w:r>
                                </w:p>
                              </w:tc>
                            </w:tr>
                            <w:tr w:rsidR="00A0212B" w:rsidRPr="00060654" w14:paraId="3558535B"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6FC7F"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08137F4"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高雄市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C5EBD"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美濃區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4DB3CFE"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44.76</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49BFCF4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801CC1"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臺東縣</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3DBEDE7"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鹿野鄉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42B64C"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26.63</w:t>
                                  </w:r>
                                </w:p>
                              </w:tc>
                            </w:tr>
                            <w:tr w:rsidR="00A0212B" w:rsidRPr="00060654" w14:paraId="65BF55CB"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2AA6B"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67D094F9" w14:textId="77777777" w:rsidR="00A0212B" w:rsidRDefault="00A0212B" w:rsidP="001633EC">
                                  <w:pPr>
                                    <w:widowControl/>
                                    <w:spacing w:line="240" w:lineRule="exac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06F3"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杉林區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5E4760BB"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34.22</w:t>
                                  </w:r>
                                </w:p>
                              </w:tc>
                              <w:tc>
                                <w:tcPr>
                                  <w:tcW w:w="3118" w:type="dxa"/>
                                  <w:gridSpan w:val="4"/>
                                  <w:tcBorders>
                                    <w:top w:val="single" w:sz="4" w:space="0" w:color="auto"/>
                                    <w:left w:val="double" w:sz="4" w:space="0" w:color="auto"/>
                                    <w:bottom w:val="single" w:sz="4" w:space="0" w:color="auto"/>
                                    <w:right w:val="single" w:sz="4" w:space="0" w:color="auto"/>
                                    <w:tl2br w:val="single" w:sz="4" w:space="0" w:color="auto"/>
                                  </w:tcBorders>
                                  <w:shd w:val="clear" w:color="auto" w:fill="auto"/>
                                  <w:vAlign w:val="center"/>
                                </w:tcPr>
                                <w:p w14:paraId="7356D892"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p>
                              </w:tc>
                            </w:tr>
                            <w:tr w:rsidR="00A0212B" w:rsidRPr="00060654" w14:paraId="1D4C6A60" w14:textId="77777777" w:rsidTr="001633EC">
                              <w:trPr>
                                <w:trHeight w:val="416"/>
                              </w:trPr>
                              <w:tc>
                                <w:tcPr>
                                  <w:tcW w:w="6379" w:type="dxa"/>
                                  <w:gridSpan w:val="8"/>
                                  <w:tcBorders>
                                    <w:top w:val="single" w:sz="4" w:space="0" w:color="auto"/>
                                  </w:tcBorders>
                                  <w:shd w:val="clear" w:color="auto" w:fill="auto"/>
                                  <w:noWrap/>
                                  <w:vAlign w:val="center"/>
                                </w:tcPr>
                                <w:p w14:paraId="784B3737" w14:textId="77777777" w:rsidR="00A0212B" w:rsidRDefault="00A0212B" w:rsidP="001633EC">
                                  <w:pPr>
                                    <w:widowControl/>
                                    <w:spacing w:line="200" w:lineRule="exact"/>
                                    <w:ind w:left="540" w:hangingChars="300" w:hanging="54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sidRPr="00060654">
                                    <w:rPr>
                                      <w:rFonts w:ascii="標楷體" w:eastAsia="標楷體" w:hAnsi="標楷體" w:cs="新細明體" w:hint="eastAsia"/>
                                      <w:color w:val="000000"/>
                                      <w:kern w:val="0"/>
                                      <w:sz w:val="18"/>
                                      <w:szCs w:val="18"/>
                                    </w:rPr>
                                    <w:t>符合度以通過客語能力認證人數比率</w:t>
                                  </w:r>
                                  <m:oMath>
                                    <m:r>
                                      <m:rPr>
                                        <m:sty m:val="p"/>
                                      </m:rPr>
                                      <w:rPr>
                                        <w:rFonts w:ascii="Cambria Math" w:eastAsia="標楷體" w:hAnsi="Cambria Math"/>
                                        <w:szCs w:val="24"/>
                                      </w:rPr>
                                      <m:t>÷</m:t>
                                    </m:r>
                                  </m:oMath>
                                  <w:r w:rsidRPr="00060654">
                                    <w:rPr>
                                      <w:rFonts w:ascii="標楷體" w:eastAsia="標楷體" w:hAnsi="標楷體" w:cs="新細明體" w:hint="eastAsia"/>
                                      <w:color w:val="000000"/>
                                      <w:kern w:val="0"/>
                                      <w:sz w:val="18"/>
                                      <w:szCs w:val="18"/>
                                    </w:rPr>
                                    <w:t>所在地客家人口比率</w:t>
                                  </w:r>
                                  <w:r w:rsidRPr="00060654">
                                    <w:rPr>
                                      <w:rFonts w:ascii="標楷體" w:eastAsia="標楷體" w:hAnsi="標楷體" w:cs="新細明體" w:hint="eastAsia"/>
                                      <w:color w:val="000000"/>
                                      <w:kern w:val="0"/>
                                      <w:sz w:val="18"/>
                                      <w:szCs w:val="18"/>
                                    </w:rPr>
                                    <w:sym w:font="Wingdings 2" w:char="F0CD"/>
                                  </w:r>
                                  <w:r w:rsidRPr="00060654">
                                    <w:rPr>
                                      <w:rFonts w:ascii="標楷體" w:eastAsia="標楷體" w:hAnsi="標楷體" w:cs="新細明體" w:hint="eastAsia"/>
                                      <w:color w:val="000000"/>
                                      <w:kern w:val="0"/>
                                      <w:sz w:val="18"/>
                                      <w:szCs w:val="18"/>
                                    </w:rPr>
                                    <w:t>100％計算</w:t>
                                  </w:r>
                                  <w:r>
                                    <w:rPr>
                                      <w:rFonts w:ascii="標楷體" w:eastAsia="標楷體" w:hAnsi="標楷體" w:cs="新細明體" w:hint="eastAsia"/>
                                      <w:color w:val="000000"/>
                                      <w:kern w:val="0"/>
                                      <w:sz w:val="18"/>
                                      <w:szCs w:val="18"/>
                                    </w:rPr>
                                    <w:t>。</w:t>
                                  </w:r>
                                </w:p>
                                <w:p w14:paraId="78923D73" w14:textId="77777777" w:rsidR="00A0212B" w:rsidRPr="00236E7B" w:rsidRDefault="00A0212B" w:rsidP="00684415">
                                  <w:pPr>
                                    <w:widowControl/>
                                    <w:spacing w:line="200" w:lineRule="exact"/>
                                    <w:ind w:leftChars="140" w:left="336" w:rightChars="20" w:right="48"/>
                                    <w:jc w:val="both"/>
                                    <w:rPr>
                                      <w:rFonts w:ascii="標楷體" w:eastAsia="標楷體" w:hAnsi="標楷體" w:cs="新細明體"/>
                                      <w:color w:val="000000"/>
                                      <w:kern w:val="0"/>
                                      <w:sz w:val="18"/>
                                    </w:rPr>
                                  </w:pPr>
                                  <w:r>
                                    <w:rPr>
                                      <w:rFonts w:ascii="標楷體" w:eastAsia="標楷體" w:hAnsi="標楷體" w:cs="新細明體" w:hint="eastAsia"/>
                                      <w:color w:val="000000"/>
                                      <w:kern w:val="0"/>
                                      <w:sz w:val="18"/>
                                      <w:szCs w:val="18"/>
                                    </w:rPr>
                                    <w:t>2.資料來源：整理自客家委員會提供資料。</w:t>
                                  </w:r>
                                </w:p>
                              </w:tc>
                            </w:tr>
                          </w:tbl>
                          <w:p w14:paraId="1799B99F" w14:textId="77777777" w:rsidR="00A0212B" w:rsidRDefault="00A0212B" w:rsidP="009C669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2D44FD" id="_x0000_s1118" type="#_x0000_t202" style="position:absolute;left:0;text-align:left;margin-left:164.1pt;margin-top:112.75pt;width:331.5pt;height:213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" filled="f" stroked="f">
                <v:textbox>
                  <w:txbxContent>
                    <w:tbl>
                      <w:tblPr>
                        <w:tblW w:w="6379" w:type="dxa"/>
                        <w:tblCellMar>
                          <w:left w:w="28" w:type="dxa"/>
                          <w:right w:w="28" w:type="dxa"/>
                        </w:tblCellMar>
                        <w:tblLook w:val="04A0" w:firstRow="1" w:lastRow="0" w:firstColumn="1" w:lastColumn="0" w:noHBand="0" w:noVBand="1"/>
                      </w:tblPr>
                      <w:tblGrid>
                        <w:gridCol w:w="567"/>
                        <w:gridCol w:w="851"/>
                        <w:gridCol w:w="850"/>
                        <w:gridCol w:w="993"/>
                        <w:gridCol w:w="567"/>
                        <w:gridCol w:w="850"/>
                        <w:gridCol w:w="851"/>
                        <w:gridCol w:w="850"/>
                      </w:tblGrid>
                      <w:tr w:rsidR="00A0212B" w:rsidRPr="00763C49" w14:paraId="3FF64E5C" w14:textId="77777777" w:rsidTr="001633EC">
                        <w:trPr>
                          <w:trHeight w:val="274"/>
                        </w:trPr>
                        <w:tc>
                          <w:tcPr>
                            <w:tcW w:w="6379" w:type="dxa"/>
                            <w:gridSpan w:val="8"/>
                            <w:shd w:val="clear" w:color="auto" w:fill="auto"/>
                            <w:noWrap/>
                          </w:tcPr>
                          <w:p w14:paraId="228E1632" w14:textId="28055E22" w:rsidR="00A0212B" w:rsidRPr="00763C49" w:rsidRDefault="00A0212B">
                            <w:pPr>
                              <w:widowControl/>
                              <w:spacing w:line="260" w:lineRule="exact"/>
                              <w:ind w:leftChars="-13" w:left="669" w:rightChars="27" w:right="65" w:hangingChars="330" w:hanging="700"/>
                              <w:jc w:val="both"/>
                              <w:rPr>
                                <w:rFonts w:ascii="標楷體" w:eastAsia="標楷體" w:hAnsi="標楷體" w:cs="新細明體"/>
                                <w:color w:val="000000"/>
                                <w:spacing w:val="-14"/>
                                <w:kern w:val="0"/>
                                <w:sz w:val="28"/>
                                <w:szCs w:val="28"/>
                              </w:rPr>
                            </w:pPr>
                            <w:r w:rsidRPr="00763C49">
                              <w:rPr>
                                <w:rFonts w:ascii="標楷體" w:eastAsia="標楷體" w:hAnsi="標楷體" w:hint="eastAsia"/>
                                <w:b/>
                                <w:spacing w:val="-14"/>
                                <w:szCs w:val="28"/>
                              </w:rPr>
                              <w:t>表</w:t>
                            </w:r>
                            <w:r>
                              <w:rPr>
                                <w:rFonts w:ascii="標楷體" w:eastAsia="標楷體" w:hAnsi="標楷體"/>
                                <w:b/>
                                <w:spacing w:val="-14"/>
                                <w:szCs w:val="28"/>
                              </w:rPr>
                              <w:t>36</w:t>
                            </w:r>
                            <w:r>
                              <w:rPr>
                                <w:rFonts w:ascii="標楷體" w:eastAsia="標楷體" w:hAnsi="標楷體" w:hint="eastAsia"/>
                                <w:b/>
                                <w:spacing w:val="-14"/>
                                <w:szCs w:val="28"/>
                              </w:rPr>
                              <w:t xml:space="preserve">　</w:t>
                            </w:r>
                            <w:r w:rsidRPr="0057774A">
                              <w:rPr>
                                <w:rFonts w:ascii="標楷體" w:eastAsia="標楷體" w:hAnsi="標楷體" w:hint="eastAsia"/>
                                <w:b/>
                                <w:spacing w:val="-8"/>
                                <w:szCs w:val="28"/>
                              </w:rPr>
                              <w:t>截至</w:t>
                            </w:r>
                            <w:r w:rsidRPr="0057774A">
                              <w:rPr>
                                <w:rFonts w:ascii="標楷體" w:eastAsia="標楷體" w:hAnsi="標楷體"/>
                                <w:b/>
                                <w:spacing w:val="-8"/>
                                <w:szCs w:val="28"/>
                              </w:rPr>
                              <w:t>111年底</w:t>
                            </w:r>
                            <w:r w:rsidRPr="0057774A">
                              <w:rPr>
                                <w:rFonts w:ascii="標楷體" w:eastAsia="標楷體" w:hAnsi="標楷體" w:hint="eastAsia"/>
                                <w:b/>
                                <w:spacing w:val="-8"/>
                                <w:szCs w:val="28"/>
                              </w:rPr>
                              <w:t>以客語為通行語地區之鄉（鎮、市、區）</w:t>
                            </w:r>
                            <w:r w:rsidRPr="0057774A">
                              <w:rPr>
                                <w:rFonts w:ascii="標楷體" w:eastAsia="標楷體" w:hAnsi="標楷體"/>
                                <w:b/>
                                <w:spacing w:val="-8"/>
                                <w:szCs w:val="28"/>
                              </w:rPr>
                              <w:t>公</w:t>
                            </w:r>
                            <w:r w:rsidRPr="0057774A">
                              <w:rPr>
                                <w:rFonts w:ascii="標楷體" w:eastAsia="標楷體" w:hAnsi="標楷體" w:hint="eastAsia"/>
                                <w:b/>
                                <w:spacing w:val="-8"/>
                                <w:szCs w:val="28"/>
                              </w:rPr>
                              <w:t>教</w:t>
                            </w:r>
                            <w:r w:rsidRPr="0057774A">
                              <w:rPr>
                                <w:rFonts w:ascii="標楷體" w:eastAsia="標楷體" w:hAnsi="標楷體"/>
                                <w:b/>
                                <w:spacing w:val="-8"/>
                                <w:szCs w:val="28"/>
                              </w:rPr>
                              <w:t>人員通過客語能力認證</w:t>
                            </w:r>
                            <w:r w:rsidRPr="0057774A">
                              <w:rPr>
                                <w:rFonts w:ascii="標楷體" w:eastAsia="標楷體" w:hAnsi="標楷體" w:hint="eastAsia"/>
                                <w:b/>
                                <w:spacing w:val="-8"/>
                                <w:szCs w:val="28"/>
                              </w:rPr>
                              <w:t>比率符合度未</w:t>
                            </w:r>
                            <w:r w:rsidRPr="0057774A">
                              <w:rPr>
                                <w:rFonts w:ascii="標楷體" w:eastAsia="標楷體" w:hAnsi="標楷體"/>
                                <w:b/>
                                <w:spacing w:val="-8"/>
                                <w:szCs w:val="28"/>
                              </w:rPr>
                              <w:t>達50</w:t>
                            </w:r>
                            <w:r w:rsidRPr="0057774A">
                              <w:rPr>
                                <w:rFonts w:ascii="標楷體" w:eastAsia="標楷體" w:hAnsi="標楷體" w:hint="eastAsia"/>
                                <w:b/>
                                <w:spacing w:val="-8"/>
                                <w:szCs w:val="28"/>
                              </w:rPr>
                              <w:t>％情形</w:t>
                            </w:r>
                          </w:p>
                        </w:tc>
                      </w:tr>
                      <w:tr w:rsidR="00A0212B" w:rsidRPr="00174B7D" w14:paraId="2B6D9FD0" w14:textId="77777777" w:rsidTr="001633EC">
                        <w:trPr>
                          <w:trHeight w:val="283"/>
                        </w:trPr>
                        <w:tc>
                          <w:tcPr>
                            <w:tcW w:w="6379" w:type="dxa"/>
                            <w:gridSpan w:val="8"/>
                            <w:tcBorders>
                              <w:bottom w:val="single" w:sz="4" w:space="0" w:color="auto"/>
                            </w:tcBorders>
                            <w:shd w:val="clear" w:color="auto" w:fill="auto"/>
                            <w:noWrap/>
                          </w:tcPr>
                          <w:p w14:paraId="67290339" w14:textId="77777777" w:rsidR="00A0212B" w:rsidRPr="00174B7D" w:rsidRDefault="00A0212B" w:rsidP="001633EC">
                            <w:pPr>
                              <w:widowControl/>
                              <w:spacing w:line="220" w:lineRule="exact"/>
                              <w:jc w:val="right"/>
                              <w:rPr>
                                <w:rFonts w:ascii="標楷體" w:eastAsia="標楷體" w:hAnsi="標楷體" w:cs="新細明體"/>
                                <w:color w:val="000000"/>
                                <w:kern w:val="0"/>
                              </w:rPr>
                            </w:pPr>
                            <w:r>
                              <w:rPr>
                                <w:rFonts w:ascii="標楷體" w:eastAsia="標楷體" w:hAnsi="標楷體" w:cs="新細明體" w:hint="eastAsia"/>
                                <w:color w:val="000000"/>
                                <w:kern w:val="0"/>
                                <w:sz w:val="20"/>
                              </w:rPr>
                              <w:t>單位：</w:t>
                            </w:r>
                            <w:r w:rsidRPr="0083744B">
                              <w:rPr>
                                <w:rFonts w:ascii="標楷體" w:eastAsia="標楷體" w:hAnsi="標楷體" w:cs="新細明體" w:hint="eastAsia"/>
                                <w:color w:val="000000"/>
                                <w:kern w:val="0"/>
                                <w:sz w:val="20"/>
                              </w:rPr>
                              <w:t>％</w:t>
                            </w:r>
                          </w:p>
                        </w:tc>
                      </w:tr>
                      <w:tr w:rsidR="00A0212B" w:rsidRPr="00060654" w14:paraId="3B96A768"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98BCF0" w14:textId="77777777" w:rsidR="00A0212B" w:rsidRPr="00D561AF" w:rsidRDefault="00A0212B" w:rsidP="001633EC">
                            <w:pPr>
                              <w:spacing w:line="240" w:lineRule="exact"/>
                              <w:jc w:val="center"/>
                              <w:rPr>
                                <w:rFonts w:ascii="標楷體" w:eastAsia="標楷體" w:hAnsi="標楷體" w:cs="新細明體"/>
                                <w:color w:val="000000"/>
                                <w:kern w:val="0"/>
                                <w:sz w:val="20"/>
                              </w:rPr>
                            </w:pPr>
                            <w:r w:rsidRPr="00D561AF">
                              <w:rPr>
                                <w:rFonts w:ascii="標楷體" w:eastAsia="標楷體" w:hAnsi="標楷體" w:cs="新細明體" w:hint="eastAsia"/>
                                <w:color w:val="000000"/>
                                <w:kern w:val="0"/>
                                <w:sz w:val="20"/>
                              </w:rPr>
                              <w:t>項次</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951CE1" w14:textId="77777777" w:rsidR="00A0212B" w:rsidRPr="00D561AF" w:rsidRDefault="00A0212B" w:rsidP="001633EC">
                            <w:pPr>
                              <w:spacing w:line="240" w:lineRule="exact"/>
                              <w:jc w:val="center"/>
                              <w:rPr>
                                <w:rFonts w:ascii="標楷體" w:eastAsia="標楷體" w:hAnsi="標楷體" w:cs="新細明體"/>
                                <w:color w:val="000000"/>
                                <w:kern w:val="0"/>
                                <w:sz w:val="20"/>
                              </w:rPr>
                            </w:pPr>
                            <w:r w:rsidRPr="00D561AF">
                              <w:rPr>
                                <w:rFonts w:ascii="標楷體" w:eastAsia="標楷體" w:hAnsi="標楷體" w:cs="新細明體" w:hint="eastAsia"/>
                                <w:color w:val="000000"/>
                                <w:kern w:val="0"/>
                                <w:sz w:val="20"/>
                              </w:rPr>
                              <w:t>縣市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1A779" w14:textId="77777777" w:rsidR="00A0212B" w:rsidRPr="00060654" w:rsidRDefault="00A0212B" w:rsidP="001633EC">
                            <w:pPr>
                              <w:spacing w:line="240" w:lineRule="exact"/>
                              <w:jc w:val="center"/>
                              <w:rPr>
                                <w:rFonts w:ascii="標楷體" w:eastAsia="標楷體" w:hAnsi="標楷體" w:cs="新細明體"/>
                                <w:color w:val="000000"/>
                                <w:spacing w:val="-16"/>
                                <w:kern w:val="0"/>
                                <w:sz w:val="20"/>
                              </w:rPr>
                            </w:pPr>
                            <w:r w:rsidRPr="00060654">
                              <w:rPr>
                                <w:rFonts w:ascii="標楷體" w:eastAsia="標楷體" w:hAnsi="標楷體" w:cs="新細明體" w:hint="eastAsia"/>
                                <w:color w:val="000000"/>
                                <w:spacing w:val="-16"/>
                                <w:kern w:val="0"/>
                                <w:sz w:val="20"/>
                              </w:rPr>
                              <w:t>鄉（鎮、市、區）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102AE98"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符合度</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5EF0A454" w14:textId="77777777" w:rsidR="00A0212B" w:rsidRPr="00060654" w:rsidRDefault="00A0212B" w:rsidP="001633EC">
                            <w:pPr>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項次</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0DD23AD" w14:textId="77777777" w:rsidR="00A0212B" w:rsidRPr="00060654" w:rsidRDefault="00A0212B" w:rsidP="001633EC">
                            <w:pPr>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縣市</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EAE7E23" w14:textId="77777777" w:rsidR="00A0212B" w:rsidRPr="00060654" w:rsidRDefault="00A0212B" w:rsidP="001633EC">
                            <w:pPr>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spacing w:val="-16"/>
                                <w:kern w:val="0"/>
                                <w:sz w:val="20"/>
                              </w:rPr>
                              <w:t>鄉（鎮、市、區）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729D9D6"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符合度</w:t>
                            </w:r>
                          </w:p>
                        </w:tc>
                      </w:tr>
                      <w:tr w:rsidR="00A0212B" w:rsidRPr="00060654" w14:paraId="0A03DF96"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A11142" w14:textId="77777777" w:rsidR="00A0212B" w:rsidRPr="00D561AF"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1FC799" w14:textId="77777777" w:rsidR="00A0212B" w:rsidRPr="00D561AF" w:rsidRDefault="00A0212B" w:rsidP="001633EC">
                            <w:pPr>
                              <w:widowControl/>
                              <w:spacing w:line="240" w:lineRule="exact"/>
                              <w:jc w:val="center"/>
                              <w:rPr>
                                <w:rFonts w:ascii="標楷體" w:eastAsia="標楷體" w:hAnsi="標楷體" w:cs="新細明體"/>
                                <w:color w:val="000000"/>
                                <w:kern w:val="0"/>
                                <w:sz w:val="20"/>
                              </w:rPr>
                            </w:pPr>
                            <w:r w:rsidRPr="00D561AF">
                              <w:rPr>
                                <w:rFonts w:ascii="標楷體" w:eastAsia="標楷體" w:hAnsi="標楷體" w:cs="新細明體" w:hint="eastAsia"/>
                                <w:color w:val="000000"/>
                                <w:kern w:val="0"/>
                                <w:sz w:val="20"/>
                              </w:rPr>
                              <w:t>新竹市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392262"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香山區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FE8CF5D"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42.39</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7167DA61"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831B2E6"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高雄市</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5A8FE8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甲仙區</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F39DDEF"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9.80</w:t>
                            </w:r>
                          </w:p>
                        </w:tc>
                      </w:tr>
                      <w:tr w:rsidR="00A0212B" w:rsidRPr="00060654" w14:paraId="790E06A4"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A53517"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284A7" w14:textId="77777777" w:rsidR="00A0212B" w:rsidRPr="00D561AF"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苗栗縣</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7D793"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苑裡鎮</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2E762B99"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48.64</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673568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850" w:type="dxa"/>
                            <w:vMerge w:val="restart"/>
                            <w:tcBorders>
                              <w:top w:val="single" w:sz="4" w:space="0" w:color="auto"/>
                              <w:left w:val="single" w:sz="4" w:space="0" w:color="auto"/>
                              <w:right w:val="single" w:sz="4" w:space="0" w:color="auto"/>
                            </w:tcBorders>
                            <w:shd w:val="clear" w:color="auto" w:fill="auto"/>
                            <w:vAlign w:val="center"/>
                          </w:tcPr>
                          <w:p w14:paraId="11CBAA54"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屏東縣</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D5202D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新埤鄉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4430B9"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47.87</w:t>
                            </w:r>
                          </w:p>
                        </w:tc>
                      </w:tr>
                      <w:tr w:rsidR="00A0212B" w:rsidRPr="00060654" w14:paraId="6FE50C17"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1AED3"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93CA832"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臺中市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0D744F"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和平區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3A33D4FD"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5.69</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717EC307"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850" w:type="dxa"/>
                            <w:vMerge/>
                            <w:tcBorders>
                              <w:left w:val="single" w:sz="4" w:space="0" w:color="auto"/>
                              <w:right w:val="single" w:sz="4" w:space="0" w:color="auto"/>
                            </w:tcBorders>
                            <w:shd w:val="clear" w:color="auto" w:fill="auto"/>
                            <w:vAlign w:val="center"/>
                          </w:tcPr>
                          <w:p w14:paraId="270CCA92"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30C41397"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萬巒鄉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D304572"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39.05</w:t>
                            </w:r>
                          </w:p>
                        </w:tc>
                      </w:tr>
                      <w:tr w:rsidR="00A0212B" w:rsidRPr="00060654" w14:paraId="7AB5D23F"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0DBAED"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46C8F794" w14:textId="77777777" w:rsidR="00A0212B" w:rsidRDefault="00A0212B" w:rsidP="001633EC">
                            <w:pPr>
                              <w:widowControl/>
                              <w:spacing w:line="240" w:lineRule="exac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CECEAC"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豐原區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6DB5128"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44.83</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6C55FF9"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850" w:type="dxa"/>
                            <w:vMerge/>
                            <w:tcBorders>
                              <w:left w:val="single" w:sz="4" w:space="0" w:color="auto"/>
                              <w:right w:val="single" w:sz="4" w:space="0" w:color="auto"/>
                            </w:tcBorders>
                            <w:shd w:val="clear" w:color="auto" w:fill="auto"/>
                            <w:vAlign w:val="center"/>
                          </w:tcPr>
                          <w:p w14:paraId="5CFF9145"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5374FEA6"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高樹鄉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4A5A0670"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25.90</w:t>
                            </w:r>
                          </w:p>
                        </w:tc>
                      </w:tr>
                      <w:tr w:rsidR="00A0212B" w:rsidRPr="00060654" w14:paraId="0129FAF0"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4FB9BE"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995756F"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南投縣</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6DAC5"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國姓鄉</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78C3A149"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46.45</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40F790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850" w:type="dxa"/>
                            <w:vMerge/>
                            <w:tcBorders>
                              <w:left w:val="single" w:sz="4" w:space="0" w:color="auto"/>
                              <w:bottom w:val="single" w:sz="4" w:space="0" w:color="auto"/>
                              <w:right w:val="single" w:sz="4" w:space="0" w:color="auto"/>
                            </w:tcBorders>
                            <w:shd w:val="clear" w:color="auto" w:fill="auto"/>
                            <w:vAlign w:val="center"/>
                          </w:tcPr>
                          <w:p w14:paraId="60A33080"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6F887D5B"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佳冬鄉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23E0A9C"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46.78</w:t>
                            </w:r>
                          </w:p>
                        </w:tc>
                      </w:tr>
                      <w:tr w:rsidR="00A0212B" w:rsidRPr="00060654" w14:paraId="0F5DC92A"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8C6AC1"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1FE85658" w14:textId="77777777" w:rsidR="00A0212B" w:rsidRDefault="00A0212B" w:rsidP="001633EC">
                            <w:pPr>
                              <w:widowControl/>
                              <w:spacing w:line="240" w:lineRule="exac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51FF3"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水里鄉</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09E766AD"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29.14</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D5AB392"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850" w:type="dxa"/>
                            <w:vMerge w:val="restart"/>
                            <w:tcBorders>
                              <w:top w:val="single" w:sz="4" w:space="0" w:color="auto"/>
                              <w:left w:val="single" w:sz="4" w:space="0" w:color="auto"/>
                              <w:right w:val="single" w:sz="4" w:space="0" w:color="auto"/>
                            </w:tcBorders>
                            <w:shd w:val="clear" w:color="auto" w:fill="auto"/>
                            <w:vAlign w:val="center"/>
                          </w:tcPr>
                          <w:p w14:paraId="6BA7AEC5"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花蓮縣</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AE8A764"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富里鄉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A6A697D"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10.88</w:t>
                            </w:r>
                          </w:p>
                        </w:tc>
                      </w:tr>
                      <w:tr w:rsidR="00A0212B" w:rsidRPr="00060654" w14:paraId="36A23779"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FB0130"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69595F"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雲林縣</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963733"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崙背鄉</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70D08760"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44.93</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0AE664C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850" w:type="dxa"/>
                            <w:vMerge/>
                            <w:tcBorders>
                              <w:left w:val="single" w:sz="4" w:space="0" w:color="auto"/>
                              <w:bottom w:val="single" w:sz="4" w:space="0" w:color="auto"/>
                              <w:right w:val="single" w:sz="4" w:space="0" w:color="auto"/>
                            </w:tcBorders>
                            <w:shd w:val="clear" w:color="auto" w:fill="auto"/>
                            <w:vAlign w:val="center"/>
                          </w:tcPr>
                          <w:p w14:paraId="43B5570D"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1ED95402"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瑞穗鄉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27892BE"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12.84</w:t>
                            </w:r>
                          </w:p>
                        </w:tc>
                      </w:tr>
                      <w:tr w:rsidR="00A0212B" w:rsidRPr="00060654" w14:paraId="3558535B"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6FC7F"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08137F4"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高雄市</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4C5EBD"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美濃區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64DB3CFE"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44.76</w:t>
                            </w:r>
                          </w:p>
                        </w:tc>
                        <w:tc>
                          <w:tcPr>
                            <w:tcW w:w="567" w:type="dxa"/>
                            <w:tcBorders>
                              <w:top w:val="single" w:sz="4" w:space="0" w:color="auto"/>
                              <w:left w:val="double" w:sz="4" w:space="0" w:color="auto"/>
                              <w:bottom w:val="single" w:sz="4" w:space="0" w:color="auto"/>
                              <w:right w:val="single" w:sz="4" w:space="0" w:color="auto"/>
                            </w:tcBorders>
                            <w:shd w:val="clear" w:color="auto" w:fill="auto"/>
                            <w:vAlign w:val="center"/>
                          </w:tcPr>
                          <w:p w14:paraId="49BFCF4A"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E801CC1"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臺東縣</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73DBEDE7"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鹿野鄉</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42B64C"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26.63</w:t>
                            </w:r>
                          </w:p>
                        </w:tc>
                      </w:tr>
                      <w:tr w:rsidR="00A0212B" w:rsidRPr="00060654" w14:paraId="65BF55CB" w14:textId="77777777" w:rsidTr="001633E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82AA6B" w14:textId="77777777" w:rsidR="00A0212B"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851"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67D094F9" w14:textId="77777777" w:rsidR="00A0212B" w:rsidRDefault="00A0212B" w:rsidP="001633EC">
                            <w:pPr>
                              <w:widowControl/>
                              <w:spacing w:line="240" w:lineRule="exact"/>
                              <w:jc w:val="center"/>
                              <w:rPr>
                                <w:rFonts w:ascii="標楷體" w:eastAsia="標楷體" w:hAnsi="標楷體" w:cs="新細明體"/>
                                <w:color w:val="000000"/>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F006F3" w14:textId="77777777" w:rsidR="00A0212B" w:rsidRPr="00060654" w:rsidRDefault="00A0212B" w:rsidP="001633EC">
                            <w:pPr>
                              <w:widowControl/>
                              <w:spacing w:line="240" w:lineRule="exact"/>
                              <w:jc w:val="center"/>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杉林區</w:t>
                            </w:r>
                          </w:p>
                        </w:tc>
                        <w:tc>
                          <w:tcPr>
                            <w:tcW w:w="993" w:type="dxa"/>
                            <w:tcBorders>
                              <w:top w:val="single" w:sz="4" w:space="0" w:color="auto"/>
                              <w:left w:val="single" w:sz="4" w:space="0" w:color="auto"/>
                              <w:bottom w:val="single" w:sz="4" w:space="0" w:color="auto"/>
                              <w:right w:val="double" w:sz="4" w:space="0" w:color="auto"/>
                            </w:tcBorders>
                            <w:shd w:val="clear" w:color="auto" w:fill="auto"/>
                            <w:noWrap/>
                            <w:vAlign w:val="center"/>
                          </w:tcPr>
                          <w:p w14:paraId="5E4760BB"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r w:rsidRPr="00060654">
                              <w:rPr>
                                <w:rFonts w:ascii="標楷體" w:eastAsia="標楷體" w:hAnsi="標楷體" w:cs="新細明體" w:hint="eastAsia"/>
                                <w:color w:val="000000"/>
                                <w:kern w:val="0"/>
                                <w:sz w:val="20"/>
                              </w:rPr>
                              <w:t>34.22</w:t>
                            </w:r>
                          </w:p>
                        </w:tc>
                        <w:tc>
                          <w:tcPr>
                            <w:tcW w:w="3118" w:type="dxa"/>
                            <w:gridSpan w:val="4"/>
                            <w:tcBorders>
                              <w:top w:val="single" w:sz="4" w:space="0" w:color="auto"/>
                              <w:left w:val="double" w:sz="4" w:space="0" w:color="auto"/>
                              <w:bottom w:val="single" w:sz="4" w:space="0" w:color="auto"/>
                              <w:right w:val="single" w:sz="4" w:space="0" w:color="auto"/>
                              <w:tl2br w:val="single" w:sz="4" w:space="0" w:color="auto"/>
                            </w:tcBorders>
                            <w:shd w:val="clear" w:color="auto" w:fill="auto"/>
                            <w:vAlign w:val="center"/>
                          </w:tcPr>
                          <w:p w14:paraId="7356D892" w14:textId="77777777" w:rsidR="00A0212B" w:rsidRPr="00060654" w:rsidRDefault="00A0212B" w:rsidP="001633EC">
                            <w:pPr>
                              <w:widowControl/>
                              <w:spacing w:line="240" w:lineRule="exact"/>
                              <w:ind w:rightChars="20" w:right="48"/>
                              <w:jc w:val="right"/>
                              <w:rPr>
                                <w:rFonts w:ascii="標楷體" w:eastAsia="標楷體" w:hAnsi="標楷體" w:cs="新細明體"/>
                                <w:color w:val="000000"/>
                                <w:kern w:val="0"/>
                                <w:sz w:val="20"/>
                              </w:rPr>
                            </w:pPr>
                          </w:p>
                        </w:tc>
                      </w:tr>
                      <w:tr w:rsidR="00A0212B" w:rsidRPr="00060654" w14:paraId="1D4C6A60" w14:textId="77777777" w:rsidTr="001633EC">
                        <w:trPr>
                          <w:trHeight w:val="416"/>
                        </w:trPr>
                        <w:tc>
                          <w:tcPr>
                            <w:tcW w:w="6379" w:type="dxa"/>
                            <w:gridSpan w:val="8"/>
                            <w:tcBorders>
                              <w:top w:val="single" w:sz="4" w:space="0" w:color="auto"/>
                            </w:tcBorders>
                            <w:shd w:val="clear" w:color="auto" w:fill="auto"/>
                            <w:noWrap/>
                            <w:vAlign w:val="center"/>
                          </w:tcPr>
                          <w:p w14:paraId="784B3737" w14:textId="77777777" w:rsidR="00A0212B" w:rsidRDefault="00A0212B" w:rsidP="001633EC">
                            <w:pPr>
                              <w:widowControl/>
                              <w:spacing w:line="200" w:lineRule="exact"/>
                              <w:ind w:left="540" w:hangingChars="300" w:hanging="54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sidRPr="00060654">
                              <w:rPr>
                                <w:rFonts w:ascii="標楷體" w:eastAsia="標楷體" w:hAnsi="標楷體" w:cs="新細明體" w:hint="eastAsia"/>
                                <w:color w:val="000000"/>
                                <w:kern w:val="0"/>
                                <w:sz w:val="18"/>
                                <w:szCs w:val="18"/>
                              </w:rPr>
                              <w:t>符合度以通過客語能力認證人數比率</w:t>
                            </w:r>
                            <m:oMath>
                              <m:r>
                                <m:rPr>
                                  <m:sty m:val="p"/>
                                </m:rPr>
                                <w:rPr>
                                  <w:rFonts w:ascii="Cambria Math" w:eastAsia="標楷體" w:hAnsi="Cambria Math"/>
                                  <w:szCs w:val="24"/>
                                </w:rPr>
                                <m:t>÷</m:t>
                              </m:r>
                            </m:oMath>
                            <w:r w:rsidRPr="00060654">
                              <w:rPr>
                                <w:rFonts w:ascii="標楷體" w:eastAsia="標楷體" w:hAnsi="標楷體" w:cs="新細明體" w:hint="eastAsia"/>
                                <w:color w:val="000000"/>
                                <w:kern w:val="0"/>
                                <w:sz w:val="18"/>
                                <w:szCs w:val="18"/>
                              </w:rPr>
                              <w:t>所在地客家人口比率</w:t>
                            </w:r>
                            <w:r w:rsidRPr="00060654">
                              <w:rPr>
                                <w:rFonts w:ascii="標楷體" w:eastAsia="標楷體" w:hAnsi="標楷體" w:cs="新細明體" w:hint="eastAsia"/>
                                <w:color w:val="000000"/>
                                <w:kern w:val="0"/>
                                <w:sz w:val="18"/>
                                <w:szCs w:val="18"/>
                              </w:rPr>
                              <w:sym w:font="Wingdings 2" w:char="F0CD"/>
                            </w:r>
                            <w:r w:rsidRPr="00060654">
                              <w:rPr>
                                <w:rFonts w:ascii="標楷體" w:eastAsia="標楷體" w:hAnsi="標楷體" w:cs="新細明體" w:hint="eastAsia"/>
                                <w:color w:val="000000"/>
                                <w:kern w:val="0"/>
                                <w:sz w:val="18"/>
                                <w:szCs w:val="18"/>
                              </w:rPr>
                              <w:t>100％計算</w:t>
                            </w:r>
                            <w:r>
                              <w:rPr>
                                <w:rFonts w:ascii="標楷體" w:eastAsia="標楷體" w:hAnsi="標楷體" w:cs="新細明體" w:hint="eastAsia"/>
                                <w:color w:val="000000"/>
                                <w:kern w:val="0"/>
                                <w:sz w:val="18"/>
                                <w:szCs w:val="18"/>
                              </w:rPr>
                              <w:t>。</w:t>
                            </w:r>
                          </w:p>
                          <w:p w14:paraId="78923D73" w14:textId="77777777" w:rsidR="00A0212B" w:rsidRPr="00236E7B" w:rsidRDefault="00A0212B" w:rsidP="00684415">
                            <w:pPr>
                              <w:widowControl/>
                              <w:spacing w:line="200" w:lineRule="exact"/>
                              <w:ind w:leftChars="140" w:left="336" w:rightChars="20" w:right="48"/>
                              <w:jc w:val="both"/>
                              <w:rPr>
                                <w:rFonts w:ascii="標楷體" w:eastAsia="標楷體" w:hAnsi="標楷體" w:cs="新細明體"/>
                                <w:color w:val="000000"/>
                                <w:kern w:val="0"/>
                                <w:sz w:val="18"/>
                              </w:rPr>
                            </w:pPr>
                            <w:r>
                              <w:rPr>
                                <w:rFonts w:ascii="標楷體" w:eastAsia="標楷體" w:hAnsi="標楷體" w:cs="新細明體" w:hint="eastAsia"/>
                                <w:color w:val="000000"/>
                                <w:kern w:val="0"/>
                                <w:sz w:val="18"/>
                                <w:szCs w:val="18"/>
                              </w:rPr>
                              <w:t>2.資料來源：整理自客家委員會提供資料。</w:t>
                            </w:r>
                          </w:p>
                        </w:tc>
                      </w:tr>
                    </w:tbl>
                    <w:p w14:paraId="1799B99F" w14:textId="77777777" w:rsidR="00A0212B" w:rsidRDefault="00A0212B" w:rsidP="009C6696"/>
                  </w:txbxContent>
                </v:textbox>
                <w10:wrap type="square" anchorx="margin"/>
              </v:shape>
            </w:pict>
          </mc:Fallback>
        </mc:AlternateContent>
      </w:r>
      <w:r w:rsidRPr="00DA021B">
        <w:rPr>
          <w:rFonts w:ascii="標楷體" w:eastAsia="標楷體" w:hAnsi="標楷體" w:hint="eastAsia"/>
          <w:szCs w:val="24"/>
        </w:rPr>
        <w:t>在地客家人口比率</w:t>
      </w:r>
      <m:oMath>
        <m:r>
          <m:rPr>
            <m:sty m:val="p"/>
          </m:rPr>
          <w:rPr>
            <w:rFonts w:ascii="Cambria Math" w:eastAsia="標楷體" w:hAnsi="Cambria Math"/>
            <w:szCs w:val="24"/>
          </w:rPr>
          <m:t>×</m:t>
        </m:r>
      </m:oMath>
      <w:r w:rsidRPr="00DA021B">
        <w:rPr>
          <w:rFonts w:ascii="標楷體" w:eastAsia="標楷體" w:hAnsi="標楷體" w:hint="eastAsia"/>
          <w:szCs w:val="24"/>
        </w:rPr>
        <w:t>100％計算</w:t>
      </w:r>
      <w:r w:rsidR="004F2BEF" w:rsidRPr="00045F4F">
        <w:rPr>
          <w:rFonts w:ascii="標楷體" w:eastAsia="標楷體" w:hAnsi="標楷體" w:hint="eastAsia"/>
          <w:szCs w:val="24"/>
        </w:rPr>
        <w:t>）</w:t>
      </w:r>
      <w:r w:rsidR="004F2BEF">
        <w:rPr>
          <w:rFonts w:ascii="標楷體" w:eastAsia="標楷體" w:hAnsi="標楷體" w:hint="eastAsia"/>
          <w:szCs w:val="24"/>
        </w:rPr>
        <w:t>未達</w:t>
      </w:r>
      <w:r w:rsidRPr="00045F4F">
        <w:rPr>
          <w:rFonts w:ascii="標楷體" w:eastAsia="標楷體" w:hAnsi="標楷體" w:hint="eastAsia"/>
          <w:szCs w:val="24"/>
        </w:rPr>
        <w:t>50％</w:t>
      </w:r>
      <w:r>
        <w:rPr>
          <w:rFonts w:ascii="標楷體" w:eastAsia="標楷體" w:hAnsi="標楷體" w:hint="eastAsia"/>
          <w:szCs w:val="24"/>
        </w:rPr>
        <w:t>（</w:t>
      </w:r>
      <w:r w:rsidRPr="006678C5">
        <w:rPr>
          <w:rFonts w:ascii="標楷體" w:eastAsia="標楷體" w:hAnsi="標楷體" w:hint="eastAsia"/>
          <w:szCs w:val="24"/>
        </w:rPr>
        <w:t>表</w:t>
      </w:r>
      <w:r w:rsidR="007A3D98" w:rsidRPr="006678C5">
        <w:rPr>
          <w:rFonts w:ascii="標楷體" w:eastAsia="標楷體" w:hAnsi="標楷體" w:hint="eastAsia"/>
          <w:szCs w:val="24"/>
        </w:rPr>
        <w:t>3</w:t>
      </w:r>
      <w:r w:rsidR="009821F7" w:rsidRPr="006678C5">
        <w:rPr>
          <w:rFonts w:ascii="標楷體" w:eastAsia="標楷體" w:hAnsi="標楷體" w:hint="eastAsia"/>
          <w:szCs w:val="24"/>
        </w:rPr>
        <w:t>6</w:t>
      </w:r>
      <w:r w:rsidR="004F2BEF">
        <w:rPr>
          <w:rFonts w:ascii="標楷體" w:eastAsia="標楷體" w:hAnsi="標楷體" w:hint="eastAsia"/>
          <w:szCs w:val="24"/>
        </w:rPr>
        <w:t>）</w:t>
      </w:r>
      <w:r w:rsidRPr="00045F4F">
        <w:rPr>
          <w:rFonts w:ascii="標楷體" w:eastAsia="標楷體" w:hAnsi="標楷體" w:hint="eastAsia"/>
          <w:szCs w:val="24"/>
        </w:rPr>
        <w:t>；在轄內有客語為通行語地區之</w:t>
      </w:r>
      <w:r>
        <w:rPr>
          <w:rFonts w:ascii="標楷體" w:eastAsia="標楷體" w:hAnsi="標楷體" w:hint="eastAsia"/>
          <w:szCs w:val="24"/>
        </w:rPr>
        <w:t>11個</w:t>
      </w:r>
      <w:r w:rsidRPr="0096017A">
        <w:rPr>
          <w:rFonts w:ascii="標楷體" w:eastAsia="標楷體" w:hAnsi="標楷體" w:hint="eastAsia"/>
          <w:szCs w:val="24"/>
        </w:rPr>
        <w:t>直轄市、縣（市）</w:t>
      </w:r>
      <w:r>
        <w:rPr>
          <w:rFonts w:ascii="標楷體" w:eastAsia="標楷體" w:hAnsi="標楷體" w:hint="eastAsia"/>
          <w:szCs w:val="24"/>
        </w:rPr>
        <w:t>政府</w:t>
      </w:r>
      <w:r w:rsidRPr="00045F4F">
        <w:rPr>
          <w:rFonts w:ascii="標楷體" w:eastAsia="標楷體" w:hAnsi="標楷體" w:hint="eastAsia"/>
          <w:szCs w:val="24"/>
        </w:rPr>
        <w:t>部分，除苗栗縣</w:t>
      </w:r>
      <w:r>
        <w:rPr>
          <w:rFonts w:ascii="標楷體" w:eastAsia="標楷體" w:hAnsi="標楷體" w:hint="eastAsia"/>
          <w:szCs w:val="24"/>
        </w:rPr>
        <w:t>政府</w:t>
      </w:r>
      <w:r w:rsidRPr="00045F4F">
        <w:rPr>
          <w:rFonts w:ascii="標楷體" w:eastAsia="標楷體" w:hAnsi="標楷體" w:hint="eastAsia"/>
          <w:szCs w:val="24"/>
        </w:rPr>
        <w:t>符合度達59.61％外，其餘</w:t>
      </w:r>
      <w:r>
        <w:rPr>
          <w:rFonts w:ascii="標楷體" w:eastAsia="標楷體" w:hAnsi="標楷體" w:hint="eastAsia"/>
          <w:szCs w:val="24"/>
        </w:rPr>
        <w:t>桃園市等</w:t>
      </w:r>
      <w:r w:rsidRPr="00045F4F">
        <w:rPr>
          <w:rFonts w:ascii="標楷體" w:eastAsia="標楷體" w:hAnsi="標楷體" w:hint="eastAsia"/>
          <w:szCs w:val="24"/>
        </w:rPr>
        <w:t>10個市縣</w:t>
      </w:r>
      <w:r>
        <w:rPr>
          <w:rFonts w:ascii="標楷體" w:eastAsia="標楷體" w:hAnsi="標楷體" w:hint="eastAsia"/>
          <w:szCs w:val="24"/>
        </w:rPr>
        <w:t>政府</w:t>
      </w:r>
      <w:r w:rsidRPr="00045F4F">
        <w:rPr>
          <w:rFonts w:ascii="標楷體" w:eastAsia="標楷體" w:hAnsi="標楷體" w:hint="eastAsia"/>
          <w:szCs w:val="24"/>
        </w:rPr>
        <w:t>均未及40％</w:t>
      </w:r>
      <w:r>
        <w:rPr>
          <w:rFonts w:ascii="標楷體" w:eastAsia="標楷體" w:hAnsi="標楷體" w:hint="eastAsia"/>
          <w:szCs w:val="24"/>
        </w:rPr>
        <w:t>（</w:t>
      </w:r>
      <w:r w:rsidRPr="006678C5">
        <w:rPr>
          <w:rFonts w:ascii="標楷體" w:eastAsia="標楷體" w:hAnsi="標楷體" w:hint="eastAsia"/>
          <w:szCs w:val="24"/>
        </w:rPr>
        <w:t>表</w:t>
      </w:r>
      <w:r w:rsidR="007A3D98" w:rsidRPr="006678C5">
        <w:rPr>
          <w:rFonts w:ascii="標楷體" w:eastAsia="標楷體" w:hAnsi="標楷體" w:hint="eastAsia"/>
          <w:szCs w:val="24"/>
        </w:rPr>
        <w:t>3</w:t>
      </w:r>
      <w:r w:rsidR="009821F7" w:rsidRPr="006678C5">
        <w:rPr>
          <w:rFonts w:ascii="標楷體" w:eastAsia="標楷體" w:hAnsi="標楷體" w:hint="eastAsia"/>
          <w:szCs w:val="24"/>
        </w:rPr>
        <w:t>7</w:t>
      </w:r>
      <w:r>
        <w:rPr>
          <w:rFonts w:ascii="標楷體" w:eastAsia="標楷體" w:hAnsi="標楷體" w:hint="eastAsia"/>
          <w:szCs w:val="24"/>
        </w:rPr>
        <w:t>）。另</w:t>
      </w:r>
      <w:r w:rsidRPr="00045F4F">
        <w:rPr>
          <w:rFonts w:ascii="標楷體" w:eastAsia="標楷體" w:hAnsi="標楷體" w:hint="eastAsia"/>
          <w:szCs w:val="24"/>
        </w:rPr>
        <w:t>在所屬機關（單位）位於客語為通行語地區之中央主管部會部分，公</w:t>
      </w:r>
      <w:r w:rsidR="009C6696" w:rsidRPr="000E678F">
        <w:rPr>
          <w:rFonts w:ascii="標楷體" w:eastAsia="標楷體" w:hAnsi="標楷體"/>
          <w:noProof/>
          <w:szCs w:val="24"/>
        </w:rPr>
        <mc:AlternateContent>
          <mc:Choice Requires="wps">
            <w:drawing>
              <wp:anchor distT="45720" distB="45720" distL="114300" distR="114300" simplePos="0" relativeHeight="251632640" behindDoc="0" locked="0" layoutInCell="1" allowOverlap="1" wp14:anchorId="56162D00" wp14:editId="28069577">
                <wp:simplePos x="0" y="0"/>
                <wp:positionH relativeFrom="column">
                  <wp:posOffset>3836670</wp:posOffset>
                </wp:positionH>
                <wp:positionV relativeFrom="page">
                  <wp:posOffset>5141595</wp:posOffset>
                </wp:positionV>
                <wp:extent cx="2462400" cy="3175200"/>
                <wp:effectExtent l="0" t="0" r="0" b="6350"/>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2400" cy="3175200"/>
                        </a:xfrm>
                        <a:prstGeom prst="rect">
                          <a:avLst/>
                        </a:prstGeom>
                        <a:noFill/>
                        <a:ln w="9525">
                          <a:noFill/>
                          <a:miter lim="800000"/>
                          <a:headEnd/>
                          <a:tailEnd/>
                        </a:ln>
                      </wps:spPr>
                      <wps:txbx>
                        <w:txbxContent>
                          <w:p w14:paraId="3A2ACE02" w14:textId="77777777" w:rsidR="00A0212B" w:rsidRDefault="00A0212B" w:rsidP="000A451F">
                            <w:pPr>
                              <w:spacing w:line="20" w:lineRule="exact"/>
                            </w:pPr>
                          </w:p>
                          <w:tbl>
                            <w:tblPr>
                              <w:tblW w:w="3714" w:type="dxa"/>
                              <w:tblLayout w:type="fixed"/>
                              <w:tblCellMar>
                                <w:left w:w="28" w:type="dxa"/>
                                <w:right w:w="28" w:type="dxa"/>
                              </w:tblCellMar>
                              <w:tblLook w:val="04A0" w:firstRow="1" w:lastRow="0" w:firstColumn="1" w:lastColumn="0" w:noHBand="0" w:noVBand="1"/>
                            </w:tblPr>
                            <w:tblGrid>
                              <w:gridCol w:w="709"/>
                              <w:gridCol w:w="1446"/>
                              <w:gridCol w:w="1559"/>
                            </w:tblGrid>
                            <w:tr w:rsidR="00A0212B" w:rsidRPr="000E678F" w14:paraId="59BADE4C" w14:textId="77777777" w:rsidTr="000A451F">
                              <w:tc>
                                <w:tcPr>
                                  <w:tcW w:w="3714" w:type="dxa"/>
                                  <w:gridSpan w:val="3"/>
                                  <w:shd w:val="clear" w:color="auto" w:fill="auto"/>
                                  <w:noWrap/>
                                  <w:vAlign w:val="center"/>
                                </w:tcPr>
                                <w:p w14:paraId="172DF91F" w14:textId="61604B5E" w:rsidR="00A0212B" w:rsidRPr="000E678F" w:rsidRDefault="00A0212B">
                                  <w:pPr>
                                    <w:spacing w:line="240" w:lineRule="exact"/>
                                    <w:ind w:left="705" w:hangingChars="320" w:hanging="705"/>
                                    <w:jc w:val="both"/>
                                    <w:rPr>
                                      <w:rFonts w:ascii="標楷體" w:eastAsia="標楷體" w:hAnsi="標楷體" w:cs="新細明體"/>
                                      <w:b/>
                                      <w:color w:val="000000"/>
                                      <w:kern w:val="0"/>
                                      <w:sz w:val="20"/>
                                    </w:rPr>
                                  </w:pPr>
                                  <w:r w:rsidRPr="000E678F">
                                    <w:rPr>
                                      <w:rFonts w:ascii="標楷體" w:eastAsia="標楷體" w:hAnsi="標楷體" w:cs="新細明體" w:hint="eastAsia"/>
                                      <w:b/>
                                      <w:color w:val="000000"/>
                                      <w:kern w:val="0"/>
                                      <w:sz w:val="22"/>
                                    </w:rPr>
                                    <w:t>表</w:t>
                                  </w:r>
                                  <w:r>
                                    <w:rPr>
                                      <w:rFonts w:ascii="標楷體" w:eastAsia="標楷體" w:hAnsi="標楷體" w:cs="新細明體"/>
                                      <w:b/>
                                      <w:color w:val="000000"/>
                                      <w:kern w:val="0"/>
                                      <w:sz w:val="22"/>
                                    </w:rPr>
                                    <w:t>37</w:t>
                                  </w:r>
                                  <w:r>
                                    <w:rPr>
                                      <w:rFonts w:ascii="標楷體" w:eastAsia="標楷體" w:hAnsi="標楷體" w:cs="新細明體" w:hint="eastAsia"/>
                                      <w:b/>
                                      <w:color w:val="000000"/>
                                      <w:kern w:val="0"/>
                                      <w:sz w:val="22"/>
                                    </w:rPr>
                                    <w:t xml:space="preserve">　</w:t>
                                  </w:r>
                                  <w:r w:rsidRPr="000A451F">
                                    <w:rPr>
                                      <w:rFonts w:ascii="標楷體" w:eastAsia="標楷體" w:hAnsi="標楷體" w:cs="新細明體" w:hint="eastAsia"/>
                                      <w:b/>
                                      <w:color w:val="000000"/>
                                      <w:spacing w:val="4"/>
                                      <w:kern w:val="0"/>
                                      <w:sz w:val="22"/>
                                    </w:rPr>
                                    <w:t>截至111年底轄內</w:t>
                                  </w:r>
                                  <w:r>
                                    <w:rPr>
                                      <w:rFonts w:ascii="標楷體" w:eastAsia="標楷體" w:hAnsi="標楷體" w:cs="新細明體" w:hint="eastAsia"/>
                                      <w:b/>
                                      <w:color w:val="000000"/>
                                      <w:spacing w:val="4"/>
                                      <w:kern w:val="0"/>
                                      <w:sz w:val="22"/>
                                    </w:rPr>
                                    <w:t>有客語為通行語地區之市縣政府公教人員通過客語能力認證比率符合度</w:t>
                                  </w:r>
                                </w:p>
                              </w:tc>
                            </w:tr>
                            <w:tr w:rsidR="00A0212B" w:rsidRPr="00F856AC" w14:paraId="1731091C" w14:textId="77777777" w:rsidTr="000A451F">
                              <w:tc>
                                <w:tcPr>
                                  <w:tcW w:w="3714" w:type="dxa"/>
                                  <w:gridSpan w:val="3"/>
                                  <w:tcBorders>
                                    <w:bottom w:val="single" w:sz="4" w:space="0" w:color="auto"/>
                                  </w:tcBorders>
                                  <w:shd w:val="clear" w:color="auto" w:fill="auto"/>
                                  <w:noWrap/>
                                  <w:vAlign w:val="center"/>
                                </w:tcPr>
                                <w:p w14:paraId="70EEE0C0" w14:textId="77777777" w:rsidR="00A0212B" w:rsidRPr="00F856AC" w:rsidRDefault="00A0212B" w:rsidP="001633EC">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w:t>
                                  </w:r>
                                  <w:r w:rsidRPr="0083744B">
                                    <w:rPr>
                                      <w:rFonts w:ascii="標楷體" w:eastAsia="標楷體" w:hAnsi="標楷體" w:cs="新細明體" w:hint="eastAsia"/>
                                      <w:color w:val="000000"/>
                                      <w:kern w:val="0"/>
                                      <w:sz w:val="20"/>
                                    </w:rPr>
                                    <w:t>％</w:t>
                                  </w:r>
                                </w:p>
                              </w:tc>
                            </w:tr>
                            <w:tr w:rsidR="00A0212B" w:rsidRPr="00F856AC" w14:paraId="7CEE323D"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72541" w14:textId="77777777" w:rsidR="00A0212B" w:rsidRPr="00F856AC" w:rsidRDefault="00A0212B" w:rsidP="001633EC">
                                  <w:pPr>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項次</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119CFD4B" w14:textId="77777777" w:rsidR="00A0212B" w:rsidRPr="00F856AC" w:rsidRDefault="00A0212B" w:rsidP="001633EC">
                                  <w:pPr>
                                    <w:spacing w:line="240" w:lineRule="exact"/>
                                    <w:jc w:val="center"/>
                                    <w:rPr>
                                      <w:rFonts w:ascii="標楷體" w:eastAsia="標楷體" w:hAnsi="標楷體" w:cs="新細明體"/>
                                      <w:color w:val="000000"/>
                                      <w:kern w:val="0"/>
                                      <w:sz w:val="20"/>
                                    </w:rPr>
                                  </w:pPr>
                                  <w:r w:rsidRPr="00F856AC">
                                    <w:rPr>
                                      <w:rFonts w:ascii="標楷體" w:eastAsia="標楷體" w:hAnsi="標楷體" w:hint="eastAsia"/>
                                      <w:sz w:val="20"/>
                                    </w:rPr>
                                    <w:t>市縣政府</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EADCF15" w14:textId="77777777" w:rsidR="00A0212B" w:rsidRPr="00F856AC" w:rsidRDefault="00A0212B" w:rsidP="001633EC">
                                  <w:pPr>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符合度</w:t>
                                  </w:r>
                                </w:p>
                              </w:tc>
                            </w:tr>
                            <w:tr w:rsidR="00A0212B" w:rsidRPr="00316208" w14:paraId="1A7DAE9A"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0A57A7"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1</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7CD1877E"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桃園市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D47E736"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18.64</w:t>
                                  </w:r>
                                </w:p>
                              </w:tc>
                            </w:tr>
                            <w:tr w:rsidR="00A0212B" w:rsidRPr="00316208" w14:paraId="4D657F64"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01552"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2</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325EE0A7"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臺中市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CDD35CA"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14.89</w:t>
                                  </w:r>
                                </w:p>
                              </w:tc>
                            </w:tr>
                            <w:tr w:rsidR="00A0212B" w:rsidRPr="00316208" w14:paraId="5E1915F0"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506A7"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3</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0C6D2105"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高雄市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19862F4"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15.17</w:t>
                                  </w:r>
                                </w:p>
                              </w:tc>
                            </w:tr>
                            <w:tr w:rsidR="00A0212B" w:rsidRPr="00316208" w14:paraId="60D27917"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B763A"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4</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4CA340F9"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新竹縣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E006940"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38.18</w:t>
                                  </w:r>
                                </w:p>
                              </w:tc>
                            </w:tr>
                            <w:tr w:rsidR="00A0212B" w:rsidRPr="00316208" w14:paraId="57DE84AC"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C5415"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5</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0DB24C40"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新竹市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C23E395"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21.26</w:t>
                                  </w:r>
                                </w:p>
                              </w:tc>
                            </w:tr>
                            <w:tr w:rsidR="00A0212B" w:rsidRPr="00316208" w14:paraId="23AE2D35"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4A782"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6</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77EAE4B7"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苗栗縣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9552D0E"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59.61</w:t>
                                  </w:r>
                                </w:p>
                              </w:tc>
                            </w:tr>
                            <w:tr w:rsidR="00A0212B" w:rsidRPr="00316208" w14:paraId="70B698C4"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909CA"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7</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31C98BC9"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南投縣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C046C2C"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11.85</w:t>
                                  </w:r>
                                </w:p>
                              </w:tc>
                            </w:tr>
                            <w:tr w:rsidR="00A0212B" w:rsidRPr="00316208" w14:paraId="3902202A"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F8DAB"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8</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77BA9356"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雲林縣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BB34F9D"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8.78</w:t>
                                  </w:r>
                                </w:p>
                              </w:tc>
                            </w:tr>
                            <w:tr w:rsidR="00A0212B" w:rsidRPr="00316208" w14:paraId="2C0FA117"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8B4D7"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9</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7A5E5DD0"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屏東縣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142003B"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28.41</w:t>
                                  </w:r>
                                </w:p>
                              </w:tc>
                            </w:tr>
                            <w:tr w:rsidR="00A0212B" w:rsidRPr="00316208" w14:paraId="2D845B04"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3B809"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10</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19D81274"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花蓮縣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148B63F"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18.49</w:t>
                                  </w:r>
                                </w:p>
                              </w:tc>
                            </w:tr>
                            <w:tr w:rsidR="00A0212B" w:rsidRPr="00316208" w14:paraId="36D6B006"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470E9"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11</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448C66EC"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臺東縣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9554220"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9.46</w:t>
                                  </w:r>
                                </w:p>
                              </w:tc>
                            </w:tr>
                            <w:tr w:rsidR="00A0212B" w:rsidRPr="00316208" w14:paraId="70E98DBC" w14:textId="77777777" w:rsidTr="000A451F">
                              <w:trPr>
                                <w:trHeight w:val="312"/>
                              </w:trPr>
                              <w:tc>
                                <w:tcPr>
                                  <w:tcW w:w="3714" w:type="dxa"/>
                                  <w:gridSpan w:val="3"/>
                                  <w:tcBorders>
                                    <w:top w:val="single" w:sz="4" w:space="0" w:color="auto"/>
                                  </w:tcBorders>
                                  <w:shd w:val="clear" w:color="auto" w:fill="auto"/>
                                  <w:noWrap/>
                                  <w:vAlign w:val="center"/>
                                </w:tcPr>
                                <w:p w14:paraId="652BAD52" w14:textId="77777777" w:rsidR="00A0212B" w:rsidRDefault="00A0212B" w:rsidP="00E31547">
                                  <w:pPr>
                                    <w:widowControl/>
                                    <w:spacing w:line="200" w:lineRule="exact"/>
                                    <w:ind w:left="558" w:hangingChars="310" w:hanging="558"/>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sidRPr="00060654">
                                    <w:rPr>
                                      <w:rFonts w:ascii="標楷體" w:eastAsia="標楷體" w:hAnsi="標楷體" w:cs="新細明體" w:hint="eastAsia"/>
                                      <w:color w:val="000000"/>
                                      <w:kern w:val="0"/>
                                      <w:sz w:val="18"/>
                                      <w:szCs w:val="18"/>
                                    </w:rPr>
                                    <w:t>符合度以通過客語能力認證人數比率</w:t>
                                  </w:r>
                                  <m:oMath>
                                    <m:r>
                                      <m:rPr>
                                        <m:sty m:val="p"/>
                                      </m:rPr>
                                      <w:rPr>
                                        <w:rFonts w:ascii="Cambria Math" w:eastAsia="標楷體" w:hAnsi="Cambria Math"/>
                                        <w:szCs w:val="24"/>
                                      </w:rPr>
                                      <m:t>÷</m:t>
                                    </m:r>
                                  </m:oMath>
                                  <w:r w:rsidRPr="00060654">
                                    <w:rPr>
                                      <w:rFonts w:ascii="標楷體" w:eastAsia="標楷體" w:hAnsi="標楷體" w:cs="新細明體" w:hint="eastAsia"/>
                                      <w:color w:val="000000"/>
                                      <w:kern w:val="0"/>
                                      <w:sz w:val="18"/>
                                      <w:szCs w:val="18"/>
                                    </w:rPr>
                                    <w:t>所在地客家人口比率</w:t>
                                  </w:r>
                                  <w:r w:rsidRPr="00060654">
                                    <w:rPr>
                                      <w:rFonts w:ascii="標楷體" w:eastAsia="標楷體" w:hAnsi="標楷體" w:cs="新細明體" w:hint="eastAsia"/>
                                      <w:color w:val="000000"/>
                                      <w:kern w:val="0"/>
                                      <w:sz w:val="18"/>
                                      <w:szCs w:val="18"/>
                                    </w:rPr>
                                    <w:sym w:font="Wingdings 2" w:char="F0CD"/>
                                  </w:r>
                                  <w:r w:rsidRPr="00060654">
                                    <w:rPr>
                                      <w:rFonts w:ascii="標楷體" w:eastAsia="標楷體" w:hAnsi="標楷體" w:cs="新細明體" w:hint="eastAsia"/>
                                      <w:color w:val="000000"/>
                                      <w:kern w:val="0"/>
                                      <w:sz w:val="18"/>
                                      <w:szCs w:val="18"/>
                                    </w:rPr>
                                    <w:t>100％計算</w:t>
                                  </w:r>
                                  <w:r>
                                    <w:rPr>
                                      <w:rFonts w:ascii="標楷體" w:eastAsia="標楷體" w:hAnsi="標楷體" w:cs="新細明體" w:hint="eastAsia"/>
                                      <w:color w:val="000000"/>
                                      <w:kern w:val="0"/>
                                      <w:sz w:val="18"/>
                                      <w:szCs w:val="18"/>
                                    </w:rPr>
                                    <w:t>。</w:t>
                                  </w:r>
                                </w:p>
                                <w:p w14:paraId="57A50625" w14:textId="77777777" w:rsidR="00A0212B" w:rsidRPr="00316208" w:rsidRDefault="00A0212B" w:rsidP="00560D41">
                                  <w:pPr>
                                    <w:spacing w:line="200" w:lineRule="exact"/>
                                    <w:ind w:leftChars="150" w:left="594" w:hangingChars="130" w:hanging="234"/>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18"/>
                                      <w:szCs w:val="18"/>
                                    </w:rPr>
                                    <w:t>2.資料來源：整理自客家委員會提供資料。</w:t>
                                  </w:r>
                                </w:p>
                              </w:tc>
                            </w:tr>
                          </w:tbl>
                          <w:p w14:paraId="4AEF4C66" w14:textId="77777777" w:rsidR="00A0212B" w:rsidRDefault="00A0212B" w:rsidP="000A451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162D00" id="_x0000_s1119" type="#_x0000_t202" style="position:absolute;left:0;text-align:left;margin-left:302.1pt;margin-top:404.85pt;width:193.9pt;height:250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" filled="f" stroked="f">
                <v:textbox>
                  <w:txbxContent>
                    <w:p w14:paraId="3A2ACE02" w14:textId="77777777" w:rsidR="00A0212B" w:rsidRDefault="00A0212B" w:rsidP="000A451F">
                      <w:pPr>
                        <w:spacing w:line="20" w:lineRule="exact"/>
                      </w:pPr>
                    </w:p>
                    <w:tbl>
                      <w:tblPr>
                        <w:tblW w:w="3714" w:type="dxa"/>
                        <w:tblLayout w:type="fixed"/>
                        <w:tblCellMar>
                          <w:left w:w="28" w:type="dxa"/>
                          <w:right w:w="28" w:type="dxa"/>
                        </w:tblCellMar>
                        <w:tblLook w:val="04A0" w:firstRow="1" w:lastRow="0" w:firstColumn="1" w:lastColumn="0" w:noHBand="0" w:noVBand="1"/>
                      </w:tblPr>
                      <w:tblGrid>
                        <w:gridCol w:w="709"/>
                        <w:gridCol w:w="1446"/>
                        <w:gridCol w:w="1559"/>
                      </w:tblGrid>
                      <w:tr w:rsidR="00A0212B" w:rsidRPr="000E678F" w14:paraId="59BADE4C" w14:textId="77777777" w:rsidTr="000A451F">
                        <w:tc>
                          <w:tcPr>
                            <w:tcW w:w="3714" w:type="dxa"/>
                            <w:gridSpan w:val="3"/>
                            <w:shd w:val="clear" w:color="auto" w:fill="auto"/>
                            <w:noWrap/>
                            <w:vAlign w:val="center"/>
                          </w:tcPr>
                          <w:p w14:paraId="172DF91F" w14:textId="61604B5E" w:rsidR="00A0212B" w:rsidRPr="000E678F" w:rsidRDefault="00A0212B">
                            <w:pPr>
                              <w:spacing w:line="240" w:lineRule="exact"/>
                              <w:ind w:left="705" w:hangingChars="320" w:hanging="705"/>
                              <w:jc w:val="both"/>
                              <w:rPr>
                                <w:rFonts w:ascii="標楷體" w:eastAsia="標楷體" w:hAnsi="標楷體" w:cs="新細明體"/>
                                <w:b/>
                                <w:color w:val="000000"/>
                                <w:kern w:val="0"/>
                                <w:sz w:val="20"/>
                              </w:rPr>
                            </w:pPr>
                            <w:r w:rsidRPr="000E678F">
                              <w:rPr>
                                <w:rFonts w:ascii="標楷體" w:eastAsia="標楷體" w:hAnsi="標楷體" w:cs="新細明體" w:hint="eastAsia"/>
                                <w:b/>
                                <w:color w:val="000000"/>
                                <w:kern w:val="0"/>
                                <w:sz w:val="22"/>
                              </w:rPr>
                              <w:t>表</w:t>
                            </w:r>
                            <w:r>
                              <w:rPr>
                                <w:rFonts w:ascii="標楷體" w:eastAsia="標楷體" w:hAnsi="標楷體" w:cs="新細明體"/>
                                <w:b/>
                                <w:color w:val="000000"/>
                                <w:kern w:val="0"/>
                                <w:sz w:val="22"/>
                              </w:rPr>
                              <w:t>37</w:t>
                            </w:r>
                            <w:r>
                              <w:rPr>
                                <w:rFonts w:ascii="標楷體" w:eastAsia="標楷體" w:hAnsi="標楷體" w:cs="新細明體" w:hint="eastAsia"/>
                                <w:b/>
                                <w:color w:val="000000"/>
                                <w:kern w:val="0"/>
                                <w:sz w:val="22"/>
                              </w:rPr>
                              <w:t xml:space="preserve">　</w:t>
                            </w:r>
                            <w:r w:rsidRPr="000A451F">
                              <w:rPr>
                                <w:rFonts w:ascii="標楷體" w:eastAsia="標楷體" w:hAnsi="標楷體" w:cs="新細明體" w:hint="eastAsia"/>
                                <w:b/>
                                <w:color w:val="000000"/>
                                <w:spacing w:val="4"/>
                                <w:kern w:val="0"/>
                                <w:sz w:val="22"/>
                              </w:rPr>
                              <w:t>截至111年底轄內</w:t>
                            </w:r>
                            <w:r>
                              <w:rPr>
                                <w:rFonts w:ascii="標楷體" w:eastAsia="標楷體" w:hAnsi="標楷體" w:cs="新細明體" w:hint="eastAsia"/>
                                <w:b/>
                                <w:color w:val="000000"/>
                                <w:spacing w:val="4"/>
                                <w:kern w:val="0"/>
                                <w:sz w:val="22"/>
                              </w:rPr>
                              <w:t>有客語為通行語地區之市縣政府公教人員通過客語能力認證比率符合度</w:t>
                            </w:r>
                          </w:p>
                        </w:tc>
                      </w:tr>
                      <w:tr w:rsidR="00A0212B" w:rsidRPr="00F856AC" w14:paraId="1731091C" w14:textId="77777777" w:rsidTr="000A451F">
                        <w:tc>
                          <w:tcPr>
                            <w:tcW w:w="3714" w:type="dxa"/>
                            <w:gridSpan w:val="3"/>
                            <w:tcBorders>
                              <w:bottom w:val="single" w:sz="4" w:space="0" w:color="auto"/>
                            </w:tcBorders>
                            <w:shd w:val="clear" w:color="auto" w:fill="auto"/>
                            <w:noWrap/>
                            <w:vAlign w:val="center"/>
                          </w:tcPr>
                          <w:p w14:paraId="70EEE0C0" w14:textId="77777777" w:rsidR="00A0212B" w:rsidRPr="00F856AC" w:rsidRDefault="00A0212B" w:rsidP="001633EC">
                            <w:pPr>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w:t>
                            </w:r>
                            <w:r w:rsidRPr="0083744B">
                              <w:rPr>
                                <w:rFonts w:ascii="標楷體" w:eastAsia="標楷體" w:hAnsi="標楷體" w:cs="新細明體" w:hint="eastAsia"/>
                                <w:color w:val="000000"/>
                                <w:kern w:val="0"/>
                                <w:sz w:val="20"/>
                              </w:rPr>
                              <w:t>％</w:t>
                            </w:r>
                          </w:p>
                        </w:tc>
                      </w:tr>
                      <w:tr w:rsidR="00A0212B" w:rsidRPr="00F856AC" w14:paraId="7CEE323D"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72541" w14:textId="77777777" w:rsidR="00A0212B" w:rsidRPr="00F856AC" w:rsidRDefault="00A0212B" w:rsidP="001633EC">
                            <w:pPr>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項次</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119CFD4B" w14:textId="77777777" w:rsidR="00A0212B" w:rsidRPr="00F856AC" w:rsidRDefault="00A0212B" w:rsidP="001633EC">
                            <w:pPr>
                              <w:spacing w:line="240" w:lineRule="exact"/>
                              <w:jc w:val="center"/>
                              <w:rPr>
                                <w:rFonts w:ascii="標楷體" w:eastAsia="標楷體" w:hAnsi="標楷體" w:cs="新細明體"/>
                                <w:color w:val="000000"/>
                                <w:kern w:val="0"/>
                                <w:sz w:val="20"/>
                              </w:rPr>
                            </w:pPr>
                            <w:r w:rsidRPr="00F856AC">
                              <w:rPr>
                                <w:rFonts w:ascii="標楷體" w:eastAsia="標楷體" w:hAnsi="標楷體" w:hint="eastAsia"/>
                                <w:sz w:val="20"/>
                              </w:rPr>
                              <w:t>市縣政府</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EADCF15" w14:textId="77777777" w:rsidR="00A0212B" w:rsidRPr="00F856AC" w:rsidRDefault="00A0212B" w:rsidP="001633EC">
                            <w:pPr>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符合度</w:t>
                            </w:r>
                          </w:p>
                        </w:tc>
                      </w:tr>
                      <w:tr w:rsidR="00A0212B" w:rsidRPr="00316208" w14:paraId="1A7DAE9A"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0A57A7"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1</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7CD1877E"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桃園市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D47E736"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18.64</w:t>
                            </w:r>
                          </w:p>
                        </w:tc>
                      </w:tr>
                      <w:tr w:rsidR="00A0212B" w:rsidRPr="00316208" w14:paraId="4D657F64"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01552"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2</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325EE0A7"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臺中市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CDD35CA"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14.89</w:t>
                            </w:r>
                          </w:p>
                        </w:tc>
                      </w:tr>
                      <w:tr w:rsidR="00A0212B" w:rsidRPr="00316208" w14:paraId="5E1915F0"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506A7"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3</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0C6D2105"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高雄市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19862F4"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15.17</w:t>
                            </w:r>
                          </w:p>
                        </w:tc>
                      </w:tr>
                      <w:tr w:rsidR="00A0212B" w:rsidRPr="00316208" w14:paraId="60D27917"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B763A"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4</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4CA340F9"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新竹縣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E006940"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38.18</w:t>
                            </w:r>
                          </w:p>
                        </w:tc>
                      </w:tr>
                      <w:tr w:rsidR="00A0212B" w:rsidRPr="00316208" w14:paraId="57DE84AC"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C5415"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5</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0DB24C40"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新竹市</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C23E395"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21.26</w:t>
                            </w:r>
                          </w:p>
                        </w:tc>
                      </w:tr>
                      <w:tr w:rsidR="00A0212B" w:rsidRPr="00316208" w14:paraId="23AE2D35"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4A782"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6</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77EAE4B7"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苗栗縣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9552D0E"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59.61</w:t>
                            </w:r>
                          </w:p>
                        </w:tc>
                      </w:tr>
                      <w:tr w:rsidR="00A0212B" w:rsidRPr="00316208" w14:paraId="70B698C4"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909CA"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7</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31C98BC9"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南投縣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C046C2C"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11.85</w:t>
                            </w:r>
                          </w:p>
                        </w:tc>
                      </w:tr>
                      <w:tr w:rsidR="00A0212B" w:rsidRPr="00316208" w14:paraId="3902202A"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F8DAB"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8</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77BA9356"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雲林縣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BB34F9D"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8.78</w:t>
                            </w:r>
                          </w:p>
                        </w:tc>
                      </w:tr>
                      <w:tr w:rsidR="00A0212B" w:rsidRPr="00316208" w14:paraId="2C0FA117"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8B4D7"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9</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7A5E5DD0"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屏東縣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142003B"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28.41</w:t>
                            </w:r>
                          </w:p>
                        </w:tc>
                      </w:tr>
                      <w:tr w:rsidR="00A0212B" w:rsidRPr="00316208" w14:paraId="2D845B04"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3B809"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10</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19D81274"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花蓮縣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148B63F"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18.49</w:t>
                            </w:r>
                          </w:p>
                        </w:tc>
                      </w:tr>
                      <w:tr w:rsidR="00A0212B" w:rsidRPr="00316208" w14:paraId="36D6B006" w14:textId="77777777" w:rsidTr="000A451F">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470E9" w14:textId="77777777" w:rsidR="00A0212B" w:rsidRPr="00F856AC" w:rsidRDefault="00A0212B" w:rsidP="001633EC">
                            <w:pPr>
                              <w:widowControl/>
                              <w:spacing w:line="240" w:lineRule="exact"/>
                              <w:jc w:val="center"/>
                              <w:rPr>
                                <w:rFonts w:ascii="標楷體" w:eastAsia="標楷體" w:hAnsi="標楷體" w:cs="新細明體"/>
                                <w:color w:val="000000"/>
                                <w:kern w:val="0"/>
                                <w:sz w:val="20"/>
                              </w:rPr>
                            </w:pPr>
                            <w:r w:rsidRPr="00F856AC">
                              <w:rPr>
                                <w:rFonts w:ascii="標楷體" w:eastAsia="標楷體" w:hAnsi="標楷體" w:cs="新細明體" w:hint="eastAsia"/>
                                <w:color w:val="000000"/>
                                <w:kern w:val="0"/>
                                <w:sz w:val="20"/>
                              </w:rPr>
                              <w:t>11</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tcPr>
                          <w:p w14:paraId="448C66EC" w14:textId="77777777" w:rsidR="00A0212B" w:rsidRPr="00316208" w:rsidRDefault="00A0212B" w:rsidP="001633EC">
                            <w:pPr>
                              <w:spacing w:line="240" w:lineRule="exact"/>
                              <w:jc w:val="center"/>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臺東縣</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9554220" w14:textId="77777777" w:rsidR="00A0212B" w:rsidRPr="00316208" w:rsidRDefault="00A0212B" w:rsidP="001633EC">
                            <w:pPr>
                              <w:spacing w:line="240" w:lineRule="exact"/>
                              <w:jc w:val="right"/>
                              <w:rPr>
                                <w:rFonts w:ascii="標楷體" w:eastAsia="標楷體" w:hAnsi="標楷體" w:cs="新細明體"/>
                                <w:color w:val="000000"/>
                                <w:kern w:val="0"/>
                                <w:sz w:val="20"/>
                              </w:rPr>
                            </w:pPr>
                            <w:r w:rsidRPr="00316208">
                              <w:rPr>
                                <w:rFonts w:ascii="標楷體" w:eastAsia="標楷體" w:hAnsi="標楷體" w:cs="新細明體" w:hint="eastAsia"/>
                                <w:color w:val="000000"/>
                                <w:kern w:val="0"/>
                                <w:sz w:val="20"/>
                              </w:rPr>
                              <w:t>9.46</w:t>
                            </w:r>
                          </w:p>
                        </w:tc>
                      </w:tr>
                      <w:tr w:rsidR="00A0212B" w:rsidRPr="00316208" w14:paraId="70E98DBC" w14:textId="77777777" w:rsidTr="000A451F">
                        <w:trPr>
                          <w:trHeight w:val="312"/>
                        </w:trPr>
                        <w:tc>
                          <w:tcPr>
                            <w:tcW w:w="3714" w:type="dxa"/>
                            <w:gridSpan w:val="3"/>
                            <w:tcBorders>
                              <w:top w:val="single" w:sz="4" w:space="0" w:color="auto"/>
                            </w:tcBorders>
                            <w:shd w:val="clear" w:color="auto" w:fill="auto"/>
                            <w:noWrap/>
                            <w:vAlign w:val="center"/>
                          </w:tcPr>
                          <w:p w14:paraId="652BAD52" w14:textId="77777777" w:rsidR="00A0212B" w:rsidRDefault="00A0212B" w:rsidP="00E31547">
                            <w:pPr>
                              <w:widowControl/>
                              <w:spacing w:line="200" w:lineRule="exact"/>
                              <w:ind w:left="558" w:hangingChars="310" w:hanging="558"/>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sidRPr="00060654">
                              <w:rPr>
                                <w:rFonts w:ascii="標楷體" w:eastAsia="標楷體" w:hAnsi="標楷體" w:cs="新細明體" w:hint="eastAsia"/>
                                <w:color w:val="000000"/>
                                <w:kern w:val="0"/>
                                <w:sz w:val="18"/>
                                <w:szCs w:val="18"/>
                              </w:rPr>
                              <w:t>符合度以通過客語能力認證人數比率</w:t>
                            </w:r>
                            <m:oMath>
                              <m:r>
                                <m:rPr>
                                  <m:sty m:val="p"/>
                                </m:rPr>
                                <w:rPr>
                                  <w:rFonts w:ascii="Cambria Math" w:eastAsia="標楷體" w:hAnsi="Cambria Math"/>
                                  <w:szCs w:val="24"/>
                                </w:rPr>
                                <m:t>÷</m:t>
                              </m:r>
                            </m:oMath>
                            <w:r w:rsidRPr="00060654">
                              <w:rPr>
                                <w:rFonts w:ascii="標楷體" w:eastAsia="標楷體" w:hAnsi="標楷體" w:cs="新細明體" w:hint="eastAsia"/>
                                <w:color w:val="000000"/>
                                <w:kern w:val="0"/>
                                <w:sz w:val="18"/>
                                <w:szCs w:val="18"/>
                              </w:rPr>
                              <w:t>所在地客家人口比率</w:t>
                            </w:r>
                            <w:r w:rsidRPr="00060654">
                              <w:rPr>
                                <w:rFonts w:ascii="標楷體" w:eastAsia="標楷體" w:hAnsi="標楷體" w:cs="新細明體" w:hint="eastAsia"/>
                                <w:color w:val="000000"/>
                                <w:kern w:val="0"/>
                                <w:sz w:val="18"/>
                                <w:szCs w:val="18"/>
                              </w:rPr>
                              <w:sym w:font="Wingdings 2" w:char="F0CD"/>
                            </w:r>
                            <w:r w:rsidRPr="00060654">
                              <w:rPr>
                                <w:rFonts w:ascii="標楷體" w:eastAsia="標楷體" w:hAnsi="標楷體" w:cs="新細明體" w:hint="eastAsia"/>
                                <w:color w:val="000000"/>
                                <w:kern w:val="0"/>
                                <w:sz w:val="18"/>
                                <w:szCs w:val="18"/>
                              </w:rPr>
                              <w:t>100％計算</w:t>
                            </w:r>
                            <w:r>
                              <w:rPr>
                                <w:rFonts w:ascii="標楷體" w:eastAsia="標楷體" w:hAnsi="標楷體" w:cs="新細明體" w:hint="eastAsia"/>
                                <w:color w:val="000000"/>
                                <w:kern w:val="0"/>
                                <w:sz w:val="18"/>
                                <w:szCs w:val="18"/>
                              </w:rPr>
                              <w:t>。</w:t>
                            </w:r>
                          </w:p>
                          <w:p w14:paraId="57A50625" w14:textId="77777777" w:rsidR="00A0212B" w:rsidRPr="00316208" w:rsidRDefault="00A0212B" w:rsidP="00560D41">
                            <w:pPr>
                              <w:spacing w:line="200" w:lineRule="exact"/>
                              <w:ind w:leftChars="150" w:left="594" w:hangingChars="130" w:hanging="234"/>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18"/>
                                <w:szCs w:val="18"/>
                              </w:rPr>
                              <w:t>2.資料來源：整理自客家委員會提供資料。</w:t>
                            </w:r>
                          </w:p>
                        </w:tc>
                      </w:tr>
                    </w:tbl>
                    <w:p w14:paraId="4AEF4C66" w14:textId="77777777" w:rsidR="00A0212B" w:rsidRDefault="00A0212B" w:rsidP="000A451F"/>
                  </w:txbxContent>
                </v:textbox>
                <w10:wrap type="square" anchory="page"/>
              </v:shape>
            </w:pict>
          </mc:Fallback>
        </mc:AlternateContent>
      </w:r>
      <w:r w:rsidRPr="00045F4F">
        <w:rPr>
          <w:rFonts w:ascii="標楷體" w:eastAsia="標楷體" w:hAnsi="標楷體" w:hint="eastAsia"/>
          <w:szCs w:val="24"/>
        </w:rPr>
        <w:t>務人員通過客語能力認證比率最高者為</w:t>
      </w:r>
      <w:r>
        <w:rPr>
          <w:rFonts w:ascii="標楷體" w:eastAsia="標楷體" w:hAnsi="標楷體" w:hint="eastAsia"/>
          <w:szCs w:val="24"/>
        </w:rPr>
        <w:t>客家委員</w:t>
      </w:r>
      <w:r w:rsidRPr="00045F4F">
        <w:rPr>
          <w:rFonts w:ascii="標楷體" w:eastAsia="標楷體" w:hAnsi="標楷體" w:hint="eastAsia"/>
          <w:szCs w:val="24"/>
        </w:rPr>
        <w:t>會（78.95％），其次為文化部（33.33％）及中央選舉委員會（20.00％），至</w:t>
      </w:r>
      <w:r>
        <w:rPr>
          <w:rFonts w:ascii="標楷體" w:eastAsia="標楷體" w:hAnsi="標楷體" w:hint="eastAsia"/>
          <w:szCs w:val="24"/>
        </w:rPr>
        <w:t>於</w:t>
      </w:r>
      <w:r w:rsidRPr="00045F4F">
        <w:rPr>
          <w:rFonts w:ascii="標楷體" w:eastAsia="標楷體" w:hAnsi="標楷體" w:hint="eastAsia"/>
          <w:szCs w:val="24"/>
        </w:rPr>
        <w:t>內政部等14個主管機關則未及10％；在位於客語為通行語地區之</w:t>
      </w:r>
      <w:r>
        <w:rPr>
          <w:rFonts w:ascii="標楷體" w:eastAsia="標楷體" w:hAnsi="標楷體" w:hint="eastAsia"/>
          <w:szCs w:val="24"/>
        </w:rPr>
        <w:t>38所</w:t>
      </w:r>
      <w:r w:rsidRPr="00045F4F">
        <w:rPr>
          <w:rFonts w:ascii="標楷體" w:eastAsia="標楷體" w:hAnsi="標楷體" w:hint="eastAsia"/>
          <w:szCs w:val="24"/>
        </w:rPr>
        <w:t>國立學校部分，各校現職公教人員通過客語能力認證比率與所在地客家人口比率之符合度均未達50％</w:t>
      </w:r>
      <w:r>
        <w:rPr>
          <w:rFonts w:ascii="標楷體" w:eastAsia="標楷體" w:hAnsi="標楷體" w:hint="eastAsia"/>
          <w:szCs w:val="24"/>
        </w:rPr>
        <w:t>，顯示目前公教人員通過客語能力認證比率距實施辦法所訂目標仍有</w:t>
      </w:r>
      <w:r w:rsidRPr="00045F4F">
        <w:rPr>
          <w:rFonts w:ascii="標楷體" w:eastAsia="標楷體" w:hAnsi="標楷體" w:hint="eastAsia"/>
          <w:szCs w:val="24"/>
        </w:rPr>
        <w:t>差距</w:t>
      </w:r>
      <w:r w:rsidR="0050618F">
        <w:rPr>
          <w:rFonts w:ascii="標楷體" w:eastAsia="標楷體" w:hAnsi="標楷體" w:hint="eastAsia"/>
          <w:szCs w:val="24"/>
        </w:rPr>
        <w:t>。</w:t>
      </w:r>
      <w:r>
        <w:rPr>
          <w:rFonts w:ascii="標楷體" w:eastAsia="標楷體" w:hAnsi="標楷體" w:hint="eastAsia"/>
          <w:szCs w:val="24"/>
        </w:rPr>
        <w:t>經函請客家委員會</w:t>
      </w:r>
      <w:r w:rsidRPr="00045F4F">
        <w:rPr>
          <w:rFonts w:ascii="標楷體" w:eastAsia="標楷體" w:hAnsi="標楷體" w:hint="eastAsia"/>
          <w:szCs w:val="24"/>
        </w:rPr>
        <w:t>依實施辦法規定落實加強管考</w:t>
      </w:r>
      <w:r>
        <w:rPr>
          <w:rFonts w:ascii="標楷體" w:eastAsia="標楷體" w:hAnsi="標楷體" w:hint="eastAsia"/>
          <w:szCs w:val="24"/>
        </w:rPr>
        <w:t>，</w:t>
      </w:r>
      <w:r w:rsidRPr="00045F4F">
        <w:rPr>
          <w:rFonts w:ascii="標楷體" w:eastAsia="標楷體" w:hAnsi="標楷體" w:hint="eastAsia"/>
          <w:szCs w:val="24"/>
        </w:rPr>
        <w:t>並賡續輔導各客語為通行語地區之機關（單位）強化公教人員通過客語能力認證比率之具體措施及推動進程，營造客語友善環境，</w:t>
      </w:r>
      <w:r>
        <w:rPr>
          <w:rFonts w:ascii="標楷體" w:eastAsia="標楷體" w:hAnsi="標楷體" w:hint="eastAsia"/>
          <w:szCs w:val="24"/>
        </w:rPr>
        <w:t>以</w:t>
      </w:r>
      <w:r w:rsidRPr="00045F4F">
        <w:rPr>
          <w:rFonts w:ascii="標楷體" w:eastAsia="標楷體" w:hAnsi="標楷體" w:hint="eastAsia"/>
          <w:szCs w:val="24"/>
        </w:rPr>
        <w:t>如期達成</w:t>
      </w:r>
      <w:r w:rsidRPr="00DD7AF3">
        <w:rPr>
          <w:rFonts w:ascii="標楷體" w:eastAsia="標楷體" w:hAnsi="標楷體" w:hint="eastAsia"/>
          <w:szCs w:val="24"/>
        </w:rPr>
        <w:t>實施辦法</w:t>
      </w:r>
      <w:r w:rsidRPr="00045F4F">
        <w:rPr>
          <w:rFonts w:ascii="標楷體" w:eastAsia="標楷體" w:hAnsi="標楷體" w:hint="eastAsia"/>
          <w:szCs w:val="24"/>
        </w:rPr>
        <w:t>所訂目標。</w:t>
      </w:r>
      <w:r>
        <w:rPr>
          <w:rFonts w:ascii="標楷體" w:eastAsia="標楷體" w:hAnsi="標楷體" w:hint="eastAsia"/>
          <w:szCs w:val="24"/>
        </w:rPr>
        <w:t>據復：已透過函請中央部會及地方政府對通過客語能力認證之公教人員予以獎勵</w:t>
      </w:r>
      <w:r w:rsidRPr="0037714A">
        <w:rPr>
          <w:rFonts w:ascii="標楷體" w:eastAsia="標楷體" w:hAnsi="標楷體" w:hint="eastAsia"/>
          <w:szCs w:val="24"/>
        </w:rPr>
        <w:t>、利用「哈客</w:t>
      </w:r>
      <w:r>
        <w:rPr>
          <w:rFonts w:ascii="標楷體" w:eastAsia="標楷體" w:hAnsi="標楷體" w:hint="eastAsia"/>
          <w:szCs w:val="24"/>
        </w:rPr>
        <w:t>網路學院」打造客語數位學習環境、每月辦理多梯次客語認證、補助</w:t>
      </w:r>
      <w:r w:rsidRPr="0037714A">
        <w:rPr>
          <w:rFonts w:ascii="標楷體" w:eastAsia="標楷體" w:hAnsi="標楷體" w:hint="eastAsia"/>
          <w:szCs w:val="24"/>
        </w:rPr>
        <w:t>公教</w:t>
      </w:r>
      <w:r>
        <w:rPr>
          <w:rFonts w:ascii="標楷體" w:eastAsia="標楷體" w:hAnsi="標楷體" w:hint="eastAsia"/>
          <w:szCs w:val="24"/>
        </w:rPr>
        <w:t>及軍警人員參加客語能力認證報名費等</w:t>
      </w:r>
      <w:r w:rsidRPr="0037714A">
        <w:rPr>
          <w:rFonts w:ascii="標楷體" w:eastAsia="標楷體" w:hAnsi="標楷體" w:hint="eastAsia"/>
          <w:szCs w:val="24"/>
        </w:rPr>
        <w:t>措施，</w:t>
      </w:r>
      <w:r>
        <w:rPr>
          <w:rFonts w:ascii="標楷體" w:eastAsia="標楷體" w:hAnsi="標楷體" w:hint="eastAsia"/>
          <w:szCs w:val="24"/>
        </w:rPr>
        <w:t>提升</w:t>
      </w:r>
      <w:r w:rsidRPr="0037714A">
        <w:rPr>
          <w:rFonts w:ascii="標楷體" w:eastAsia="標楷體" w:hAnsi="標楷體" w:hint="eastAsia"/>
          <w:szCs w:val="24"/>
        </w:rPr>
        <w:t>客庄地區公教人員通過客語能力認證</w:t>
      </w:r>
      <w:r>
        <w:rPr>
          <w:rFonts w:ascii="標楷體" w:eastAsia="標楷體" w:hAnsi="標楷體" w:hint="eastAsia"/>
          <w:szCs w:val="24"/>
        </w:rPr>
        <w:t>人數</w:t>
      </w:r>
      <w:r w:rsidRPr="0037714A">
        <w:rPr>
          <w:rFonts w:ascii="標楷體" w:eastAsia="標楷體" w:hAnsi="標楷體" w:hint="eastAsia"/>
          <w:szCs w:val="24"/>
        </w:rPr>
        <w:t>，</w:t>
      </w:r>
      <w:r>
        <w:rPr>
          <w:rFonts w:ascii="標楷體" w:eastAsia="標楷體" w:hAnsi="標楷體" w:hint="eastAsia"/>
          <w:szCs w:val="24"/>
        </w:rPr>
        <w:t>自</w:t>
      </w:r>
      <w:r w:rsidRPr="0037714A">
        <w:rPr>
          <w:rFonts w:ascii="標楷體" w:eastAsia="標楷體" w:hAnsi="標楷體" w:hint="eastAsia"/>
          <w:szCs w:val="24"/>
        </w:rPr>
        <w:t>107年度</w:t>
      </w:r>
      <w:r>
        <w:rPr>
          <w:rFonts w:ascii="標楷體" w:eastAsia="標楷體" w:hAnsi="標楷體" w:hint="eastAsia"/>
          <w:szCs w:val="24"/>
        </w:rPr>
        <w:t>之6千餘人成長至112年度之1萬1千餘人，</w:t>
      </w:r>
      <w:r w:rsidRPr="006608CC">
        <w:rPr>
          <w:rFonts w:ascii="標楷體" w:eastAsia="標楷體" w:hAnsi="標楷體" w:hint="eastAsia"/>
          <w:szCs w:val="24"/>
        </w:rPr>
        <w:t>將持續鼓勵</w:t>
      </w:r>
      <w:r>
        <w:rPr>
          <w:rFonts w:ascii="標楷體" w:eastAsia="標楷體" w:hAnsi="標楷體" w:hint="eastAsia"/>
          <w:szCs w:val="24"/>
        </w:rPr>
        <w:t>位處</w:t>
      </w:r>
      <w:r w:rsidRPr="00AC5E58">
        <w:rPr>
          <w:rFonts w:ascii="標楷體" w:eastAsia="標楷體" w:hAnsi="標楷體" w:hint="eastAsia"/>
          <w:szCs w:val="24"/>
        </w:rPr>
        <w:t>以客語為通行語</w:t>
      </w:r>
      <w:r>
        <w:rPr>
          <w:rFonts w:ascii="標楷體" w:eastAsia="標楷體" w:hAnsi="標楷體" w:hint="eastAsia"/>
          <w:szCs w:val="24"/>
        </w:rPr>
        <w:t>地區之</w:t>
      </w:r>
      <w:r w:rsidRPr="006608CC">
        <w:rPr>
          <w:rFonts w:ascii="標楷體" w:eastAsia="標楷體" w:hAnsi="標楷體" w:hint="eastAsia"/>
          <w:szCs w:val="24"/>
        </w:rPr>
        <w:t>中央部會及地方政府公教人員</w:t>
      </w:r>
      <w:r w:rsidRPr="00BC1B23">
        <w:rPr>
          <w:rFonts w:ascii="標楷體" w:eastAsia="標楷體" w:hAnsi="標楷體" w:hint="eastAsia"/>
          <w:szCs w:val="24"/>
        </w:rPr>
        <w:t>提升客語能力，具備客語服務之量能。</w:t>
      </w:r>
    </w:p>
    <w:p w14:paraId="23B9371D" w14:textId="75113403" w:rsidR="00F54540" w:rsidRDefault="002A6A44" w:rsidP="002A6A44">
      <w:pPr>
        <w:widowControl/>
        <w:overflowPunct w:val="0"/>
        <w:spacing w:line="430" w:lineRule="exact"/>
        <w:ind w:firstLineChars="200" w:firstLine="561"/>
        <w:jc w:val="both"/>
        <w:outlineLvl w:val="1"/>
        <w:rPr>
          <w:rFonts w:ascii="標楷體" w:eastAsia="標楷體" w:hAnsi="標楷體"/>
          <w:b/>
          <w:color w:val="000000" w:themeColor="text1"/>
          <w:sz w:val="28"/>
          <w:szCs w:val="28"/>
        </w:rPr>
      </w:pPr>
      <w:r w:rsidRPr="00F54540">
        <w:rPr>
          <w:rFonts w:ascii="標楷體" w:eastAsia="標楷體" w:hAnsi="標楷體" w:hint="eastAsia"/>
          <w:b/>
          <w:color w:val="000000" w:themeColor="text1"/>
          <w:sz w:val="28"/>
          <w:szCs w:val="28"/>
        </w:rPr>
        <w:lastRenderedPageBreak/>
        <w:t xml:space="preserve">（三十）　</w:t>
      </w:r>
      <w:r w:rsidRPr="002A6A44">
        <w:rPr>
          <w:rFonts w:ascii="標楷體" w:eastAsia="標楷體" w:hAnsi="標楷體" w:hint="eastAsia"/>
          <w:b/>
          <w:color w:val="000000" w:themeColor="text1"/>
          <w:sz w:val="28"/>
          <w:szCs w:val="28"/>
        </w:rPr>
        <w:t>客家委員會為發展客家知識體系，推動客家知識主流化相關工作項目，惟成立全球客家研究聯盟辦理跨國客家比較研究計畫未有進度，又聯盟成員間之合作交流方式尚未充分發揮多元性，另客家研究獎補助計畫成果回饋於政策參考之應用性不足，允宜研謀善策因應，以強化客家知識發展脈絡。</w:t>
      </w:r>
    </w:p>
    <w:p w14:paraId="545D1734" w14:textId="15E5C17E" w:rsidR="002A6A44" w:rsidRPr="00CF4BAD" w:rsidRDefault="002A6A44" w:rsidP="002A6A44">
      <w:pPr>
        <w:kinsoku w:val="0"/>
        <w:overflowPunct w:val="0"/>
        <w:adjustRightInd w:val="0"/>
        <w:spacing w:line="430" w:lineRule="exact"/>
        <w:ind w:firstLineChars="200" w:firstLine="496"/>
        <w:jc w:val="both"/>
        <w:textAlignment w:val="baseline"/>
        <w:rPr>
          <w:rFonts w:ascii="標楷體" w:eastAsia="標楷體" w:hAnsi="標楷體"/>
          <w:color w:val="000000" w:themeColor="text1"/>
          <w:spacing w:val="4"/>
          <w:kern w:val="0"/>
          <w:szCs w:val="28"/>
        </w:rPr>
      </w:pPr>
      <w:r w:rsidRPr="00CF4BAD">
        <w:rPr>
          <w:rFonts w:ascii="標楷體" w:eastAsia="標楷體" w:hAnsi="標楷體" w:hint="eastAsia"/>
          <w:color w:val="000000" w:themeColor="text1"/>
          <w:spacing w:val="4"/>
          <w:kern w:val="0"/>
          <w:szCs w:val="28"/>
        </w:rPr>
        <w:t>客家委員會為發展客家知識體系、推動客家事務跨域合作、增進海外客家文化傳承與發揚等，自109年起以「客家知識主流化」、「客家政策主流化」、「全球客家主流化」等3</w:t>
      </w:r>
      <w:r w:rsidR="00CF4BAD" w:rsidRPr="00CF4BAD">
        <w:rPr>
          <w:rFonts w:ascii="標楷體" w:eastAsia="標楷體" w:hAnsi="標楷體" w:hint="eastAsia"/>
          <w:color w:val="000000" w:themeColor="text1"/>
          <w:spacing w:val="4"/>
          <w:kern w:val="0"/>
          <w:szCs w:val="28"/>
        </w:rPr>
        <w:t>大政策目標推動客家族群主流化發展計畫（</w:t>
      </w:r>
      <w:r w:rsidRPr="00CF4BAD">
        <w:rPr>
          <w:rFonts w:ascii="標楷體" w:eastAsia="標楷體" w:hAnsi="標楷體" w:hint="eastAsia"/>
          <w:color w:val="000000" w:themeColor="text1"/>
          <w:spacing w:val="4"/>
          <w:kern w:val="0"/>
          <w:szCs w:val="28"/>
        </w:rPr>
        <w:t>下稱</w:t>
      </w:r>
      <w:r w:rsidRPr="00CF4BAD">
        <w:rPr>
          <w:rFonts w:ascii="標楷體" w:eastAsia="標楷體" w:hAnsi="標楷體"/>
          <w:color w:val="000000" w:themeColor="text1"/>
          <w:spacing w:val="4"/>
          <w:kern w:val="0"/>
          <w:szCs w:val="28"/>
        </w:rPr>
        <w:t>客家族群主流化計畫</w:t>
      </w:r>
      <w:r w:rsidRPr="00CF4BAD">
        <w:rPr>
          <w:rFonts w:ascii="標楷體" w:eastAsia="標楷體" w:hAnsi="標楷體" w:hint="eastAsia"/>
          <w:color w:val="000000" w:themeColor="text1"/>
          <w:spacing w:val="4"/>
          <w:kern w:val="0"/>
          <w:szCs w:val="28"/>
        </w:rPr>
        <w:t>），</w:t>
      </w:r>
      <w:r w:rsidR="00CF4BAD" w:rsidRPr="00CF4BAD">
        <w:rPr>
          <w:rFonts w:ascii="標楷體" w:eastAsia="標楷體" w:hAnsi="標楷體" w:hint="eastAsia"/>
          <w:color w:val="000000" w:themeColor="text1"/>
          <w:spacing w:val="4"/>
          <w:kern w:val="0"/>
          <w:szCs w:val="28"/>
        </w:rPr>
        <w:t>計畫期程為109至114年度，</w:t>
      </w:r>
      <w:r w:rsidRPr="00CF4BAD">
        <w:rPr>
          <w:rFonts w:ascii="標楷體" w:eastAsia="標楷體" w:hAnsi="標楷體" w:hint="eastAsia"/>
          <w:color w:val="000000" w:themeColor="text1"/>
          <w:spacing w:val="4"/>
          <w:kern w:val="0"/>
          <w:szCs w:val="28"/>
        </w:rPr>
        <w:t>經行政院核定增修計畫總經費為7億2,723萬餘元，109至112年度編列</w:t>
      </w:r>
      <w:r w:rsidR="00CF4BAD" w:rsidRPr="00CF4BAD">
        <w:rPr>
          <w:rFonts w:ascii="標楷體" w:eastAsia="標楷體" w:hAnsi="標楷體" w:hint="eastAsia"/>
          <w:color w:val="000000" w:themeColor="text1"/>
          <w:spacing w:val="4"/>
          <w:kern w:val="0"/>
          <w:szCs w:val="28"/>
        </w:rPr>
        <w:t>預算</w:t>
      </w:r>
      <w:r w:rsidRPr="00CF4BAD">
        <w:rPr>
          <w:rFonts w:ascii="標楷體" w:eastAsia="標楷體" w:hAnsi="標楷體" w:hint="eastAsia"/>
          <w:color w:val="000000" w:themeColor="text1"/>
          <w:spacing w:val="4"/>
          <w:kern w:val="0"/>
          <w:szCs w:val="28"/>
        </w:rPr>
        <w:t>4億7,258</w:t>
      </w:r>
      <w:r w:rsidR="00CF4BAD" w:rsidRPr="00CF4BAD">
        <w:rPr>
          <w:rFonts w:ascii="標楷體" w:eastAsia="標楷體" w:hAnsi="標楷體" w:hint="eastAsia"/>
          <w:color w:val="000000" w:themeColor="text1"/>
          <w:spacing w:val="4"/>
          <w:kern w:val="0"/>
          <w:szCs w:val="28"/>
        </w:rPr>
        <w:t>萬餘元</w:t>
      </w:r>
      <w:r w:rsidRPr="00CF4BAD">
        <w:rPr>
          <w:rFonts w:ascii="標楷體" w:eastAsia="標楷體" w:hAnsi="標楷體" w:hint="eastAsia"/>
          <w:color w:val="000000" w:themeColor="text1"/>
          <w:spacing w:val="4"/>
          <w:kern w:val="0"/>
          <w:szCs w:val="28"/>
        </w:rPr>
        <w:t>，截至112年底止，累計實現數4億6</w:t>
      </w:r>
      <w:r w:rsidRPr="00CF4BAD">
        <w:rPr>
          <w:rFonts w:ascii="標楷體" w:eastAsia="標楷體" w:hAnsi="標楷體"/>
          <w:color w:val="000000" w:themeColor="text1"/>
          <w:spacing w:val="4"/>
          <w:kern w:val="0"/>
          <w:szCs w:val="28"/>
        </w:rPr>
        <w:t>,</w:t>
      </w:r>
      <w:r w:rsidRPr="00CF4BAD">
        <w:rPr>
          <w:rFonts w:ascii="標楷體" w:eastAsia="標楷體" w:hAnsi="標楷體" w:hint="eastAsia"/>
          <w:color w:val="000000" w:themeColor="text1"/>
          <w:spacing w:val="4"/>
          <w:kern w:val="0"/>
          <w:szCs w:val="28"/>
        </w:rPr>
        <w:t>267萬餘元。經查客家族群主流化計畫項下之客家知識主流化相關工作項目（109至114年度總經費2億3</w:t>
      </w:r>
      <w:r w:rsidRPr="00CF4BAD">
        <w:rPr>
          <w:rFonts w:ascii="標楷體" w:eastAsia="標楷體" w:hAnsi="標楷體"/>
          <w:color w:val="000000" w:themeColor="text1"/>
          <w:spacing w:val="4"/>
          <w:kern w:val="0"/>
          <w:szCs w:val="28"/>
        </w:rPr>
        <w:t>,</w:t>
      </w:r>
      <w:r w:rsidRPr="00CF4BAD">
        <w:rPr>
          <w:rFonts w:ascii="標楷體" w:eastAsia="標楷體" w:hAnsi="標楷體" w:hint="eastAsia"/>
          <w:color w:val="000000" w:themeColor="text1"/>
          <w:spacing w:val="4"/>
          <w:kern w:val="0"/>
          <w:szCs w:val="28"/>
        </w:rPr>
        <w:t>250萬元）執行情形，核有下列事項：</w:t>
      </w:r>
    </w:p>
    <w:p w14:paraId="124FFB76" w14:textId="2910D4AD" w:rsidR="002A6A44" w:rsidRPr="002A6A44" w:rsidRDefault="009C6696" w:rsidP="002A6A44">
      <w:pPr>
        <w:kinsoku w:val="0"/>
        <w:overflowPunct w:val="0"/>
        <w:adjustRightInd w:val="0"/>
        <w:spacing w:line="430" w:lineRule="exact"/>
        <w:ind w:firstLineChars="450" w:firstLine="1260"/>
        <w:jc w:val="both"/>
        <w:textAlignment w:val="baseline"/>
        <w:rPr>
          <w:rFonts w:ascii="標楷體" w:eastAsia="標楷體" w:hAnsi="標楷體"/>
          <w:color w:val="000000" w:themeColor="text1"/>
          <w:kern w:val="0"/>
          <w:szCs w:val="28"/>
        </w:rPr>
      </w:pPr>
      <w:r w:rsidRPr="002A6A44">
        <w:rPr>
          <w:rFonts w:ascii="標楷體" w:eastAsia="標楷體" w:hAnsi="標楷體"/>
          <w:noProof/>
          <w:kern w:val="0"/>
          <w:sz w:val="28"/>
          <w:szCs w:val="32"/>
        </w:rPr>
        <mc:AlternateContent>
          <mc:Choice Requires="wps">
            <w:drawing>
              <wp:anchor distT="0" distB="0" distL="107950" distR="107950" simplePos="0" relativeHeight="251660288" behindDoc="0" locked="0" layoutInCell="1" allowOverlap="1" wp14:anchorId="5B18E026" wp14:editId="1FA0C8E1">
                <wp:simplePos x="0" y="0"/>
                <wp:positionH relativeFrom="margin">
                  <wp:posOffset>967105</wp:posOffset>
                </wp:positionH>
                <wp:positionV relativeFrom="margin">
                  <wp:posOffset>4205605</wp:posOffset>
                </wp:positionV>
                <wp:extent cx="5335905" cy="2673350"/>
                <wp:effectExtent l="0" t="0" r="0" b="0"/>
                <wp:wrapSquare wrapText="bothSides"/>
                <wp:docPr id="63" name="文字方塊 63"/>
                <wp:cNvGraphicFramePr/>
                <a:graphic xmlns:a="http://schemas.openxmlformats.org/drawingml/2006/main">
                  <a:graphicData uri="http://schemas.microsoft.com/office/word/2010/wordprocessingShape">
                    <wps:wsp>
                      <wps:cNvSpPr txBox="1"/>
                      <wps:spPr>
                        <a:xfrm>
                          <a:off x="0" y="0"/>
                          <a:ext cx="5335905" cy="2673350"/>
                        </a:xfrm>
                        <a:prstGeom prst="rect">
                          <a:avLst/>
                        </a:prstGeom>
                        <a:solidFill>
                          <a:sysClr val="window" lastClr="FFFFFF"/>
                        </a:solidFill>
                        <a:ln w="6350">
                          <a:noFill/>
                        </a:ln>
                      </wps:spPr>
                      <wps:txbx>
                        <w:txbxContent>
                          <w:p w14:paraId="7261C113" w14:textId="2157419C" w:rsidR="00A0212B" w:rsidRPr="00763C49" w:rsidRDefault="00A0212B" w:rsidP="002A6A44">
                            <w:pPr>
                              <w:spacing w:afterLines="10" w:after="36" w:line="260" w:lineRule="exact"/>
                              <w:ind w:left="658" w:hangingChars="274" w:hanging="658"/>
                              <w:jc w:val="center"/>
                              <w:rPr>
                                <w:rFonts w:ascii="標楷體" w:eastAsia="標楷體" w:hAnsi="標楷體"/>
                                <w:b/>
                              </w:rPr>
                            </w:pPr>
                            <w:r w:rsidRPr="00763C49">
                              <w:rPr>
                                <w:rFonts w:ascii="標楷體" w:eastAsia="標楷體" w:hAnsi="標楷體" w:hint="eastAsia"/>
                                <w:b/>
                              </w:rPr>
                              <w:t>表</w:t>
                            </w:r>
                            <w:r>
                              <w:rPr>
                                <w:rFonts w:ascii="標楷體" w:eastAsia="標楷體" w:hAnsi="標楷體"/>
                                <w:b/>
                              </w:rPr>
                              <w:t>38</w:t>
                            </w:r>
                            <w:r w:rsidRPr="00763C49">
                              <w:rPr>
                                <w:rFonts w:ascii="標楷體" w:eastAsia="標楷體" w:hAnsi="標楷體" w:hint="eastAsia"/>
                                <w:b/>
                              </w:rPr>
                              <w:t xml:space="preserve">　客家族群主流化計畫</w:t>
                            </w:r>
                            <w:r w:rsidRPr="00763C49">
                              <w:rPr>
                                <w:rFonts w:ascii="標楷體" w:eastAsia="標楷體" w:hAnsi="標楷體"/>
                                <w:b/>
                              </w:rPr>
                              <w:t>所列</w:t>
                            </w:r>
                            <w:r>
                              <w:rPr>
                                <w:rFonts w:ascii="標楷體" w:eastAsia="標楷體" w:hAnsi="標楷體" w:hint="eastAsia"/>
                                <w:b/>
                              </w:rPr>
                              <w:t>客家知識主流化相關</w:t>
                            </w:r>
                            <w:r w:rsidRPr="00763C49">
                              <w:rPr>
                                <w:rFonts w:ascii="標楷體" w:eastAsia="標楷體" w:hAnsi="標楷體"/>
                                <w:b/>
                              </w:rPr>
                              <w:t>工作項目及執行方法</w:t>
                            </w:r>
                          </w:p>
                          <w:tbl>
                            <w:tblPr>
                              <w:tblStyle w:val="161"/>
                              <w:tblW w:w="0" w:type="auto"/>
                              <w:jc w:val="center"/>
                              <w:tblLook w:val="04A0" w:firstRow="1" w:lastRow="0" w:firstColumn="1" w:lastColumn="0" w:noHBand="0" w:noVBand="1"/>
                            </w:tblPr>
                            <w:tblGrid>
                              <w:gridCol w:w="1271"/>
                              <w:gridCol w:w="6975"/>
                            </w:tblGrid>
                            <w:tr w:rsidR="00A0212B" w:rsidRPr="00010134" w14:paraId="7E3E401C" w14:textId="77777777" w:rsidTr="001633EC">
                              <w:trPr>
                                <w:jc w:val="center"/>
                              </w:trPr>
                              <w:tc>
                                <w:tcPr>
                                  <w:tcW w:w="1271" w:type="dxa"/>
                                  <w:vAlign w:val="center"/>
                                </w:tcPr>
                                <w:p w14:paraId="2B38F954" w14:textId="77777777" w:rsidR="00A0212B" w:rsidRPr="00010134" w:rsidRDefault="00A0212B" w:rsidP="001633EC">
                                  <w:pPr>
                                    <w:spacing w:line="240" w:lineRule="exact"/>
                                    <w:jc w:val="center"/>
                                    <w:rPr>
                                      <w:rFonts w:ascii="標楷體" w:eastAsia="標楷體" w:hAnsi="標楷體"/>
                                      <w:sz w:val="20"/>
                                    </w:rPr>
                                  </w:pPr>
                                  <w:r w:rsidRPr="00010134">
                                    <w:rPr>
                                      <w:rFonts w:ascii="標楷體" w:eastAsia="標楷體" w:hAnsi="標楷體" w:hint="eastAsia"/>
                                      <w:sz w:val="20"/>
                                    </w:rPr>
                                    <w:t>工作項目</w:t>
                                  </w:r>
                                </w:p>
                              </w:tc>
                              <w:tc>
                                <w:tcPr>
                                  <w:tcW w:w="6975" w:type="dxa"/>
                                  <w:vAlign w:val="center"/>
                                </w:tcPr>
                                <w:p w14:paraId="43C1D612" w14:textId="77777777" w:rsidR="00A0212B" w:rsidRPr="00010134" w:rsidRDefault="00A0212B" w:rsidP="001633EC">
                                  <w:pPr>
                                    <w:spacing w:line="240" w:lineRule="exact"/>
                                    <w:jc w:val="center"/>
                                    <w:rPr>
                                      <w:rFonts w:ascii="標楷體" w:eastAsia="標楷體" w:hAnsi="標楷體"/>
                                      <w:sz w:val="20"/>
                                    </w:rPr>
                                  </w:pPr>
                                  <w:r w:rsidRPr="00010134">
                                    <w:rPr>
                                      <w:rFonts w:ascii="標楷體" w:eastAsia="標楷體" w:hAnsi="標楷體" w:hint="eastAsia"/>
                                      <w:sz w:val="20"/>
                                    </w:rPr>
                                    <w:t>執行方法</w:t>
                                  </w:r>
                                </w:p>
                              </w:tc>
                            </w:tr>
                            <w:tr w:rsidR="00A0212B" w:rsidRPr="00010134" w14:paraId="0D9F6B97" w14:textId="77777777" w:rsidTr="001633EC">
                              <w:trPr>
                                <w:jc w:val="center"/>
                              </w:trPr>
                              <w:tc>
                                <w:tcPr>
                                  <w:tcW w:w="1271" w:type="dxa"/>
                                  <w:vAlign w:val="center"/>
                                </w:tcPr>
                                <w:p w14:paraId="352E6EA1"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培植國際客家研究聯盟</w:t>
                                  </w:r>
                                </w:p>
                              </w:tc>
                              <w:tc>
                                <w:tcPr>
                                  <w:tcW w:w="6975" w:type="dxa"/>
                                </w:tcPr>
                                <w:p w14:paraId="5156E516"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藉由簽署互惠合作之學術策略聯盟合作備忘錄（MOU），及於國內客家學術機構設立聯盟常設秘書處，建立國際客家研究通訊，定期舉辦國際研討會及工作坊，並由國內各校與海外學研機構議定學生交換、教師互訪、學分互認等學術交流合作方式，厚植客家學術網絡之實質效益。</w:t>
                                  </w:r>
                                </w:p>
                              </w:tc>
                            </w:tr>
                            <w:tr w:rsidR="00A0212B" w:rsidRPr="00010134" w14:paraId="35421DED" w14:textId="77777777" w:rsidTr="001633EC">
                              <w:trPr>
                                <w:jc w:val="center"/>
                              </w:trPr>
                              <w:tc>
                                <w:tcPr>
                                  <w:tcW w:w="1271" w:type="dxa"/>
                                  <w:vAlign w:val="center"/>
                                </w:tcPr>
                                <w:p w14:paraId="37EF373A"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辦理國際客家研究學術研討會</w:t>
                                  </w:r>
                                </w:p>
                              </w:tc>
                              <w:tc>
                                <w:tcPr>
                                  <w:tcW w:w="6975" w:type="dxa"/>
                                  <w:vAlign w:val="center"/>
                                </w:tcPr>
                                <w:p w14:paraId="6F268ED3"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透過辦理國際客家研究學術研討會，讓國際與客家族群相關研究議題產生對話，提升客家研究品質，後續編輯出版相關論文集，以推展研究成果。</w:t>
                                  </w:r>
                                </w:p>
                              </w:tc>
                            </w:tr>
                            <w:tr w:rsidR="00A0212B" w:rsidRPr="00010134" w14:paraId="6B52E7B8" w14:textId="77777777" w:rsidTr="001633EC">
                              <w:trPr>
                                <w:jc w:val="center"/>
                              </w:trPr>
                              <w:tc>
                                <w:tcPr>
                                  <w:tcW w:w="1271" w:type="dxa"/>
                                  <w:vAlign w:val="center"/>
                                </w:tcPr>
                                <w:p w14:paraId="4482EEE1"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辦理跨國客家比較研究計畫</w:t>
                                  </w:r>
                                </w:p>
                              </w:tc>
                              <w:tc>
                                <w:tcPr>
                                  <w:tcW w:w="6975" w:type="dxa"/>
                                </w:tcPr>
                                <w:p w14:paraId="6E130926"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以兩年期跨國家客家區域比較研究為主軸，辦理我國與海外客家地區之跨域研究，鼓勵研究人員異地進行學術研究交流或共同執行，提具相關整合型研究計畫（註1），增進跨國客家比較研究合作頻率，並突破我國社會科學及人文研究瓶頸。</w:t>
                                  </w:r>
                                </w:p>
                              </w:tc>
                            </w:tr>
                          </w:tbl>
                          <w:p w14:paraId="669073DB" w14:textId="77777777" w:rsidR="00A0212B" w:rsidRDefault="00A0212B" w:rsidP="002A6A44">
                            <w:pPr>
                              <w:spacing w:line="200" w:lineRule="exact"/>
                              <w:ind w:left="545" w:hangingChars="303" w:hanging="545"/>
                              <w:jc w:val="both"/>
                              <w:rPr>
                                <w:rFonts w:ascii="標楷體" w:eastAsia="標楷體" w:hAnsi="標楷體"/>
                                <w:sz w:val="18"/>
                                <w:szCs w:val="18"/>
                              </w:rPr>
                            </w:pPr>
                            <w:r>
                              <w:rPr>
                                <w:rFonts w:ascii="標楷體" w:eastAsia="標楷體" w:hAnsi="標楷體" w:hint="eastAsia"/>
                                <w:sz w:val="18"/>
                                <w:szCs w:val="18"/>
                              </w:rPr>
                              <w:t>註：1.客家委員會客家知識體系發展獎勵補助計畫作業要點第2點規定：「</w:t>
                            </w:r>
                            <w:r>
                              <w:rPr>
                                <w:rFonts w:ascii="標楷體" w:eastAsia="標楷體" w:hAnsi="標楷體"/>
                                <w:sz w:val="18"/>
                                <w:szCs w:val="18"/>
                              </w:rPr>
                              <w:t>……</w:t>
                            </w:r>
                            <w:r>
                              <w:rPr>
                                <w:rFonts w:ascii="標楷體" w:eastAsia="標楷體" w:hAnsi="標楷體" w:hint="eastAsia"/>
                                <w:sz w:val="18"/>
                                <w:szCs w:val="18"/>
                              </w:rPr>
                              <w:t>整合型研究計畫：係指包括描述總體研究構想與架構之總計畫，以及至少3項子計畫，並依本會規劃推動之政策重點研究項目或就特定主題組成研究群，研提跨領域或跨校之計畫。」</w:t>
                            </w:r>
                          </w:p>
                          <w:p w14:paraId="4EB975B2" w14:textId="77777777" w:rsidR="00A0212B" w:rsidRDefault="00A0212B" w:rsidP="00E31547">
                            <w:pPr>
                              <w:spacing w:line="200" w:lineRule="exact"/>
                              <w:ind w:leftChars="140" w:left="336"/>
                            </w:pPr>
                            <w:r>
                              <w:rPr>
                                <w:rFonts w:ascii="標楷體" w:eastAsia="標楷體" w:hAnsi="標楷體"/>
                                <w:sz w:val="18"/>
                                <w:szCs w:val="18"/>
                              </w:rPr>
                              <w:t>2.</w:t>
                            </w:r>
                            <w:r w:rsidRPr="0047600B">
                              <w:rPr>
                                <w:rFonts w:ascii="標楷體" w:eastAsia="標楷體" w:hAnsi="標楷體" w:hint="eastAsia"/>
                                <w:sz w:val="18"/>
                                <w:szCs w:val="18"/>
                              </w:rPr>
                              <w:t>資料來源：節錄自</w:t>
                            </w:r>
                            <w:r>
                              <w:rPr>
                                <w:rFonts w:ascii="標楷體" w:eastAsia="標楷體" w:hAnsi="標楷體" w:hint="eastAsia"/>
                                <w:sz w:val="18"/>
                                <w:szCs w:val="18"/>
                              </w:rPr>
                              <w:t>客家族群主流化計畫</w:t>
                            </w:r>
                            <w:r w:rsidRPr="0047600B">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18E026" id="文字方塊 63" o:spid="_x0000_s1120" type="#_x0000_t202" style="position:absolute;left:0;text-align:left;margin-left:76.15pt;margin-top:331.15pt;width:420.15pt;height:210.5pt;z-index:251660288;visibility:visible;mso-wrap-style:square;mso-width-percent:0;mso-height-percent:0;mso-wrap-distance-left:8.5pt;mso-wrap-distance-top:0;mso-wrap-distance-right:8.5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" fillcolor="window" stroked="f" strokeweight=".5pt">
                <v:textbox>
                  <w:txbxContent>
                    <w:p w14:paraId="7261C113" w14:textId="2157419C" w:rsidR="00A0212B" w:rsidRPr="00763C49" w:rsidRDefault="00A0212B" w:rsidP="002A6A44">
                      <w:pPr>
                        <w:spacing w:afterLines="10" w:after="36" w:line="260" w:lineRule="exact"/>
                        <w:ind w:left="658" w:hangingChars="274" w:hanging="658"/>
                        <w:jc w:val="center"/>
                        <w:rPr>
                          <w:rFonts w:ascii="標楷體" w:eastAsia="標楷體" w:hAnsi="標楷體"/>
                          <w:b/>
                        </w:rPr>
                      </w:pPr>
                      <w:r w:rsidRPr="00763C49">
                        <w:rPr>
                          <w:rFonts w:ascii="標楷體" w:eastAsia="標楷體" w:hAnsi="標楷體" w:hint="eastAsia"/>
                          <w:b/>
                        </w:rPr>
                        <w:t>表</w:t>
                      </w:r>
                      <w:r>
                        <w:rPr>
                          <w:rFonts w:ascii="標楷體" w:eastAsia="標楷體" w:hAnsi="標楷體"/>
                          <w:b/>
                        </w:rPr>
                        <w:t>38</w:t>
                      </w:r>
                      <w:r w:rsidRPr="00763C49">
                        <w:rPr>
                          <w:rFonts w:ascii="標楷體" w:eastAsia="標楷體" w:hAnsi="標楷體" w:hint="eastAsia"/>
                          <w:b/>
                        </w:rPr>
                        <w:t xml:space="preserve">　客家族群主流化計畫</w:t>
                      </w:r>
                      <w:r w:rsidRPr="00763C49">
                        <w:rPr>
                          <w:rFonts w:ascii="標楷體" w:eastAsia="標楷體" w:hAnsi="標楷體"/>
                          <w:b/>
                        </w:rPr>
                        <w:t>所列</w:t>
                      </w:r>
                      <w:r>
                        <w:rPr>
                          <w:rFonts w:ascii="標楷體" w:eastAsia="標楷體" w:hAnsi="標楷體" w:hint="eastAsia"/>
                          <w:b/>
                        </w:rPr>
                        <w:t>客家知識主流化相關</w:t>
                      </w:r>
                      <w:r w:rsidRPr="00763C49">
                        <w:rPr>
                          <w:rFonts w:ascii="標楷體" w:eastAsia="標楷體" w:hAnsi="標楷體"/>
                          <w:b/>
                        </w:rPr>
                        <w:t>工作項目及執行方法</w:t>
                      </w:r>
                    </w:p>
                    <w:tbl>
                      <w:tblPr>
                        <w:tblStyle w:val="161"/>
                        <w:tblW w:w="0" w:type="auto"/>
                        <w:jc w:val="center"/>
                        <w:tblLook w:val="04A0" w:firstRow="1" w:lastRow="0" w:firstColumn="1" w:lastColumn="0" w:noHBand="0" w:noVBand="1"/>
                      </w:tblPr>
                      <w:tblGrid>
                        <w:gridCol w:w="1271"/>
                        <w:gridCol w:w="6975"/>
                      </w:tblGrid>
                      <w:tr w:rsidR="00A0212B" w:rsidRPr="00010134" w14:paraId="7E3E401C" w14:textId="77777777" w:rsidTr="001633EC">
                        <w:trPr>
                          <w:jc w:val="center"/>
                        </w:trPr>
                        <w:tc>
                          <w:tcPr>
                            <w:tcW w:w="1271" w:type="dxa"/>
                            <w:vAlign w:val="center"/>
                          </w:tcPr>
                          <w:p w14:paraId="2B38F954" w14:textId="77777777" w:rsidR="00A0212B" w:rsidRPr="00010134" w:rsidRDefault="00A0212B" w:rsidP="001633EC">
                            <w:pPr>
                              <w:spacing w:line="240" w:lineRule="exact"/>
                              <w:jc w:val="center"/>
                              <w:rPr>
                                <w:rFonts w:ascii="標楷體" w:eastAsia="標楷體" w:hAnsi="標楷體"/>
                                <w:sz w:val="20"/>
                              </w:rPr>
                            </w:pPr>
                            <w:r w:rsidRPr="00010134">
                              <w:rPr>
                                <w:rFonts w:ascii="標楷體" w:eastAsia="標楷體" w:hAnsi="標楷體" w:hint="eastAsia"/>
                                <w:sz w:val="20"/>
                              </w:rPr>
                              <w:t>工作項目</w:t>
                            </w:r>
                          </w:p>
                        </w:tc>
                        <w:tc>
                          <w:tcPr>
                            <w:tcW w:w="6975" w:type="dxa"/>
                            <w:vAlign w:val="center"/>
                          </w:tcPr>
                          <w:p w14:paraId="43C1D612" w14:textId="77777777" w:rsidR="00A0212B" w:rsidRPr="00010134" w:rsidRDefault="00A0212B" w:rsidP="001633EC">
                            <w:pPr>
                              <w:spacing w:line="240" w:lineRule="exact"/>
                              <w:jc w:val="center"/>
                              <w:rPr>
                                <w:rFonts w:ascii="標楷體" w:eastAsia="標楷體" w:hAnsi="標楷體"/>
                                <w:sz w:val="20"/>
                              </w:rPr>
                            </w:pPr>
                            <w:r w:rsidRPr="00010134">
                              <w:rPr>
                                <w:rFonts w:ascii="標楷體" w:eastAsia="標楷體" w:hAnsi="標楷體" w:hint="eastAsia"/>
                                <w:sz w:val="20"/>
                              </w:rPr>
                              <w:t>執行方法</w:t>
                            </w:r>
                          </w:p>
                        </w:tc>
                      </w:tr>
                      <w:tr w:rsidR="00A0212B" w:rsidRPr="00010134" w14:paraId="0D9F6B97" w14:textId="77777777" w:rsidTr="001633EC">
                        <w:trPr>
                          <w:jc w:val="center"/>
                        </w:trPr>
                        <w:tc>
                          <w:tcPr>
                            <w:tcW w:w="1271" w:type="dxa"/>
                            <w:vAlign w:val="center"/>
                          </w:tcPr>
                          <w:p w14:paraId="352E6EA1"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培植國際客家研究聯盟</w:t>
                            </w:r>
                          </w:p>
                        </w:tc>
                        <w:tc>
                          <w:tcPr>
                            <w:tcW w:w="6975" w:type="dxa"/>
                          </w:tcPr>
                          <w:p w14:paraId="5156E516"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藉由簽署互惠合作之學術策略聯盟合作備忘錄（MOU），及於國內客家學術機構設立聯盟常設秘書處，建立國際客家研究通訊，定期舉辦國際研討會及工作坊，並由國內各校與海外學研機構議定學生交換、教師互訪、學分互認等學術交流合作方式，厚植客家學術網絡之實質效益。</w:t>
                            </w:r>
                          </w:p>
                        </w:tc>
                      </w:tr>
                      <w:tr w:rsidR="00A0212B" w:rsidRPr="00010134" w14:paraId="35421DED" w14:textId="77777777" w:rsidTr="001633EC">
                        <w:trPr>
                          <w:jc w:val="center"/>
                        </w:trPr>
                        <w:tc>
                          <w:tcPr>
                            <w:tcW w:w="1271" w:type="dxa"/>
                            <w:vAlign w:val="center"/>
                          </w:tcPr>
                          <w:p w14:paraId="37EF373A"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辦理國際客家研究學術研討會</w:t>
                            </w:r>
                          </w:p>
                        </w:tc>
                        <w:tc>
                          <w:tcPr>
                            <w:tcW w:w="6975" w:type="dxa"/>
                            <w:vAlign w:val="center"/>
                          </w:tcPr>
                          <w:p w14:paraId="6F268ED3"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透過辦理國際客家研究學術研討會，讓國際與客家族群相關研究議題產生對話，提升客家研究品質，後續編輯出版相關論文集，以推展研究成果。</w:t>
                            </w:r>
                          </w:p>
                        </w:tc>
                      </w:tr>
                      <w:tr w:rsidR="00A0212B" w:rsidRPr="00010134" w14:paraId="6B52E7B8" w14:textId="77777777" w:rsidTr="001633EC">
                        <w:trPr>
                          <w:jc w:val="center"/>
                        </w:trPr>
                        <w:tc>
                          <w:tcPr>
                            <w:tcW w:w="1271" w:type="dxa"/>
                            <w:vAlign w:val="center"/>
                          </w:tcPr>
                          <w:p w14:paraId="4482EEE1"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辦理跨國客家比較研究計畫</w:t>
                            </w:r>
                          </w:p>
                        </w:tc>
                        <w:tc>
                          <w:tcPr>
                            <w:tcW w:w="6975" w:type="dxa"/>
                          </w:tcPr>
                          <w:p w14:paraId="6E130926" w14:textId="77777777" w:rsidR="00A0212B" w:rsidRPr="00010134" w:rsidRDefault="00A0212B" w:rsidP="001633EC">
                            <w:pPr>
                              <w:spacing w:line="240" w:lineRule="exact"/>
                              <w:jc w:val="both"/>
                              <w:rPr>
                                <w:rFonts w:ascii="標楷體" w:eastAsia="標楷體" w:hAnsi="標楷體"/>
                                <w:sz w:val="20"/>
                              </w:rPr>
                            </w:pPr>
                            <w:r w:rsidRPr="00010134">
                              <w:rPr>
                                <w:rFonts w:ascii="標楷體" w:eastAsia="標楷體" w:hAnsi="標楷體" w:hint="eastAsia"/>
                                <w:sz w:val="20"/>
                              </w:rPr>
                              <w:t>以兩年期跨國家客家區域比較研究為主軸，辦理我國與海外客家地區之跨域研究，鼓勵研究人員異地進行學術研究交流或共同執行，提具相關整合型研究計畫（註1），增進跨國客家比較研究合作頻率，並突破我國社會科學及人文研究瓶頸。</w:t>
                            </w:r>
                          </w:p>
                        </w:tc>
                      </w:tr>
                    </w:tbl>
                    <w:p w14:paraId="669073DB" w14:textId="77777777" w:rsidR="00A0212B" w:rsidRDefault="00A0212B" w:rsidP="002A6A44">
                      <w:pPr>
                        <w:spacing w:line="200" w:lineRule="exact"/>
                        <w:ind w:left="545" w:hangingChars="303" w:hanging="545"/>
                        <w:jc w:val="both"/>
                        <w:rPr>
                          <w:rFonts w:ascii="標楷體" w:eastAsia="標楷體" w:hAnsi="標楷體"/>
                          <w:sz w:val="18"/>
                          <w:szCs w:val="18"/>
                        </w:rPr>
                      </w:pPr>
                      <w:r>
                        <w:rPr>
                          <w:rFonts w:ascii="標楷體" w:eastAsia="標楷體" w:hAnsi="標楷體" w:hint="eastAsia"/>
                          <w:sz w:val="18"/>
                          <w:szCs w:val="18"/>
                        </w:rPr>
                        <w:t>註：1.客家委員會客家知識體系發展獎勵補助計畫作業要點第2點規定：「</w:t>
                      </w:r>
                      <w:r>
                        <w:rPr>
                          <w:rFonts w:ascii="標楷體" w:eastAsia="標楷體" w:hAnsi="標楷體"/>
                          <w:sz w:val="18"/>
                          <w:szCs w:val="18"/>
                        </w:rPr>
                        <w:t>……</w:t>
                      </w:r>
                      <w:r>
                        <w:rPr>
                          <w:rFonts w:ascii="標楷體" w:eastAsia="標楷體" w:hAnsi="標楷體" w:hint="eastAsia"/>
                          <w:sz w:val="18"/>
                          <w:szCs w:val="18"/>
                        </w:rPr>
                        <w:t>整合型研究計畫：係指包括描述總體研究構想與架構之總計畫，以及至少3項子計畫，並依本會規劃推動之政策重點研究項目或就特定主題組成研究群，研提跨領域或跨校之計畫。」</w:t>
                      </w:r>
                    </w:p>
                    <w:p w14:paraId="4EB975B2" w14:textId="77777777" w:rsidR="00A0212B" w:rsidRDefault="00A0212B" w:rsidP="00E31547">
                      <w:pPr>
                        <w:spacing w:line="200" w:lineRule="exact"/>
                        <w:ind w:leftChars="140" w:left="336"/>
                      </w:pPr>
                      <w:r>
                        <w:rPr>
                          <w:rFonts w:ascii="標楷體" w:eastAsia="標楷體" w:hAnsi="標楷體"/>
                          <w:sz w:val="18"/>
                          <w:szCs w:val="18"/>
                        </w:rPr>
                        <w:t>2.</w:t>
                      </w:r>
                      <w:r w:rsidRPr="0047600B">
                        <w:rPr>
                          <w:rFonts w:ascii="標楷體" w:eastAsia="標楷體" w:hAnsi="標楷體" w:hint="eastAsia"/>
                          <w:sz w:val="18"/>
                          <w:szCs w:val="18"/>
                        </w:rPr>
                        <w:t>資料來源：節錄自</w:t>
                      </w:r>
                      <w:r>
                        <w:rPr>
                          <w:rFonts w:ascii="標楷體" w:eastAsia="標楷體" w:hAnsi="標楷體" w:hint="eastAsia"/>
                          <w:sz w:val="18"/>
                          <w:szCs w:val="18"/>
                        </w:rPr>
                        <w:t>客家族群主流化計畫</w:t>
                      </w:r>
                      <w:r w:rsidRPr="0047600B">
                        <w:rPr>
                          <w:rFonts w:ascii="標楷體" w:eastAsia="標楷體" w:hAnsi="標楷體" w:hint="eastAsia"/>
                          <w:sz w:val="18"/>
                          <w:szCs w:val="18"/>
                        </w:rPr>
                        <w:t>。</w:t>
                      </w:r>
                    </w:p>
                  </w:txbxContent>
                </v:textbox>
                <w10:wrap type="square" anchorx="margin" anchory="margin"/>
              </v:shape>
            </w:pict>
          </mc:Fallback>
        </mc:AlternateContent>
      </w:r>
      <w:r w:rsidR="002A6A44" w:rsidRPr="002A6A44">
        <w:rPr>
          <w:rFonts w:ascii="標楷體" w:eastAsia="標楷體" w:hAnsi="標楷體" w:hint="eastAsia"/>
          <w:b/>
          <w:color w:val="000000" w:themeColor="text1"/>
          <w:kern w:val="0"/>
          <w:szCs w:val="28"/>
        </w:rPr>
        <w:t>1.</w:t>
      </w:r>
      <w:r w:rsidR="0050618F">
        <w:rPr>
          <w:rFonts w:ascii="標楷體" w:eastAsia="標楷體" w:hAnsi="標楷體" w:hint="eastAsia"/>
          <w:b/>
          <w:color w:val="000000" w:themeColor="text1"/>
          <w:kern w:val="0"/>
          <w:szCs w:val="28"/>
        </w:rPr>
        <w:t xml:space="preserve">　</w:t>
      </w:r>
      <w:r w:rsidR="002A6A44" w:rsidRPr="002A6A44">
        <w:rPr>
          <w:rFonts w:ascii="標楷體" w:eastAsia="標楷體" w:hAnsi="標楷體" w:hint="eastAsia"/>
          <w:b/>
          <w:color w:val="000000" w:themeColor="text1"/>
          <w:kern w:val="0"/>
          <w:szCs w:val="28"/>
        </w:rPr>
        <w:t>推動成立全球客家研究聯盟以維繫我國具備全球客家學術領導研究地位，惟跨國客家比較研究計畫未有進度，且聯盟成員間之合作交流方式尚未充分發揮多元性：</w:t>
      </w:r>
      <w:r w:rsidR="002A6A44" w:rsidRPr="002A6A44">
        <w:rPr>
          <w:rFonts w:ascii="標楷體" w:eastAsia="標楷體" w:hAnsi="標楷體" w:hint="eastAsia"/>
          <w:color w:val="000000" w:themeColor="text1"/>
          <w:kern w:val="0"/>
          <w:szCs w:val="28"/>
        </w:rPr>
        <w:t>客家委員會為達成客家知識主流化，以維繫我國具備「全球客家學術研究領導地位」為策略，推動培植國際客家研究聯盟、辦理國際客家研究學術研討會、辦理跨國客家比較研究計畫等</w:t>
      </w:r>
      <w:r w:rsidR="002A6A44" w:rsidRPr="002A6A44">
        <w:rPr>
          <w:rFonts w:ascii="標楷體" w:eastAsia="標楷體" w:hAnsi="標楷體"/>
          <w:color w:val="000000" w:themeColor="text1"/>
          <w:kern w:val="0"/>
          <w:szCs w:val="28"/>
        </w:rPr>
        <w:t>3個工作項目（</w:t>
      </w:r>
      <w:r w:rsidR="002A6A44" w:rsidRPr="00463203">
        <w:rPr>
          <w:rFonts w:ascii="標楷體" w:eastAsia="標楷體" w:hAnsi="標楷體"/>
          <w:color w:val="000000" w:themeColor="text1"/>
          <w:kern w:val="0"/>
          <w:szCs w:val="28"/>
        </w:rPr>
        <w:t>表</w:t>
      </w:r>
      <w:r w:rsidR="00DF7DF3" w:rsidRPr="00463203">
        <w:rPr>
          <w:rFonts w:ascii="標楷體" w:eastAsia="標楷體" w:hAnsi="標楷體" w:hint="eastAsia"/>
          <w:color w:val="000000" w:themeColor="text1"/>
          <w:kern w:val="0"/>
          <w:szCs w:val="28"/>
        </w:rPr>
        <w:t>3</w:t>
      </w:r>
      <w:r w:rsidR="009821F7" w:rsidRPr="00463203">
        <w:rPr>
          <w:rFonts w:ascii="標楷體" w:eastAsia="標楷體" w:hAnsi="標楷體" w:hint="eastAsia"/>
          <w:color w:val="000000" w:themeColor="text1"/>
          <w:kern w:val="0"/>
          <w:szCs w:val="28"/>
        </w:rPr>
        <w:t>8</w:t>
      </w:r>
      <w:r w:rsidR="002A6A44" w:rsidRPr="002A6A44">
        <w:rPr>
          <w:rFonts w:ascii="標楷體" w:eastAsia="標楷體" w:hAnsi="標楷體"/>
          <w:color w:val="000000" w:themeColor="text1"/>
          <w:kern w:val="0"/>
          <w:szCs w:val="28"/>
        </w:rPr>
        <w:t>）</w:t>
      </w:r>
      <w:r w:rsidR="002A6A44" w:rsidRPr="002A6A44">
        <w:rPr>
          <w:rFonts w:ascii="標楷體" w:eastAsia="標楷體" w:hAnsi="標楷體" w:hint="eastAsia"/>
          <w:color w:val="000000" w:themeColor="text1"/>
          <w:kern w:val="0"/>
          <w:szCs w:val="28"/>
        </w:rPr>
        <w:t>，</w:t>
      </w:r>
      <w:r w:rsidR="002A6A44" w:rsidRPr="002A6A44">
        <w:rPr>
          <w:rFonts w:ascii="標楷體" w:eastAsia="標楷體" w:hAnsi="標楷體"/>
          <w:color w:val="000000" w:themeColor="text1"/>
          <w:kern w:val="0"/>
          <w:szCs w:val="28"/>
        </w:rPr>
        <w:t>為</w:t>
      </w:r>
      <w:r w:rsidR="002A6A44" w:rsidRPr="002A6A44">
        <w:rPr>
          <w:rFonts w:ascii="標楷體" w:eastAsia="標楷體" w:hAnsi="標楷體" w:hint="eastAsia"/>
          <w:color w:val="000000" w:themeColor="text1"/>
          <w:kern w:val="0"/>
          <w:szCs w:val="28"/>
        </w:rPr>
        <w:t>落實上開</w:t>
      </w:r>
      <w:r w:rsidR="002A6A44" w:rsidRPr="002A6A44">
        <w:rPr>
          <w:rFonts w:ascii="標楷體" w:eastAsia="標楷體" w:hAnsi="標楷體"/>
          <w:color w:val="000000" w:themeColor="text1"/>
          <w:kern w:val="0"/>
          <w:szCs w:val="28"/>
        </w:rPr>
        <w:t>工作項目，</w:t>
      </w:r>
      <w:r w:rsidR="002A6A44" w:rsidRPr="002A6A44">
        <w:rPr>
          <w:rFonts w:ascii="標楷體" w:eastAsia="標楷體" w:hAnsi="標楷體" w:hint="eastAsia"/>
          <w:color w:val="000000" w:themeColor="text1"/>
          <w:kern w:val="0"/>
          <w:szCs w:val="28"/>
        </w:rPr>
        <w:t>該會</w:t>
      </w:r>
      <w:r w:rsidR="002A6A44" w:rsidRPr="002A6A44">
        <w:rPr>
          <w:rFonts w:ascii="標楷體" w:eastAsia="標楷體" w:hAnsi="標楷體"/>
          <w:color w:val="000000" w:themeColor="text1"/>
          <w:kern w:val="0"/>
          <w:szCs w:val="28"/>
        </w:rPr>
        <w:t>陸續補助國立交通大學</w:t>
      </w:r>
      <w:r w:rsidR="002A6A44" w:rsidRPr="002A6A44">
        <w:rPr>
          <w:rFonts w:ascii="標楷體" w:eastAsia="標楷體" w:hAnsi="標楷體" w:hint="eastAsia"/>
          <w:color w:val="000000" w:themeColor="text1"/>
          <w:kern w:val="0"/>
          <w:szCs w:val="28"/>
        </w:rPr>
        <w:t>（現</w:t>
      </w:r>
      <w:r w:rsidR="002A6A44" w:rsidRPr="002A6A44">
        <w:rPr>
          <w:rFonts w:ascii="標楷體" w:eastAsia="標楷體" w:hAnsi="標楷體"/>
          <w:color w:val="000000" w:themeColor="text1"/>
          <w:kern w:val="0"/>
          <w:szCs w:val="28"/>
        </w:rPr>
        <w:t>為國立陽明交通大學）</w:t>
      </w:r>
      <w:r w:rsidR="002A6A44" w:rsidRPr="002A6A44">
        <w:rPr>
          <w:rFonts w:ascii="標楷體" w:eastAsia="標楷體" w:hAnsi="標楷體" w:hint="eastAsia"/>
          <w:color w:val="000000" w:themeColor="text1"/>
          <w:kern w:val="0"/>
          <w:szCs w:val="28"/>
        </w:rPr>
        <w:t>於</w:t>
      </w:r>
      <w:r w:rsidR="002A6A44" w:rsidRPr="002A6A44">
        <w:rPr>
          <w:rFonts w:ascii="標楷體" w:eastAsia="標楷體" w:hAnsi="標楷體"/>
          <w:color w:val="000000" w:themeColor="text1"/>
          <w:kern w:val="0"/>
          <w:szCs w:val="28"/>
        </w:rPr>
        <w:t>108年4月至110年3月執行客家研究聯盟成立與運作計畫（下稱第一期計畫</w:t>
      </w:r>
      <w:r w:rsidR="002A6A44" w:rsidRPr="002A6A44">
        <w:rPr>
          <w:rFonts w:ascii="標楷體" w:eastAsia="標楷體" w:hAnsi="標楷體" w:hint="eastAsia"/>
          <w:color w:val="000000" w:themeColor="text1"/>
          <w:kern w:val="0"/>
          <w:szCs w:val="28"/>
        </w:rPr>
        <w:t>）、補助國立中央大學於</w:t>
      </w:r>
      <w:r w:rsidR="002A6A44" w:rsidRPr="002A6A44">
        <w:rPr>
          <w:rFonts w:ascii="標楷體" w:eastAsia="標楷體" w:hAnsi="標楷體"/>
          <w:color w:val="000000" w:themeColor="text1"/>
          <w:kern w:val="0"/>
          <w:szCs w:val="28"/>
        </w:rPr>
        <w:t>110年4月至114年3月執行客家研究聯盟2021-2023工作計畫（下稱第二期計畫</w:t>
      </w:r>
      <w:r w:rsidR="002A6A44" w:rsidRPr="002A6A44">
        <w:rPr>
          <w:rFonts w:ascii="標楷體" w:eastAsia="標楷體" w:hAnsi="標楷體" w:hint="eastAsia"/>
          <w:color w:val="000000" w:themeColor="text1"/>
          <w:kern w:val="0"/>
          <w:szCs w:val="28"/>
        </w:rPr>
        <w:t>）及客家研究聯盟</w:t>
      </w:r>
      <w:r w:rsidR="002A6A44" w:rsidRPr="002A6A44">
        <w:rPr>
          <w:rFonts w:ascii="標楷體" w:eastAsia="標楷體" w:hAnsi="標楷體"/>
          <w:color w:val="000000" w:themeColor="text1"/>
          <w:kern w:val="0"/>
          <w:szCs w:val="28"/>
        </w:rPr>
        <w:t>2023-2025</w:t>
      </w:r>
      <w:r w:rsidR="002A6A44" w:rsidRPr="002A6A44">
        <w:rPr>
          <w:rFonts w:ascii="標楷體" w:eastAsia="標楷體" w:hAnsi="標楷體" w:hint="eastAsia"/>
          <w:color w:val="000000" w:themeColor="text1"/>
          <w:kern w:val="0"/>
          <w:szCs w:val="28"/>
        </w:rPr>
        <w:t>工作計畫（下稱第三期計畫），截至</w:t>
      </w:r>
      <w:r w:rsidR="002A6A44" w:rsidRPr="002A6A44">
        <w:rPr>
          <w:rFonts w:ascii="標楷體" w:eastAsia="標楷體" w:hAnsi="標楷體"/>
          <w:color w:val="000000" w:themeColor="text1"/>
          <w:kern w:val="0"/>
          <w:szCs w:val="28"/>
        </w:rPr>
        <w:t>112年12月8日止，</w:t>
      </w:r>
      <w:r w:rsidR="002A6A44" w:rsidRPr="002A6A44">
        <w:rPr>
          <w:rFonts w:ascii="標楷體" w:eastAsia="標楷體" w:hAnsi="標楷體" w:hint="eastAsia"/>
          <w:color w:val="000000" w:themeColor="text1"/>
          <w:kern w:val="0"/>
          <w:szCs w:val="28"/>
        </w:rPr>
        <w:t>受補助學校於</w:t>
      </w:r>
      <w:r w:rsidR="002A6A44" w:rsidRPr="002A6A44">
        <w:rPr>
          <w:rFonts w:ascii="標楷體" w:eastAsia="標楷體" w:hAnsi="標楷體"/>
          <w:color w:val="000000" w:themeColor="text1"/>
          <w:kern w:val="0"/>
          <w:szCs w:val="28"/>
        </w:rPr>
        <w:t>完成全球客家研究聯盟</w:t>
      </w:r>
      <w:r w:rsidR="002A6A44" w:rsidRPr="002A6A44">
        <w:rPr>
          <w:rFonts w:ascii="標楷體" w:eastAsia="標楷體" w:hAnsi="標楷體" w:hint="eastAsia"/>
          <w:color w:val="000000" w:themeColor="text1"/>
          <w:kern w:val="0"/>
          <w:szCs w:val="28"/>
        </w:rPr>
        <w:t>（</w:t>
      </w:r>
      <w:r w:rsidR="002A6A44" w:rsidRPr="002A6A44">
        <w:rPr>
          <w:rFonts w:ascii="標楷體" w:eastAsia="標楷體" w:hAnsi="標楷體"/>
          <w:color w:val="000000" w:themeColor="text1"/>
          <w:kern w:val="0"/>
          <w:szCs w:val="28"/>
        </w:rPr>
        <w:t>Consortium of Global Hakka Studies, GHAS）</w:t>
      </w:r>
      <w:r w:rsidR="002A6A44" w:rsidRPr="002A6A44">
        <w:rPr>
          <w:rFonts w:ascii="標楷體" w:eastAsia="標楷體" w:hAnsi="標楷體" w:hint="eastAsia"/>
          <w:color w:val="000000" w:themeColor="text1"/>
          <w:kern w:val="0"/>
          <w:szCs w:val="28"/>
        </w:rPr>
        <w:t>前期籌備事宜、成員機構簽署合作備忘錄後，</w:t>
      </w:r>
      <w:r w:rsidR="00CF4BAD">
        <w:rPr>
          <w:rFonts w:ascii="標楷體" w:eastAsia="標楷體" w:hAnsi="標楷體" w:hint="eastAsia"/>
          <w:color w:val="000000" w:themeColor="text1"/>
          <w:kern w:val="0"/>
          <w:szCs w:val="28"/>
        </w:rPr>
        <w:t>已</w:t>
      </w:r>
      <w:r w:rsidR="002A6A44" w:rsidRPr="002A6A44">
        <w:rPr>
          <w:rFonts w:ascii="標楷體" w:eastAsia="標楷體" w:hAnsi="標楷體" w:hint="eastAsia"/>
          <w:color w:val="000000" w:themeColor="text1"/>
          <w:kern w:val="0"/>
          <w:szCs w:val="28"/>
        </w:rPr>
        <w:t>於</w:t>
      </w:r>
      <w:r w:rsidR="002A6A44" w:rsidRPr="002A6A44">
        <w:rPr>
          <w:rFonts w:ascii="標楷體" w:eastAsia="標楷體" w:hAnsi="標楷體"/>
          <w:color w:val="000000" w:themeColor="text1"/>
          <w:kern w:val="0"/>
          <w:szCs w:val="28"/>
        </w:rPr>
        <w:t>108年12月10日正式成立GHAS，</w:t>
      </w:r>
      <w:r w:rsidR="002A6A44" w:rsidRPr="002A6A44">
        <w:rPr>
          <w:rFonts w:ascii="標楷體" w:eastAsia="標楷體" w:hAnsi="標楷體" w:hint="eastAsia"/>
          <w:color w:val="000000" w:themeColor="text1"/>
          <w:kern w:val="0"/>
          <w:szCs w:val="28"/>
        </w:rPr>
        <w:t>並常態性營運</w:t>
      </w:r>
      <w:r w:rsidR="002A6A44" w:rsidRPr="002A6A44">
        <w:rPr>
          <w:rFonts w:ascii="標楷體" w:eastAsia="標楷體" w:hAnsi="標楷體"/>
          <w:color w:val="000000" w:themeColor="text1"/>
          <w:kern w:val="0"/>
          <w:szCs w:val="28"/>
        </w:rPr>
        <w:t>GHAS網站、編輯發行聯盟通訊、推動跨國學術研究合作</w:t>
      </w:r>
      <w:r w:rsidR="002A6A44" w:rsidRPr="00CF4BAD">
        <w:rPr>
          <w:rFonts w:ascii="標楷體" w:eastAsia="標楷體" w:hAnsi="標楷體"/>
          <w:color w:val="000000" w:themeColor="text1"/>
          <w:kern w:val="0"/>
          <w:szCs w:val="28"/>
        </w:rPr>
        <w:t>計畫，籌</w:t>
      </w:r>
      <w:r w:rsidR="002A6A44" w:rsidRPr="00CF4BAD">
        <w:rPr>
          <w:rFonts w:ascii="標楷體" w:eastAsia="標楷體" w:hAnsi="標楷體" w:hint="eastAsia"/>
          <w:color w:val="000000" w:themeColor="text1"/>
          <w:kern w:val="0"/>
          <w:szCs w:val="28"/>
        </w:rPr>
        <w:t>辦</w:t>
      </w:r>
      <w:r w:rsidR="002A6A44" w:rsidRPr="00CF4BAD">
        <w:rPr>
          <w:rFonts w:ascii="標楷體" w:eastAsia="標楷體" w:hAnsi="標楷體"/>
          <w:color w:val="000000" w:themeColor="text1"/>
          <w:kern w:val="0"/>
          <w:szCs w:val="28"/>
        </w:rPr>
        <w:t>兩屆國際雙年學術研討會</w:t>
      </w:r>
      <w:r w:rsidR="002A6A44" w:rsidRPr="00CF4BAD">
        <w:rPr>
          <w:rFonts w:ascii="標楷體" w:eastAsia="標楷體" w:hAnsi="標楷體" w:hint="eastAsia"/>
          <w:color w:val="000000" w:themeColor="text1"/>
          <w:kern w:val="0"/>
          <w:szCs w:val="28"/>
        </w:rPr>
        <w:t>、青年學者工作坊等。經查國立陽明交通大學、國立中央</w:t>
      </w:r>
      <w:r w:rsidR="002A6A44" w:rsidRPr="002A6A44">
        <w:rPr>
          <w:rFonts w:ascii="標楷體" w:eastAsia="標楷體" w:hAnsi="標楷體" w:hint="eastAsia"/>
          <w:color w:val="000000" w:themeColor="text1"/>
          <w:kern w:val="0"/>
          <w:szCs w:val="28"/>
        </w:rPr>
        <w:t>大學提出第</w:t>
      </w:r>
      <w:r w:rsidR="002A6A44" w:rsidRPr="002A6A44">
        <w:rPr>
          <w:rFonts w:ascii="標楷體" w:eastAsia="標楷體" w:hAnsi="標楷體" w:hint="eastAsia"/>
          <w:color w:val="000000" w:themeColor="text1"/>
          <w:kern w:val="0"/>
          <w:szCs w:val="28"/>
        </w:rPr>
        <w:lastRenderedPageBreak/>
        <w:t>一期至第三期計畫之「推動跨國學術研究合作計畫」，係屬客家族群主流化計畫之「辦理跨國客家比較研究計畫」工作項目，依客家族群主流化計畫所列執行方法及分年經費分配，該工作項目應運用</w:t>
      </w:r>
      <w:r w:rsidR="002A6A44" w:rsidRPr="002A6A44">
        <w:rPr>
          <w:rFonts w:ascii="標楷體" w:eastAsia="標楷體" w:hAnsi="標楷體"/>
          <w:color w:val="000000" w:themeColor="text1"/>
          <w:kern w:val="0"/>
          <w:szCs w:val="28"/>
        </w:rPr>
        <w:t>109及111</w:t>
      </w:r>
      <w:r w:rsidR="002A6A44" w:rsidRPr="002A6A44">
        <w:rPr>
          <w:rFonts w:ascii="標楷體" w:eastAsia="標楷體" w:hAnsi="標楷體" w:hint="eastAsia"/>
          <w:color w:val="000000" w:themeColor="text1"/>
          <w:kern w:val="0"/>
          <w:szCs w:val="28"/>
        </w:rPr>
        <w:t>年度經費完成</w:t>
      </w:r>
      <w:r w:rsidR="002A6A44" w:rsidRPr="002A6A44">
        <w:rPr>
          <w:rFonts w:ascii="標楷體" w:eastAsia="標楷體" w:hAnsi="標楷體"/>
          <w:color w:val="000000" w:themeColor="text1"/>
          <w:kern w:val="0"/>
          <w:szCs w:val="28"/>
        </w:rPr>
        <w:t>2次兩年期跨國客家區域比較研究，惟據第一期計畫之執行進度報告，「推動跨國學術研究合作計畫」因成員機構間</w:t>
      </w:r>
      <w:r w:rsidR="002A6A44" w:rsidRPr="002A6A44">
        <w:rPr>
          <w:rFonts w:ascii="標楷體" w:eastAsia="標楷體" w:hAnsi="標楷體" w:hint="eastAsia"/>
          <w:color w:val="000000" w:themeColor="text1"/>
          <w:kern w:val="0"/>
          <w:szCs w:val="28"/>
        </w:rPr>
        <w:t>及國外學者對於合作研究群之想像有落差，又礙於我國經費使用有較多限制，經</w:t>
      </w:r>
      <w:r w:rsidR="002A6A44" w:rsidRPr="002A6A44">
        <w:rPr>
          <w:rFonts w:ascii="標楷體" w:eastAsia="標楷體" w:hAnsi="標楷體"/>
          <w:color w:val="000000" w:themeColor="text1"/>
          <w:kern w:val="0"/>
          <w:szCs w:val="28"/>
        </w:rPr>
        <w:t>GHAS決議110年暫緩實施，截至112年12月8日</w:t>
      </w:r>
      <w:r w:rsidR="002A6A44" w:rsidRPr="002A6A44">
        <w:rPr>
          <w:rFonts w:ascii="標楷體" w:eastAsia="標楷體" w:hAnsi="標楷體" w:hint="eastAsia"/>
          <w:color w:val="000000" w:themeColor="text1"/>
          <w:kern w:val="0"/>
          <w:szCs w:val="28"/>
        </w:rPr>
        <w:t>止，仍無具體進度；另</w:t>
      </w:r>
      <w:r w:rsidR="002A6A44" w:rsidRPr="002A6A44">
        <w:rPr>
          <w:rFonts w:ascii="標楷體" w:eastAsia="標楷體" w:hAnsi="標楷體"/>
          <w:color w:val="000000" w:themeColor="text1"/>
          <w:kern w:val="0"/>
          <w:szCs w:val="28"/>
        </w:rPr>
        <w:t>GHAS成員機構間之合作交流方式，除共同參與研討會及工作坊、遠距學習課程、短期移地</w:t>
      </w:r>
      <w:r w:rsidR="002A6A44" w:rsidRPr="002A6A44">
        <w:rPr>
          <w:rFonts w:ascii="標楷體" w:eastAsia="標楷體" w:hAnsi="標楷體" w:hint="eastAsia"/>
          <w:color w:val="000000" w:themeColor="text1"/>
          <w:kern w:val="0"/>
          <w:szCs w:val="28"/>
        </w:rPr>
        <w:t>課程及田野實作外，僅有</w:t>
      </w:r>
      <w:r w:rsidR="002A6A44" w:rsidRPr="002A6A44">
        <w:rPr>
          <w:rFonts w:ascii="標楷體" w:eastAsia="標楷體" w:hAnsi="標楷體"/>
          <w:color w:val="000000" w:themeColor="text1"/>
          <w:kern w:val="0"/>
          <w:szCs w:val="28"/>
        </w:rPr>
        <w:t>1位國內學生申請交換至海外成員機構修習課程，尚未充分</w:t>
      </w:r>
      <w:r w:rsidR="002A6A44" w:rsidRPr="002A6A44">
        <w:rPr>
          <w:rFonts w:ascii="標楷體" w:eastAsia="標楷體" w:hAnsi="標楷體" w:hint="eastAsia"/>
          <w:color w:val="000000" w:themeColor="text1"/>
          <w:kern w:val="0"/>
          <w:szCs w:val="28"/>
        </w:rPr>
        <w:t>依</w:t>
      </w:r>
      <w:r w:rsidR="002A6A44" w:rsidRPr="002A6A44">
        <w:rPr>
          <w:rFonts w:ascii="標楷體" w:eastAsia="標楷體" w:hAnsi="標楷體"/>
          <w:color w:val="000000" w:themeColor="text1"/>
          <w:kern w:val="0"/>
          <w:szCs w:val="28"/>
        </w:rPr>
        <w:t>客</w:t>
      </w:r>
      <w:r w:rsidR="002A6A44" w:rsidRPr="002A6A44">
        <w:rPr>
          <w:rFonts w:ascii="標楷體" w:eastAsia="標楷體" w:hAnsi="標楷體" w:hint="eastAsia"/>
          <w:color w:val="000000" w:themeColor="text1"/>
          <w:kern w:val="0"/>
          <w:szCs w:val="28"/>
        </w:rPr>
        <w:t>家族群主流化計畫「培植國際客家研究聯盟」工作項目之執行方法，以及</w:t>
      </w:r>
      <w:r w:rsidR="002A6A44" w:rsidRPr="002A6A44">
        <w:rPr>
          <w:rFonts w:ascii="標楷體" w:eastAsia="標楷體" w:hAnsi="標楷體"/>
          <w:color w:val="000000" w:themeColor="text1"/>
          <w:kern w:val="0"/>
          <w:szCs w:val="28"/>
        </w:rPr>
        <w:t>GHAS成員機構簽訂MOU</w:t>
      </w:r>
      <w:r w:rsidR="002A6A44" w:rsidRPr="002A6A44">
        <w:rPr>
          <w:rFonts w:ascii="標楷體" w:eastAsia="標楷體" w:hAnsi="標楷體" w:hint="eastAsia"/>
          <w:color w:val="000000" w:themeColor="text1"/>
          <w:kern w:val="0"/>
          <w:szCs w:val="28"/>
        </w:rPr>
        <w:t>相關</w:t>
      </w:r>
      <w:r w:rsidR="002A6A44" w:rsidRPr="002A6A44">
        <w:rPr>
          <w:rFonts w:ascii="標楷體" w:eastAsia="標楷體" w:hAnsi="標楷體"/>
          <w:color w:val="000000" w:themeColor="text1"/>
          <w:kern w:val="0"/>
          <w:szCs w:val="28"/>
        </w:rPr>
        <w:t>規定</w:t>
      </w:r>
      <w:r w:rsidR="002A6A44" w:rsidRPr="002A6A44">
        <w:rPr>
          <w:rFonts w:ascii="標楷體" w:eastAsia="標楷體" w:hAnsi="標楷體" w:hint="eastAsia"/>
          <w:color w:val="000000" w:themeColor="text1"/>
          <w:kern w:val="0"/>
          <w:szCs w:val="28"/>
        </w:rPr>
        <w:t>【成員間合作方式包含（但不限於）參與聯合研究計畫、抵免學分、雙聯學位學程、研究人員訓練課程等】進行學術交流合作，抑減組成學術聯盟效益，且已有專家學者提出</w:t>
      </w:r>
      <w:r w:rsidR="002A6A44" w:rsidRPr="002A6A44">
        <w:rPr>
          <w:rFonts w:ascii="標楷體" w:eastAsia="標楷體" w:hAnsi="標楷體"/>
          <w:color w:val="000000" w:themeColor="text1"/>
          <w:kern w:val="0"/>
          <w:szCs w:val="28"/>
        </w:rPr>
        <w:t>GHAS運作方式仍以強化既有學術機構連結之模式為主，應考慮其他興革作法等建議</w:t>
      </w:r>
      <w:r w:rsidR="002A6A44" w:rsidRPr="002A6A44">
        <w:rPr>
          <w:rFonts w:ascii="標楷體" w:eastAsia="標楷體" w:hAnsi="標楷體" w:hint="eastAsia"/>
          <w:color w:val="000000" w:themeColor="text1"/>
          <w:kern w:val="0"/>
          <w:szCs w:val="28"/>
        </w:rPr>
        <w:t>。經函請客家委員會</w:t>
      </w:r>
      <w:r w:rsidR="002A6A44" w:rsidRPr="002A6A44">
        <w:rPr>
          <w:rFonts w:ascii="標楷體" w:eastAsia="標楷體" w:hAnsi="標楷體"/>
          <w:color w:val="000000" w:themeColor="text1"/>
          <w:kern w:val="0"/>
          <w:szCs w:val="28"/>
        </w:rPr>
        <w:t>妥適</w:t>
      </w:r>
      <w:r w:rsidR="002A6A44" w:rsidRPr="002A6A44">
        <w:rPr>
          <w:rFonts w:ascii="標楷體" w:eastAsia="標楷體" w:hAnsi="標楷體" w:hint="eastAsia"/>
          <w:color w:val="000000" w:themeColor="text1"/>
          <w:kern w:val="0"/>
          <w:szCs w:val="28"/>
        </w:rPr>
        <w:t>研謀</w:t>
      </w:r>
      <w:r w:rsidR="002A6A44" w:rsidRPr="002A6A44">
        <w:rPr>
          <w:rFonts w:ascii="標楷體" w:eastAsia="標楷體" w:hAnsi="標楷體"/>
          <w:color w:val="000000" w:themeColor="text1"/>
          <w:kern w:val="0"/>
          <w:szCs w:val="28"/>
        </w:rPr>
        <w:t>GHAS發揮組成學術聯盟功能之激勵措施，使其完成兩年期跨國客家區域比較研究、</w:t>
      </w:r>
      <w:r w:rsidR="002A6A44" w:rsidRPr="002A6A44">
        <w:rPr>
          <w:rFonts w:ascii="標楷體" w:eastAsia="標楷體" w:hAnsi="標楷體" w:hint="eastAsia"/>
          <w:color w:val="000000" w:themeColor="text1"/>
          <w:kern w:val="0"/>
          <w:szCs w:val="28"/>
        </w:rPr>
        <w:t>強化</w:t>
      </w:r>
      <w:r w:rsidR="002A6A44" w:rsidRPr="002A6A44">
        <w:rPr>
          <w:rFonts w:ascii="標楷體" w:eastAsia="標楷體" w:hAnsi="標楷體"/>
          <w:color w:val="000000" w:themeColor="text1"/>
          <w:kern w:val="0"/>
          <w:szCs w:val="28"/>
        </w:rPr>
        <w:t>多元學術交流合作，</w:t>
      </w:r>
      <w:r w:rsidR="002A6A44" w:rsidRPr="002A6A44">
        <w:rPr>
          <w:rFonts w:ascii="標楷體" w:eastAsia="標楷體" w:hAnsi="標楷體" w:hint="eastAsia"/>
          <w:color w:val="000000" w:themeColor="text1"/>
          <w:kern w:val="0"/>
          <w:szCs w:val="28"/>
        </w:rPr>
        <w:t>以</w:t>
      </w:r>
      <w:r w:rsidR="002A6A44" w:rsidRPr="002A6A44">
        <w:rPr>
          <w:rFonts w:ascii="標楷體" w:eastAsia="標楷體" w:hAnsi="標楷體"/>
          <w:color w:val="000000" w:themeColor="text1"/>
          <w:kern w:val="0"/>
          <w:szCs w:val="28"/>
        </w:rPr>
        <w:t>維繫我國具備全球客家學術研究領導地位</w:t>
      </w:r>
      <w:r w:rsidR="002A6A44" w:rsidRPr="002A6A44">
        <w:rPr>
          <w:rFonts w:ascii="標楷體" w:eastAsia="標楷體" w:hint="eastAsia"/>
          <w:color w:val="000000"/>
          <w:kern w:val="0"/>
          <w:szCs w:val="28"/>
        </w:rPr>
        <w:t>。據復：</w:t>
      </w:r>
      <w:r w:rsidR="002A6A44" w:rsidRPr="002A6A44">
        <w:rPr>
          <w:rFonts w:ascii="標楷體" w:eastAsia="標楷體"/>
          <w:color w:val="000000"/>
          <w:kern w:val="0"/>
          <w:szCs w:val="28"/>
        </w:rPr>
        <w:t>GHAS</w:t>
      </w:r>
      <w:r w:rsidR="002A6A44" w:rsidRPr="002A6A44">
        <w:rPr>
          <w:rFonts w:ascii="標楷體" w:eastAsia="標楷體" w:hint="eastAsia"/>
          <w:color w:val="000000"/>
          <w:kern w:val="0"/>
          <w:szCs w:val="28"/>
        </w:rPr>
        <w:t>除舉辦研究工作坊、發行研究通訊外，亦舉辦國際雙年學術研討會，發表43篇論文，後續將於第三期計畫進行海外移地田野調查、青年學者工作坊等，該會將鼓勵其將跨國客家比較研究納入探討議題，建立青年學者研究之全球視野及國際連結。</w:t>
      </w:r>
    </w:p>
    <w:p w14:paraId="216EA1FB" w14:textId="54632C1D" w:rsidR="002A6A44" w:rsidRPr="002A6A44" w:rsidRDefault="002A6A44" w:rsidP="004D7C92">
      <w:pPr>
        <w:kinsoku w:val="0"/>
        <w:overflowPunct w:val="0"/>
        <w:adjustRightInd w:val="0"/>
        <w:spacing w:line="444" w:lineRule="exact"/>
        <w:ind w:firstLineChars="450" w:firstLine="1081"/>
        <w:jc w:val="both"/>
        <w:textAlignment w:val="baseline"/>
        <w:rPr>
          <w:rFonts w:ascii="標楷體" w:eastAsia="標楷體" w:hAnsi="標楷體"/>
          <w:color w:val="000000" w:themeColor="text1"/>
          <w:kern w:val="0"/>
          <w:szCs w:val="28"/>
        </w:rPr>
      </w:pPr>
      <w:r w:rsidRPr="002A6A44">
        <w:rPr>
          <w:rFonts w:ascii="標楷體" w:eastAsia="標楷體" w:hAnsi="標楷體" w:hint="eastAsia"/>
          <w:b/>
          <w:color w:val="000000" w:themeColor="text1"/>
          <w:kern w:val="0"/>
          <w:szCs w:val="28"/>
        </w:rPr>
        <w:t>2.</w:t>
      </w:r>
      <w:r w:rsidR="0050618F">
        <w:rPr>
          <w:rFonts w:ascii="標楷體" w:eastAsia="標楷體" w:hAnsi="標楷體" w:hint="eastAsia"/>
          <w:b/>
          <w:color w:val="000000" w:themeColor="text1"/>
          <w:kern w:val="0"/>
          <w:szCs w:val="28"/>
        </w:rPr>
        <w:t xml:space="preserve">　</w:t>
      </w:r>
      <w:r w:rsidRPr="002A6A44">
        <w:rPr>
          <w:rFonts w:ascii="標楷體" w:eastAsia="標楷體" w:hAnsi="標楷體" w:hint="eastAsia"/>
          <w:b/>
          <w:color w:val="000000" w:themeColor="text1"/>
          <w:kern w:val="0"/>
          <w:szCs w:val="28"/>
        </w:rPr>
        <w:t>長年推動客家研究獎補助計畫，後續列入知識主流化相關工作項目，惟相關成果回饋於政策參考之應用性不足：</w:t>
      </w:r>
      <w:r w:rsidRPr="002A6A44">
        <w:rPr>
          <w:rFonts w:ascii="標楷體" w:eastAsia="標楷體" w:hAnsi="標楷體" w:hint="eastAsia"/>
          <w:color w:val="000000" w:themeColor="text1"/>
          <w:kern w:val="0"/>
          <w:szCs w:val="28"/>
        </w:rPr>
        <w:t>客家委員會自92年度起辦理客家學術研究相關獎補助作業，後續以「推動客家研究成為國家級客家知識體系」、「培育客家學術研究人才，建立客家知識體系交流平臺」作為達成「客家知識主流化」之策略，辦理補助大學校院發展客家學術機構、獎助客家學術與在地知識研究計畫、知識體系管理計畫、獎助客家研究優良博士論文等4個工作項目，以延續前揭獎補助作業，並由客家委員會遴聘專家學者組成之客家學術發展委員會負責獎補助計畫之審議及評核等事宜，另訂有客家委員會客家知識體系發展獎勵補助計畫管制督導要點</w:t>
      </w:r>
      <w:r w:rsidR="00C2362F" w:rsidRPr="00C2362F">
        <w:rPr>
          <w:rFonts w:ascii="標楷體" w:eastAsia="標楷體" w:hAnsi="標楷體" w:hint="eastAsia"/>
          <w:color w:val="000000" w:themeColor="text1"/>
          <w:kern w:val="0"/>
          <w:szCs w:val="28"/>
        </w:rPr>
        <w:t>（</w:t>
      </w:r>
      <w:r w:rsidRPr="002A6A44">
        <w:rPr>
          <w:rFonts w:ascii="標楷體" w:eastAsia="標楷體" w:hAnsi="標楷體" w:hint="eastAsia"/>
          <w:color w:val="000000" w:themeColor="text1"/>
          <w:kern w:val="0"/>
          <w:szCs w:val="28"/>
        </w:rPr>
        <w:t>下稱客家知識體系計畫督導要點</w:t>
      </w:r>
      <w:r w:rsidR="006C41C5" w:rsidRPr="006C41C5">
        <w:rPr>
          <w:rFonts w:ascii="標楷體" w:eastAsia="標楷體" w:hAnsi="標楷體" w:hint="eastAsia"/>
          <w:color w:val="000000" w:themeColor="text1"/>
          <w:kern w:val="0"/>
          <w:szCs w:val="28"/>
        </w:rPr>
        <w:t>）</w:t>
      </w:r>
      <w:r w:rsidRPr="002A6A44">
        <w:rPr>
          <w:rFonts w:ascii="標楷體" w:eastAsia="標楷體" w:hAnsi="標楷體" w:hint="eastAsia"/>
          <w:color w:val="000000" w:themeColor="text1"/>
          <w:kern w:val="0"/>
          <w:szCs w:val="28"/>
        </w:rPr>
        <w:t>，作為掌握研究計畫執行進度及成效之依據。經統計截至112年底止，該會已獎補助862件博碩士論文、679件個別型研究計畫、809件整合型研究計畫</w:t>
      </w:r>
      <w:r w:rsidRPr="002A6A44">
        <w:rPr>
          <w:rFonts w:ascii="標楷體" w:eastAsia="標楷體" w:hAnsi="標楷體"/>
          <w:color w:val="000000" w:themeColor="text1"/>
          <w:kern w:val="0"/>
          <w:szCs w:val="28"/>
        </w:rPr>
        <w:t>（含補助國內大專校院</w:t>
      </w:r>
      <w:r w:rsidRPr="002A6A44">
        <w:rPr>
          <w:rFonts w:ascii="標楷體" w:eastAsia="標楷體" w:hAnsi="標楷體" w:hint="eastAsia"/>
          <w:color w:val="000000" w:themeColor="text1"/>
          <w:kern w:val="0"/>
          <w:szCs w:val="28"/>
        </w:rPr>
        <w:t>系所辦理整合型研究計畫、交流</w:t>
      </w:r>
      <w:r w:rsidRPr="002A6A44">
        <w:rPr>
          <w:rFonts w:ascii="標楷體" w:eastAsia="標楷體" w:hAnsi="標楷體"/>
          <w:color w:val="000000" w:themeColor="text1"/>
          <w:kern w:val="0"/>
          <w:szCs w:val="28"/>
        </w:rPr>
        <w:t>活動</w:t>
      </w:r>
      <w:r w:rsidRPr="002A6A44">
        <w:rPr>
          <w:rFonts w:ascii="標楷體" w:eastAsia="標楷體" w:hAnsi="標楷體" w:hint="eastAsia"/>
          <w:color w:val="000000" w:themeColor="text1"/>
          <w:kern w:val="0"/>
          <w:szCs w:val="28"/>
        </w:rPr>
        <w:t>及</w:t>
      </w:r>
      <w:r w:rsidRPr="002A6A44">
        <w:rPr>
          <w:rFonts w:ascii="標楷體" w:eastAsia="標楷體" w:hAnsi="標楷體"/>
          <w:color w:val="000000" w:themeColor="text1"/>
          <w:kern w:val="0"/>
          <w:szCs w:val="28"/>
        </w:rPr>
        <w:t>開設課程</w:t>
      </w:r>
      <w:r w:rsidRPr="002A6A44">
        <w:rPr>
          <w:rFonts w:ascii="標楷體" w:eastAsia="標楷體" w:hAnsi="標楷體" w:hint="eastAsia"/>
          <w:color w:val="000000" w:themeColor="text1"/>
          <w:kern w:val="0"/>
          <w:szCs w:val="28"/>
        </w:rPr>
        <w:t>等</w:t>
      </w:r>
      <w:r w:rsidRPr="002A6A44">
        <w:rPr>
          <w:rFonts w:ascii="標楷體" w:eastAsia="標楷體" w:hAnsi="標楷體"/>
          <w:color w:val="000000" w:themeColor="text1"/>
          <w:kern w:val="0"/>
          <w:szCs w:val="28"/>
        </w:rPr>
        <w:t>）</w:t>
      </w:r>
      <w:r w:rsidRPr="002A6A44">
        <w:rPr>
          <w:rFonts w:ascii="標楷體" w:eastAsia="標楷體" w:hAnsi="標楷體" w:hint="eastAsia"/>
          <w:color w:val="000000" w:themeColor="text1"/>
          <w:kern w:val="0"/>
          <w:szCs w:val="28"/>
        </w:rPr>
        <w:t>。依據客家族群主流化計畫所列目標說明、執行策略及方法，「推動客家研究成為國家級客家知識體系」係透過客家知識體系建立理論基礎與分析架構，形成客家知識體系地圖；另將持續查核各項獎補助計畫執行情形及推動成效，及引導研究者於研究計畫規劃階段，研提切合客家施政之研究議題，以有效運用研究成果。客家委員會循上開執行方法，自108年起陸續</w:t>
      </w:r>
      <w:r w:rsidRPr="002A6A44">
        <w:rPr>
          <w:rFonts w:ascii="標楷體" w:eastAsia="標楷體" w:hAnsi="標楷體"/>
          <w:color w:val="000000" w:themeColor="text1"/>
          <w:kern w:val="0"/>
          <w:szCs w:val="28"/>
        </w:rPr>
        <w:t>依業務推動重點</w:t>
      </w:r>
      <w:r w:rsidRPr="002A6A44">
        <w:rPr>
          <w:rFonts w:ascii="標楷體" w:eastAsia="標楷體" w:hAnsi="標楷體" w:hint="eastAsia"/>
          <w:color w:val="000000" w:themeColor="text1"/>
          <w:kern w:val="0"/>
          <w:szCs w:val="28"/>
        </w:rPr>
        <w:t>徵求研究者申請</w:t>
      </w:r>
      <w:r w:rsidRPr="002A6A44">
        <w:rPr>
          <w:rFonts w:ascii="標楷體" w:eastAsia="標楷體" w:hAnsi="標楷體"/>
          <w:color w:val="000000" w:themeColor="text1"/>
          <w:kern w:val="0"/>
          <w:szCs w:val="28"/>
        </w:rPr>
        <w:t>契合年度重點</w:t>
      </w:r>
      <w:r w:rsidRPr="002A6A44">
        <w:rPr>
          <w:rFonts w:ascii="標楷體" w:eastAsia="標楷體" w:hAnsi="標楷體" w:hint="eastAsia"/>
          <w:color w:val="000000" w:themeColor="text1"/>
          <w:kern w:val="0"/>
          <w:szCs w:val="28"/>
        </w:rPr>
        <w:t>研究項目之整合型及個別型研究計畫，並依客家知識體系計</w:t>
      </w:r>
      <w:r w:rsidRPr="00CF4BAD">
        <w:rPr>
          <w:rFonts w:ascii="標楷體" w:eastAsia="標楷體" w:hAnsi="標楷體" w:hint="eastAsia"/>
          <w:color w:val="000000" w:themeColor="text1"/>
          <w:kern w:val="0"/>
          <w:szCs w:val="28"/>
        </w:rPr>
        <w:t>畫督導要點控管計畫執行進度。經查，客家委員會衡量前揭目標發展「國家級客家知識體系」</w:t>
      </w:r>
      <w:r w:rsidRPr="002A6A44">
        <w:rPr>
          <w:rFonts w:ascii="標楷體" w:eastAsia="標楷體" w:hAnsi="標楷體" w:hint="eastAsia"/>
          <w:color w:val="000000" w:themeColor="text1"/>
          <w:kern w:val="0"/>
          <w:szCs w:val="28"/>
        </w:rPr>
        <w:t>之達成進</w:t>
      </w:r>
      <w:r w:rsidRPr="002A6A44">
        <w:rPr>
          <w:rFonts w:ascii="標楷體" w:eastAsia="標楷體" w:hAnsi="標楷體" w:hint="eastAsia"/>
          <w:color w:val="000000" w:themeColor="text1"/>
          <w:kern w:val="0"/>
          <w:szCs w:val="28"/>
        </w:rPr>
        <w:lastRenderedPageBreak/>
        <w:t>度，係透過檢視輔導研究成果刊登國際學術期刊數量，惟個別研究成果之積累對於客家委員會期望建構客家知識體系之理論基礎與分析架構，尚乏具體連結，無</w:t>
      </w:r>
      <w:r w:rsidR="00CF4BAD">
        <w:rPr>
          <w:rFonts w:ascii="標楷體" w:eastAsia="標楷體" w:hAnsi="標楷體" w:hint="eastAsia"/>
          <w:color w:val="000000" w:themeColor="text1"/>
          <w:kern w:val="0"/>
          <w:szCs w:val="28"/>
        </w:rPr>
        <w:t>從</w:t>
      </w:r>
      <w:r w:rsidRPr="002A6A44">
        <w:rPr>
          <w:rFonts w:ascii="標楷體" w:eastAsia="標楷體" w:hAnsi="標楷體" w:hint="eastAsia"/>
          <w:color w:val="000000" w:themeColor="text1"/>
          <w:kern w:val="0"/>
          <w:szCs w:val="28"/>
        </w:rPr>
        <w:t>追蹤瞭解補助案件研究成果回饋作為發展客家知識體系之貢獻程度。又依客家委員會客家學術發展委員會設置要點第</w:t>
      </w:r>
      <w:r w:rsidRPr="002A6A44">
        <w:rPr>
          <w:rFonts w:ascii="標楷體" w:eastAsia="標楷體" w:hAnsi="標楷體"/>
          <w:color w:val="000000" w:themeColor="text1"/>
          <w:kern w:val="0"/>
          <w:szCs w:val="28"/>
        </w:rPr>
        <w:t>6點規定</w:t>
      </w:r>
      <w:r w:rsidRPr="002A6A44">
        <w:rPr>
          <w:rFonts w:ascii="標楷體" w:eastAsia="標楷體" w:hAnsi="標楷體" w:hint="eastAsia"/>
          <w:color w:val="000000" w:themeColor="text1"/>
          <w:kern w:val="0"/>
          <w:szCs w:val="28"/>
        </w:rPr>
        <w:t>，為辦理計畫執行成果檢核，該委員會委員得視需要參與客家委員會辦理之評鑑工作等，惟截至</w:t>
      </w:r>
      <w:r w:rsidRPr="002A6A44">
        <w:rPr>
          <w:rFonts w:ascii="標楷體" w:eastAsia="標楷體" w:hAnsi="標楷體"/>
          <w:color w:val="000000" w:themeColor="text1"/>
          <w:kern w:val="0"/>
          <w:szCs w:val="28"/>
        </w:rPr>
        <w:t>112年12月8日</w:t>
      </w:r>
      <w:r w:rsidRPr="002A6A44">
        <w:rPr>
          <w:rFonts w:ascii="標楷體" w:eastAsia="標楷體" w:hAnsi="標楷體" w:hint="eastAsia"/>
          <w:color w:val="000000" w:themeColor="text1"/>
          <w:kern w:val="0"/>
          <w:szCs w:val="28"/>
        </w:rPr>
        <w:t>止，客家委員會尚未訂定相關評鑑實施計畫以檢核客家研究補助案件成果，顯未能發揮成立客家學術發展委員會之功能，難以有效考核補助客家研究計畫之成果。復按歐盟之歐洲研究委員會（European Research Council, ERC）探討補助研究計畫之執行成效時，係分別以整體評估及分項獨立評估設計共10項評估問題，並針對每項問題設計評估量尺，以衡量研究之預期目標達成程度、研究之發現或成果對重要知識之推進、或對經濟、社會及政策制定效益之影響程度等。鑑於透過補助研究計畫執行成效之評估，有利於全面瞭解計畫產生效益及與各面向相關性，並將分析結果回饋至客家政策制定及規劃等，且據客家委員會檢視92至109年度之2</w:t>
      </w:r>
      <w:r w:rsidRPr="002A6A44">
        <w:rPr>
          <w:rFonts w:ascii="標楷體" w:eastAsia="標楷體" w:hAnsi="標楷體"/>
          <w:color w:val="000000" w:themeColor="text1"/>
          <w:kern w:val="0"/>
          <w:szCs w:val="28"/>
        </w:rPr>
        <w:t>,</w:t>
      </w:r>
      <w:r w:rsidRPr="002A6A44">
        <w:rPr>
          <w:rFonts w:ascii="標楷體" w:eastAsia="標楷體" w:hAnsi="標楷體" w:hint="eastAsia"/>
          <w:color w:val="000000" w:themeColor="text1"/>
          <w:kern w:val="0"/>
          <w:szCs w:val="28"/>
        </w:rPr>
        <w:t>022件獎補助案件結果說明，歷年獎補助案件多為資料堆砌型之研究分析，能提出實質具體建議之研究結果有限，且</w:t>
      </w:r>
      <w:r w:rsidRPr="002A6A44">
        <w:rPr>
          <w:rFonts w:ascii="標楷體" w:eastAsia="標楷體" w:hAnsi="標楷體"/>
          <w:color w:val="000000" w:themeColor="text1"/>
          <w:kern w:val="0"/>
          <w:szCs w:val="28"/>
        </w:rPr>
        <w:t>民間單位或文史工作者</w:t>
      </w:r>
      <w:r w:rsidRPr="002A6A44">
        <w:rPr>
          <w:rFonts w:ascii="標楷體" w:eastAsia="標楷體" w:hAnsi="標楷體" w:hint="eastAsia"/>
          <w:color w:val="000000" w:themeColor="text1"/>
          <w:kern w:val="0"/>
          <w:szCs w:val="28"/>
        </w:rPr>
        <w:t>之</w:t>
      </w:r>
      <w:r w:rsidRPr="002A6A44">
        <w:rPr>
          <w:rFonts w:ascii="標楷體" w:eastAsia="標楷體" w:hAnsi="標楷體"/>
          <w:color w:val="000000" w:themeColor="text1"/>
          <w:kern w:val="0"/>
          <w:szCs w:val="28"/>
        </w:rPr>
        <w:t>研究資料缺乏系統性及邏輯概念</w:t>
      </w:r>
      <w:r w:rsidRPr="002A6A44">
        <w:rPr>
          <w:rFonts w:ascii="標楷體" w:eastAsia="標楷體" w:hAnsi="標楷體" w:hint="eastAsia"/>
          <w:color w:val="000000" w:themeColor="text1"/>
          <w:kern w:val="0"/>
          <w:szCs w:val="28"/>
        </w:rPr>
        <w:t>等狀況，凸顯客家委員會長期推動客家研究補助案件成果回饋於政策參考之應用性不足。經函請客家委員會參酌ERC評估機制，結合我國實務需求，建立具可操作性及可評估性之追蹤機制，以瞭解補助案件研究成果回饋作為發展客家知識體系之貢獻程度，俾逐步完善建構客家知識體系，及提供相關資訊作為施政重要參據，進而</w:t>
      </w:r>
      <w:r w:rsidRPr="002A6A44">
        <w:rPr>
          <w:rFonts w:ascii="標楷體" w:eastAsia="標楷體" w:hAnsi="標楷體"/>
          <w:color w:val="000000" w:themeColor="text1"/>
          <w:kern w:val="0"/>
          <w:szCs w:val="28"/>
        </w:rPr>
        <w:t>厚植客家行政事務推動之根基</w:t>
      </w:r>
      <w:r w:rsidRPr="002A6A44">
        <w:rPr>
          <w:rFonts w:ascii="標楷體" w:eastAsia="標楷體" w:hAnsi="標楷體" w:hint="eastAsia"/>
          <w:color w:val="000000" w:themeColor="text1"/>
          <w:kern w:val="0"/>
          <w:szCs w:val="28"/>
        </w:rPr>
        <w:t>。據復：為擴大檢核客家知識體系整體推動成效，已修正成果產出及建議反饋之複合型綜合績效指標，以全面檢視客家知識體系發展成果，至於有關建議參酌ERC評估架構，建立追蹤機制，將另案研議可行性。</w:t>
      </w:r>
    </w:p>
    <w:p w14:paraId="7771AF9D" w14:textId="55690738" w:rsidR="001633EC" w:rsidRPr="001633EC" w:rsidRDefault="001633EC" w:rsidP="00683C75">
      <w:pPr>
        <w:overflowPunct w:val="0"/>
        <w:spacing w:line="460" w:lineRule="exact"/>
        <w:ind w:firstLineChars="200" w:firstLine="561"/>
        <w:jc w:val="both"/>
        <w:outlineLvl w:val="1"/>
        <w:rPr>
          <w:rFonts w:ascii="標楷體" w:eastAsia="標楷體" w:hAnsi="標楷體"/>
          <w:color w:val="0D0D0D" w:themeColor="text1" w:themeTint="F2"/>
          <w:szCs w:val="24"/>
        </w:rPr>
      </w:pPr>
      <w:r w:rsidRPr="001633EC">
        <w:rPr>
          <w:rFonts w:ascii="標楷體" w:eastAsia="標楷體" w:hAnsi="標楷體" w:hint="eastAsia"/>
          <w:b/>
          <w:color w:val="000000" w:themeColor="text1"/>
          <w:sz w:val="28"/>
          <w:szCs w:val="28"/>
        </w:rPr>
        <w:t>（</w:t>
      </w:r>
      <w:r>
        <w:rPr>
          <w:rFonts w:ascii="標楷體" w:eastAsia="標楷體" w:hAnsi="標楷體" w:hint="eastAsia"/>
          <w:b/>
          <w:color w:val="000000" w:themeColor="text1"/>
          <w:sz w:val="28"/>
          <w:szCs w:val="28"/>
        </w:rPr>
        <w:t>三十</w:t>
      </w:r>
      <w:r w:rsidR="00781889">
        <w:rPr>
          <w:rFonts w:ascii="標楷體" w:eastAsia="標楷體" w:hAnsi="標楷體" w:hint="eastAsia"/>
          <w:b/>
          <w:color w:val="000000" w:themeColor="text1"/>
          <w:sz w:val="28"/>
          <w:szCs w:val="28"/>
        </w:rPr>
        <w:t>一</w:t>
      </w:r>
      <w:r w:rsidRPr="001633EC">
        <w:rPr>
          <w:rFonts w:ascii="標楷體" w:eastAsia="標楷體" w:hAnsi="標楷體" w:hint="eastAsia"/>
          <w:b/>
          <w:color w:val="000000" w:themeColor="text1"/>
          <w:sz w:val="28"/>
          <w:szCs w:val="28"/>
        </w:rPr>
        <w:t>）</w:t>
      </w:r>
      <w:r w:rsidRPr="001633EC">
        <w:rPr>
          <w:rFonts w:ascii="標楷體" w:eastAsia="標楷體" w:hAnsi="標楷體" w:hint="eastAsia"/>
          <w:b/>
          <w:bCs/>
          <w:color w:val="0D0D0D" w:themeColor="text1" w:themeTint="F2"/>
          <w:sz w:val="28"/>
          <w:szCs w:val="28"/>
        </w:rPr>
        <w:t xml:space="preserve">　政府推動「向山致敬」、「向海致敬」政策，開放山林及鼓勵民眾親近海洋，為提升山區及海上意外事故搜救效率，已建置無線電示標管理資訊系統，惟相關設備登錄及管理機制有欠完善、主管機關檢查權責亦未盡明確，允宜督促研謀妥處，以確保船舶航行及民眾生命安全。</w:t>
      </w:r>
    </w:p>
    <w:p w14:paraId="5F6B0A93" w14:textId="77777777" w:rsidR="001633EC" w:rsidRPr="001633EC" w:rsidRDefault="001633EC" w:rsidP="00683C75">
      <w:pPr>
        <w:overflowPunct w:val="0"/>
        <w:spacing w:line="460" w:lineRule="exact"/>
        <w:ind w:firstLineChars="200" w:firstLine="480"/>
        <w:jc w:val="both"/>
        <w:rPr>
          <w:rFonts w:ascii="標楷體" w:eastAsia="標楷體" w:hAnsi="標楷體" w:cstheme="minorBidi"/>
          <w:color w:val="000000" w:themeColor="text1"/>
          <w:szCs w:val="24"/>
        </w:rPr>
      </w:pPr>
      <w:r w:rsidRPr="001633EC">
        <w:rPr>
          <w:rFonts w:ascii="標楷體" w:eastAsia="標楷體" w:hAnsi="標楷體" w:hint="eastAsia"/>
          <w:color w:val="000000" w:themeColor="text1"/>
          <w:szCs w:val="24"/>
        </w:rPr>
        <w:t>行政院於108及109年提出「向山致敬」、「向海致敬」政策，以開放、透明、服務、教育及責任為政策主軸，推動「敬山、進山、淨山」與「知海、近海、進海及淨海」等工作，開放山林及鼓勵民眾親近海洋。交通部航港局配合相關政策，已建置無線電示標管理資訊系統（下稱示標管理系統），支援辦理無線電示標註冊、審核及管理查詢等作業，以簡化行政程序及提升搜救作業效率，確保偏遠地區或山區活動民眾、海上作業船舶及工作人員安全。經查相關權責機關辦理無線電示標管理及設備檢查情形，核有下列事項：</w:t>
      </w:r>
    </w:p>
    <w:p w14:paraId="2881A303" w14:textId="3946DA58" w:rsidR="001633EC" w:rsidRPr="001633EC" w:rsidRDefault="001633EC" w:rsidP="00683C75">
      <w:pPr>
        <w:overflowPunct w:val="0"/>
        <w:spacing w:line="460" w:lineRule="exact"/>
        <w:ind w:firstLineChars="450" w:firstLine="1081"/>
        <w:jc w:val="both"/>
        <w:rPr>
          <w:rFonts w:ascii="標楷體" w:eastAsia="標楷體" w:hAnsi="標楷體" w:cstheme="minorBidi"/>
          <w:szCs w:val="24"/>
          <w:shd w:val="pct15" w:color="auto" w:fill="FFFFFF"/>
        </w:rPr>
      </w:pPr>
      <w:r w:rsidRPr="00CF4BAD">
        <w:rPr>
          <w:rFonts w:ascii="標楷體" w:eastAsia="標楷體" w:hAnsi="標楷體" w:cstheme="minorBidi" w:hint="eastAsia"/>
          <w:b/>
          <w:bCs/>
          <w:szCs w:val="24"/>
        </w:rPr>
        <w:t>1.</w:t>
      </w:r>
      <w:r w:rsidRPr="00CF4BAD">
        <w:rPr>
          <w:rFonts w:ascii="標楷體" w:eastAsia="標楷體" w:hAnsi="標楷體" w:cstheme="minorBidi" w:hint="eastAsia"/>
          <w:b/>
          <w:color w:val="000000" w:themeColor="text1"/>
          <w:szCs w:val="24"/>
        </w:rPr>
        <w:t xml:space="preserve">　</w:t>
      </w:r>
      <w:r w:rsidRPr="00CF4BAD">
        <w:rPr>
          <w:rFonts w:ascii="標楷體" w:eastAsia="標楷體" w:hAnsi="標楷體" w:cstheme="minorBidi" w:hint="eastAsia"/>
          <w:b/>
          <w:bCs/>
          <w:szCs w:val="24"/>
        </w:rPr>
        <w:t>無線電示標登錄比率偏低，且電信及船舶主管機關登錄或列管資訊存有重大差</w:t>
      </w:r>
      <w:r w:rsidRPr="001633EC">
        <w:rPr>
          <w:rFonts w:ascii="標楷體" w:eastAsia="標楷體" w:hAnsi="標楷體" w:cstheme="minorBidi" w:hint="eastAsia"/>
          <w:b/>
          <w:bCs/>
          <w:szCs w:val="24"/>
        </w:rPr>
        <w:lastRenderedPageBreak/>
        <w:t>異，又漁民安裝使用之安全意識不足，增加海上事故搜救時效風險，不利提升救援效率：</w:t>
      </w:r>
      <w:r w:rsidRPr="001633EC">
        <w:rPr>
          <w:rFonts w:ascii="標楷體" w:eastAsia="標楷體" w:hAnsi="標楷體" w:cstheme="minorBidi" w:hint="eastAsia"/>
          <w:szCs w:val="24"/>
        </w:rPr>
        <w:t>依電信管制射頻器材管理辦法第10條之1第2項規定，為使用而持有器材者，應向交通部航港局登錄器材識別碼、個人及其緊急聯絡人之聯絡電話等資訊，其器材毀損、汰換或終止使用，或登錄資訊異動時，亦同。交通部航港局於111年3月建置示標管理系統，針對船舶應急指位無線電示標（Emergency Position Indicating Radio Beacon, EPIRB）、個人指位無線電示標（Personal Locator Beacon, PLB）新增或異動資料進行納管及審核，並自動將資料同步登錄至國際衛星輔助搜救組織（C</w:t>
      </w:r>
      <w:r w:rsidRPr="001633EC">
        <w:rPr>
          <w:rFonts w:ascii="標楷體" w:eastAsia="標楷體" w:hAnsi="標楷體" w:cstheme="minorBidi"/>
          <w:szCs w:val="24"/>
        </w:rPr>
        <w:t>ospas</w:t>
      </w:r>
      <w:r w:rsidR="00A658B6">
        <w:rPr>
          <w:rFonts w:ascii="標楷體" w:eastAsia="標楷體" w:hAnsi="標楷體" w:cstheme="minorBidi" w:hint="eastAsia"/>
          <w:szCs w:val="24"/>
        </w:rPr>
        <w:t>-</w:t>
      </w:r>
      <w:r w:rsidRPr="001633EC">
        <w:rPr>
          <w:rFonts w:ascii="標楷體" w:eastAsia="標楷體" w:hAnsi="標楷體" w:cstheme="minorBidi" w:hint="eastAsia"/>
          <w:szCs w:val="24"/>
        </w:rPr>
        <w:t>S</w:t>
      </w:r>
      <w:r w:rsidRPr="001633EC">
        <w:rPr>
          <w:rFonts w:ascii="標楷體" w:eastAsia="標楷體" w:hAnsi="標楷體" w:cstheme="minorBidi"/>
          <w:szCs w:val="24"/>
        </w:rPr>
        <w:t>arsat</w:t>
      </w:r>
      <w:r w:rsidRPr="001633EC">
        <w:rPr>
          <w:rFonts w:ascii="標楷體" w:eastAsia="標楷體" w:hAnsi="標楷體" w:cstheme="minorBidi" w:hint="eastAsia"/>
          <w:szCs w:val="24"/>
        </w:rPr>
        <w:t>）之國際示標註冊資料庫，當船舶發生緊急情況，或PLB持有者於行動電話涵蓋範圍外之海域、山區遇險時，可透過無線電示標發送求救信號，經國際衛星輔助搜救組織之衛星系統接收，傳送至地面接收站，再由臺北任務管制中心確認後，通報行政院國家搜救指揮中心，以迅速展開搜救作業，惟無線電示標持有者如未向交通部航港局辦理相關資訊登錄，臺北任務管制中心接收其求救訊號後須再費時確認E</w:t>
      </w:r>
      <w:r w:rsidRPr="001633EC">
        <w:rPr>
          <w:rFonts w:ascii="標楷體" w:eastAsia="標楷體" w:hAnsi="標楷體" w:cstheme="minorBidi"/>
          <w:szCs w:val="24"/>
        </w:rPr>
        <w:t>PIRB</w:t>
      </w:r>
      <w:r w:rsidRPr="001633EC">
        <w:rPr>
          <w:rFonts w:ascii="標楷體" w:eastAsia="標楷體" w:hAnsi="標楷體" w:cstheme="minorBidi" w:hint="eastAsia"/>
          <w:szCs w:val="24"/>
        </w:rPr>
        <w:t>、PLB持有者資料及救援需求，將影響搜救時效或造成搜救資源浪費。經查截至113年3月底止，示標管理系統登錄之EPIRB及PLB資訊分別為1,304件及1,919件，其中EPIRB登錄數僅占交通部航港局列管已裝設船舶4,635艘之28.13％，占比偏低，又據國家通訊傳播委員會系統資料，該會截至113年3月底已核發裝設EPIRB之船舶無線電臺證書計3,435筆，與交通部航港局列管已裝設船舶之數量差異達1,200筆，顯示該2機關未共享系統資訊，並定期勾稽比對EPIRB登錄數據，以分析有無異常，且PLB經國家通訊傳播委員會型式認證後，該會未列管相關資料，後續亦無權責單位追蹤登錄於示標管理系統情形，恐影響</w:t>
      </w:r>
      <w:r w:rsidR="009914B0">
        <w:rPr>
          <w:rFonts w:ascii="標楷體" w:eastAsia="標楷體" w:hAnsi="標楷體" w:cstheme="minorBidi" w:hint="eastAsia"/>
          <w:szCs w:val="24"/>
        </w:rPr>
        <w:t>及</w:t>
      </w:r>
      <w:r w:rsidRPr="001633EC">
        <w:rPr>
          <w:rFonts w:ascii="標楷體" w:eastAsia="標楷體" w:hAnsi="標楷體" w:cstheme="minorBidi" w:hint="eastAsia"/>
          <w:szCs w:val="24"/>
        </w:rPr>
        <w:t>時救援功能。另依海洋委員會海巡署統計資料，108至112年度發生之海上事故中，漁船、漁筏約占6成至8成，據國家運輸安全調查委員會「1120219聯昇發漁船印度洋翻覆事故報告」指出，農業部漁業署成立之娛樂漁業漁船安全輔導小組（成員尚包括交通部航港局、國家通訊傳播委員會、海洋委員會海巡署、當地地方政府及漁會等），辦理該類漁船現地抽查作業結果，</w:t>
      </w:r>
      <w:r w:rsidRPr="00683C75">
        <w:rPr>
          <w:rFonts w:ascii="標楷體" w:eastAsia="標楷體" w:hAnsi="標楷體" w:cstheme="minorBidi" w:hint="eastAsia"/>
          <w:spacing w:val="4"/>
          <w:szCs w:val="24"/>
        </w:rPr>
        <w:t>105至110年涉及EPIRB之缺失計有64項，包含未安裝、訊號異常、故障、釋放器過期、電池沒電、未架設固定架或位置不適當等，顯示我國船舶於正確安裝及使用EPIRB之安全意識不足，增加海上事故搜救時效風險</w:t>
      </w:r>
      <w:r w:rsidR="00F3102C">
        <w:rPr>
          <w:rFonts w:ascii="標楷體" w:eastAsia="標楷體" w:hAnsi="標楷體" w:cstheme="minorBidi" w:hint="eastAsia"/>
          <w:spacing w:val="4"/>
          <w:szCs w:val="24"/>
        </w:rPr>
        <w:t>。</w:t>
      </w:r>
      <w:r w:rsidRPr="00683C75">
        <w:rPr>
          <w:rFonts w:ascii="標楷體" w:eastAsia="標楷體" w:hAnsi="標楷體" w:cstheme="minorBidi" w:hint="eastAsia"/>
          <w:spacing w:val="4"/>
          <w:szCs w:val="24"/>
        </w:rPr>
        <w:t>經函請行政院</w:t>
      </w:r>
      <w:r w:rsidRPr="00683C75">
        <w:rPr>
          <w:rFonts w:ascii="標楷體" w:eastAsia="標楷體" w:hAnsi="標楷體" w:cs="新細明體" w:hint="eastAsia"/>
          <w:bCs/>
          <w:spacing w:val="4"/>
          <w:szCs w:val="24"/>
        </w:rPr>
        <w:t>督促交通部航港局、國家通訊傳播委員會、農業部漁業署等相關權責機關研議因應措施，強化無線電示標之登錄及管理機制，暨漁民使用EPIRB之安全意識，以善用搜救資源提升救援效率</w:t>
      </w:r>
      <w:r w:rsidRPr="001633EC">
        <w:rPr>
          <w:rFonts w:ascii="標楷體" w:eastAsia="標楷體" w:hAnsi="標楷體" w:cstheme="minorBidi" w:hint="eastAsia"/>
          <w:szCs w:val="24"/>
        </w:rPr>
        <w:t>。</w:t>
      </w:r>
      <w:r w:rsidR="006E131B" w:rsidRPr="006E131B">
        <w:rPr>
          <w:rFonts w:ascii="標楷體" w:eastAsia="標楷體" w:hAnsi="標楷體" w:cstheme="minorBidi" w:hint="eastAsia"/>
          <w:szCs w:val="24"/>
        </w:rPr>
        <w:t>據復：交通部航港局船舶裝設EPIRB查詢系統（MTNet）已與國家通訊傳播委員會通訊傳播管理資訊系統完成介接，加強資訊分享機制；農業部漁業署已製作圖卡及影片，並於漁船船員相關訓練課程加強正確安裝及使用EPIRB之宣導。另國家通訊傳播委員會將持續要求PLB持有者依規定辦理資訊登錄事宜，並加強電臺執照審核。</w:t>
      </w:r>
    </w:p>
    <w:p w14:paraId="63209232" w14:textId="4880C486" w:rsidR="00683C75" w:rsidRDefault="004E39A0" w:rsidP="004D7C92">
      <w:pPr>
        <w:overflowPunct w:val="0"/>
        <w:spacing w:line="450" w:lineRule="exact"/>
        <w:ind w:firstLineChars="450" w:firstLine="1080"/>
        <w:jc w:val="both"/>
        <w:rPr>
          <w:rFonts w:ascii="標楷體" w:eastAsia="標楷體" w:hAnsi="標楷體" w:cstheme="minorBidi"/>
          <w:bCs/>
          <w:szCs w:val="24"/>
          <w:shd w:val="pct15" w:color="auto" w:fill="FFFFFF"/>
        </w:rPr>
      </w:pPr>
      <w:r w:rsidRPr="001633EC">
        <w:rPr>
          <w:rFonts w:ascii="新細明體" w:eastAsiaTheme="minorEastAsia" w:hAnsi="新細明體" w:cs="新細明體"/>
          <w:noProof/>
          <w:kern w:val="0"/>
          <w:szCs w:val="24"/>
        </w:rPr>
        <w:lastRenderedPageBreak/>
        <mc:AlternateContent>
          <mc:Choice Requires="wps">
            <w:drawing>
              <wp:anchor distT="0" distB="0" distL="114300" distR="114300" simplePos="0" relativeHeight="251651072" behindDoc="0" locked="0" layoutInCell="1" allowOverlap="1" wp14:anchorId="09660E63" wp14:editId="764720A0">
                <wp:simplePos x="0" y="0"/>
                <wp:positionH relativeFrom="margin">
                  <wp:posOffset>2583180</wp:posOffset>
                </wp:positionH>
                <wp:positionV relativeFrom="page">
                  <wp:posOffset>5893435</wp:posOffset>
                </wp:positionV>
                <wp:extent cx="3718800" cy="2790000"/>
                <wp:effectExtent l="0" t="0" r="0" b="0"/>
                <wp:wrapSquare wrapText="bothSides"/>
                <wp:docPr id="307" name="文字方塊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8800" cy="2790000"/>
                        </a:xfrm>
                        <a:prstGeom prst="rect">
                          <a:avLst/>
                        </a:prstGeom>
                        <a:solidFill>
                          <a:srgbClr val="FFFFFF"/>
                        </a:solidFill>
                        <a:ln w="9525">
                          <a:noFill/>
                          <a:miter lim="800000"/>
                          <a:headEnd/>
                          <a:tailEnd/>
                        </a:ln>
                      </wps:spPr>
                      <wps:txbx>
                        <w:txbxContent>
                          <w:tbl>
                            <w:tblPr>
                              <w:tblStyle w:val="201"/>
                              <w:tblW w:w="5529" w:type="dxa"/>
                              <w:tblInd w:w="0" w:type="dxa"/>
                              <w:tblLook w:val="04A0" w:firstRow="1" w:lastRow="0" w:firstColumn="1" w:lastColumn="0" w:noHBand="0" w:noVBand="1"/>
                            </w:tblPr>
                            <w:tblGrid>
                              <w:gridCol w:w="709"/>
                              <w:gridCol w:w="4820"/>
                            </w:tblGrid>
                            <w:tr w:rsidR="00A0212B" w14:paraId="21563568" w14:textId="77777777" w:rsidTr="0071716B">
                              <w:trPr>
                                <w:trHeight w:val="285"/>
                              </w:trPr>
                              <w:tc>
                                <w:tcPr>
                                  <w:tcW w:w="5529" w:type="dxa"/>
                                  <w:gridSpan w:val="2"/>
                                  <w:tcBorders>
                                    <w:top w:val="nil"/>
                                    <w:left w:val="nil"/>
                                    <w:bottom w:val="single" w:sz="4" w:space="0" w:color="auto"/>
                                    <w:right w:val="nil"/>
                                  </w:tcBorders>
                                  <w:vAlign w:val="center"/>
                                  <w:hideMark/>
                                </w:tcPr>
                                <w:p w14:paraId="55C929D2" w14:textId="52FB1367" w:rsidR="00A0212B" w:rsidRDefault="00A0212B">
                                  <w:pPr>
                                    <w:spacing w:line="0" w:lineRule="atLeast"/>
                                    <w:ind w:leftChars="-11" w:left="773" w:hangingChars="350" w:hanging="799"/>
                                    <w:jc w:val="both"/>
                                    <w:rPr>
                                      <w:rFonts w:ascii="標楷體" w:eastAsia="標楷體" w:hAnsi="標楷體"/>
                                      <w:szCs w:val="24"/>
                                    </w:rPr>
                                  </w:pPr>
                                  <w:r>
                                    <w:rPr>
                                      <w:rFonts w:ascii="標楷體" w:eastAsia="標楷體" w:hAnsi="標楷體" w:hint="eastAsia"/>
                                      <w:b/>
                                      <w:spacing w:val="-6"/>
                                      <w:szCs w:val="24"/>
                                    </w:rPr>
                                    <w:t>表</w:t>
                                  </w:r>
                                  <w:r>
                                    <w:rPr>
                                      <w:rFonts w:ascii="標楷體" w:eastAsia="標楷體" w:hAnsi="標楷體"/>
                                      <w:b/>
                                      <w:spacing w:val="-6"/>
                                      <w:szCs w:val="24"/>
                                    </w:rPr>
                                    <w:t>39</w:t>
                                  </w:r>
                                  <w:r>
                                    <w:rPr>
                                      <w:rFonts w:ascii="標楷體" w:eastAsia="標楷體" w:hAnsi="標楷體" w:hint="eastAsia"/>
                                      <w:b/>
                                      <w:spacing w:val="-6"/>
                                      <w:szCs w:val="24"/>
                                    </w:rPr>
                                    <w:t xml:space="preserve">　</w:t>
                                  </w:r>
                                  <w:r>
                                    <w:rPr>
                                      <w:rFonts w:ascii="標楷體" w:eastAsia="標楷體" w:hAnsi="標楷體" w:hint="eastAsia"/>
                                      <w:b/>
                                      <w:spacing w:val="-8"/>
                                      <w:szCs w:val="24"/>
                                    </w:rPr>
                                    <w:t>我國船舶無線電臺相關規範尚未納入國際海事組織（I</w:t>
                                  </w:r>
                                  <w:r>
                                    <w:rPr>
                                      <w:rFonts w:ascii="標楷體" w:eastAsia="標楷體" w:hAnsi="標楷體"/>
                                      <w:b/>
                                      <w:spacing w:val="-8"/>
                                      <w:szCs w:val="24"/>
                                    </w:rPr>
                                    <w:t>MO</w:t>
                                  </w:r>
                                  <w:r>
                                    <w:rPr>
                                      <w:rFonts w:ascii="標楷體" w:eastAsia="標楷體" w:hAnsi="標楷體" w:hint="eastAsia"/>
                                      <w:b/>
                                      <w:spacing w:val="-8"/>
                                      <w:szCs w:val="24"/>
                                    </w:rPr>
                                    <w:t>）EPIRB檢查項目情形</w:t>
                                  </w:r>
                                </w:p>
                              </w:tc>
                            </w:tr>
                            <w:tr w:rsidR="00A0212B" w14:paraId="0845E296" w14:textId="77777777" w:rsidTr="0071716B">
                              <w:trPr>
                                <w:trHeight w:val="285"/>
                              </w:trPr>
                              <w:tc>
                                <w:tcPr>
                                  <w:tcW w:w="709" w:type="dxa"/>
                                  <w:tcBorders>
                                    <w:top w:val="single" w:sz="4" w:space="0" w:color="auto"/>
                                    <w:left w:val="single" w:sz="4" w:space="0" w:color="auto"/>
                                    <w:bottom w:val="single" w:sz="4" w:space="0" w:color="auto"/>
                                    <w:right w:val="single" w:sz="4" w:space="0" w:color="auto"/>
                                  </w:tcBorders>
                                  <w:vAlign w:val="center"/>
                                  <w:hideMark/>
                                </w:tcPr>
                                <w:p w14:paraId="034BA1A3" w14:textId="77777777" w:rsidR="00A0212B" w:rsidRPr="000D2B78"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項次</w:t>
                                  </w:r>
                                </w:p>
                              </w:tc>
                              <w:tc>
                                <w:tcPr>
                                  <w:tcW w:w="4820" w:type="dxa"/>
                                  <w:tcBorders>
                                    <w:top w:val="single" w:sz="4" w:space="0" w:color="auto"/>
                                    <w:left w:val="single" w:sz="4" w:space="0" w:color="auto"/>
                                    <w:bottom w:val="single" w:sz="4" w:space="0" w:color="auto"/>
                                    <w:right w:val="single" w:sz="4" w:space="0" w:color="auto"/>
                                  </w:tcBorders>
                                  <w:vAlign w:val="center"/>
                                </w:tcPr>
                                <w:p w14:paraId="0784AF4D" w14:textId="77777777" w:rsidR="00A0212B" w:rsidRPr="000D2B78"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未納入項目</w:t>
                                  </w:r>
                                </w:p>
                              </w:tc>
                            </w:tr>
                            <w:tr w:rsidR="00A0212B" w14:paraId="0BF92633"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hideMark/>
                                </w:tcPr>
                                <w:p w14:paraId="7C125525" w14:textId="77777777" w:rsidR="00A0212B" w:rsidRPr="000D2B78" w:rsidRDefault="00A0212B" w:rsidP="0071716B">
                                  <w:pPr>
                                    <w:spacing w:line="0" w:lineRule="atLeast"/>
                                    <w:jc w:val="center"/>
                                    <w:rPr>
                                      <w:rFonts w:ascii="標楷體" w:eastAsia="標楷體" w:hAnsi="標楷體"/>
                                      <w:sz w:val="20"/>
                                      <w:szCs w:val="20"/>
                                    </w:rPr>
                                  </w:pPr>
                                  <w:r>
                                    <w:rPr>
                                      <w:rFonts w:ascii="標楷體" w:eastAsia="標楷體" w:hAnsi="標楷體"/>
                                      <w:sz w:val="20"/>
                                      <w:szCs w:val="20"/>
                                    </w:rPr>
                                    <w:t>1</w:t>
                                  </w:r>
                                </w:p>
                              </w:tc>
                              <w:tc>
                                <w:tcPr>
                                  <w:tcW w:w="4820" w:type="dxa"/>
                                  <w:tcBorders>
                                    <w:top w:val="single" w:sz="4" w:space="0" w:color="auto"/>
                                    <w:left w:val="single" w:sz="4" w:space="0" w:color="auto"/>
                                    <w:bottom w:val="single" w:sz="4" w:space="0" w:color="auto"/>
                                    <w:right w:val="single" w:sz="4" w:space="0" w:color="auto"/>
                                  </w:tcBorders>
                                  <w:vAlign w:val="center"/>
                                </w:tcPr>
                                <w:p w14:paraId="66595405" w14:textId="77777777" w:rsidR="00A0212B" w:rsidRPr="000D2B78" w:rsidRDefault="00A0212B" w:rsidP="0071716B">
                                  <w:pPr>
                                    <w:spacing w:line="0" w:lineRule="atLeast"/>
                                    <w:jc w:val="both"/>
                                    <w:rPr>
                                      <w:rFonts w:ascii="標楷體" w:eastAsia="標楷體" w:hAnsi="標楷體"/>
                                      <w:sz w:val="20"/>
                                      <w:szCs w:val="20"/>
                                    </w:rPr>
                                  </w:pPr>
                                  <w:r w:rsidRPr="002211D0">
                                    <w:rPr>
                                      <w:rFonts w:ascii="標楷體" w:eastAsia="標楷體" w:hAnsi="標楷體" w:hint="eastAsia"/>
                                      <w:sz w:val="20"/>
                                      <w:szCs w:val="20"/>
                                    </w:rPr>
                                    <w:t>確認已於適當信標註冊資料庫中註冊</w:t>
                                  </w:r>
                                </w:p>
                              </w:tc>
                            </w:tr>
                            <w:tr w:rsidR="00A0212B" w14:paraId="7AA9C712"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hideMark/>
                                </w:tcPr>
                                <w:p w14:paraId="703B38F5" w14:textId="77777777" w:rsidR="00A0212B" w:rsidRPr="000D2B78"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2</w:t>
                                  </w:r>
                                </w:p>
                              </w:tc>
                              <w:tc>
                                <w:tcPr>
                                  <w:tcW w:w="4820" w:type="dxa"/>
                                  <w:tcBorders>
                                    <w:top w:val="single" w:sz="4" w:space="0" w:color="auto"/>
                                    <w:left w:val="single" w:sz="4" w:space="0" w:color="auto"/>
                                    <w:bottom w:val="single" w:sz="4" w:space="0" w:color="auto"/>
                                    <w:right w:val="single" w:sz="4" w:space="0" w:color="auto"/>
                                  </w:tcBorders>
                                  <w:vAlign w:val="center"/>
                                </w:tcPr>
                                <w:p w14:paraId="2B050551" w14:textId="77777777" w:rsidR="00A0212B" w:rsidRPr="000D2B78" w:rsidRDefault="00A0212B" w:rsidP="0071716B">
                                  <w:pPr>
                                    <w:spacing w:line="0" w:lineRule="atLeast"/>
                                    <w:jc w:val="both"/>
                                    <w:rPr>
                                      <w:rFonts w:ascii="標楷體" w:eastAsia="標楷體" w:hAnsi="標楷體"/>
                                      <w:sz w:val="20"/>
                                      <w:szCs w:val="20"/>
                                    </w:rPr>
                                  </w:pPr>
                                  <w:r>
                                    <w:rPr>
                                      <w:rFonts w:ascii="標楷體" w:eastAsia="標楷體" w:hAnsi="標楷體" w:hint="eastAsia"/>
                                      <w:sz w:val="20"/>
                                      <w:szCs w:val="20"/>
                                    </w:rPr>
                                    <w:t>使用自檢模式或適當設備，以驗證121.5MHz頻段之發射訊號</w:t>
                                  </w:r>
                                </w:p>
                              </w:tc>
                            </w:tr>
                            <w:tr w:rsidR="00A0212B" w14:paraId="5A170F34"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tcPr>
                                <w:p w14:paraId="5E46E4CA" w14:textId="77777777" w:rsidR="00A0212B"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4820" w:type="dxa"/>
                                  <w:tcBorders>
                                    <w:top w:val="single" w:sz="4" w:space="0" w:color="auto"/>
                                    <w:left w:val="single" w:sz="4" w:space="0" w:color="auto"/>
                                    <w:bottom w:val="single" w:sz="4" w:space="0" w:color="auto"/>
                                    <w:right w:val="single" w:sz="4" w:space="0" w:color="auto"/>
                                  </w:tcBorders>
                                  <w:vAlign w:val="center"/>
                                </w:tcPr>
                                <w:p w14:paraId="60C3FEE9" w14:textId="77777777" w:rsidR="00A0212B" w:rsidRPr="000D2B78" w:rsidRDefault="00A0212B" w:rsidP="0071716B">
                                  <w:pPr>
                                    <w:spacing w:line="0" w:lineRule="atLeast"/>
                                    <w:jc w:val="both"/>
                                    <w:rPr>
                                      <w:rFonts w:ascii="標楷體" w:eastAsia="標楷體" w:hAnsi="標楷體"/>
                                      <w:sz w:val="20"/>
                                      <w:szCs w:val="20"/>
                                    </w:rPr>
                                  </w:pPr>
                                  <w:r>
                                    <w:rPr>
                                      <w:rFonts w:ascii="標楷體" w:eastAsia="標楷體" w:hAnsi="標楷體" w:hint="eastAsia"/>
                                      <w:sz w:val="20"/>
                                      <w:szCs w:val="20"/>
                                    </w:rPr>
                                    <w:t>測試結束後，將EPIRB重新安裝於支架上，檢查是否再次傳送訊號</w:t>
                                  </w:r>
                                </w:p>
                              </w:tc>
                            </w:tr>
                            <w:tr w:rsidR="00A0212B" w14:paraId="5CCD0CCB"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tcPr>
                                <w:p w14:paraId="41AF2092" w14:textId="77777777" w:rsidR="00A0212B"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4820" w:type="dxa"/>
                                  <w:tcBorders>
                                    <w:top w:val="single" w:sz="4" w:space="0" w:color="auto"/>
                                    <w:left w:val="single" w:sz="4" w:space="0" w:color="auto"/>
                                    <w:bottom w:val="single" w:sz="4" w:space="0" w:color="auto"/>
                                    <w:right w:val="single" w:sz="4" w:space="0" w:color="auto"/>
                                  </w:tcBorders>
                                  <w:vAlign w:val="center"/>
                                </w:tcPr>
                                <w:p w14:paraId="76816358" w14:textId="77777777" w:rsidR="00A0212B" w:rsidRPr="000D2B78" w:rsidRDefault="00A0212B" w:rsidP="0071716B">
                                  <w:pPr>
                                    <w:spacing w:line="0" w:lineRule="atLeast"/>
                                    <w:jc w:val="both"/>
                                    <w:rPr>
                                      <w:rFonts w:ascii="標楷體" w:eastAsia="標楷體" w:hAnsi="標楷體"/>
                                      <w:sz w:val="20"/>
                                      <w:szCs w:val="20"/>
                                    </w:rPr>
                                  </w:pPr>
                                  <w:r>
                                    <w:rPr>
                                      <w:rFonts w:ascii="標楷體" w:eastAsia="標楷體" w:hAnsi="標楷體" w:hint="eastAsia"/>
                                      <w:sz w:val="20"/>
                                      <w:szCs w:val="20"/>
                                    </w:rPr>
                                    <w:t>確認E</w:t>
                                  </w:r>
                                  <w:r>
                                    <w:rPr>
                                      <w:rFonts w:ascii="標楷體" w:eastAsia="標楷體" w:hAnsi="標楷體"/>
                                      <w:sz w:val="20"/>
                                      <w:szCs w:val="20"/>
                                    </w:rPr>
                                    <w:t>PIRB</w:t>
                                  </w:r>
                                  <w:r>
                                    <w:rPr>
                                      <w:rFonts w:ascii="標楷體" w:eastAsia="標楷體" w:hAnsi="標楷體" w:hint="eastAsia"/>
                                      <w:sz w:val="20"/>
                                      <w:szCs w:val="20"/>
                                    </w:rPr>
                                    <w:t>上</w:t>
                                  </w:r>
                                  <w:r w:rsidRPr="002211D0">
                                    <w:rPr>
                                      <w:rFonts w:ascii="標楷體" w:eastAsia="標楷體" w:hAnsi="標楷體" w:hint="eastAsia"/>
                                      <w:sz w:val="20"/>
                                      <w:szCs w:val="20"/>
                                    </w:rPr>
                                    <w:t>之掛繩存在</w:t>
                                  </w:r>
                                  <w:r>
                                    <w:rPr>
                                      <w:rFonts w:ascii="標楷體" w:eastAsia="標楷體" w:hAnsi="標楷體" w:hint="eastAsia"/>
                                      <w:sz w:val="20"/>
                                      <w:szCs w:val="20"/>
                                    </w:rPr>
                                    <w:t>且</w:t>
                                  </w:r>
                                  <w:r w:rsidRPr="002211D0">
                                    <w:rPr>
                                      <w:rFonts w:ascii="標楷體" w:eastAsia="標楷體" w:hAnsi="標楷體" w:hint="eastAsia"/>
                                      <w:sz w:val="20"/>
                                      <w:szCs w:val="20"/>
                                    </w:rPr>
                                    <w:t>連接牢固，掛繩應存放整齊狀況良好，且不得繫在船舶或安裝支架上</w:t>
                                  </w:r>
                                </w:p>
                              </w:tc>
                            </w:tr>
                            <w:tr w:rsidR="00A0212B" w14:paraId="2B6581FA"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tcPr>
                                <w:p w14:paraId="4170C241" w14:textId="77777777" w:rsidR="00A0212B"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5</w:t>
                                  </w:r>
                                </w:p>
                              </w:tc>
                              <w:tc>
                                <w:tcPr>
                                  <w:tcW w:w="4820" w:type="dxa"/>
                                  <w:tcBorders>
                                    <w:top w:val="single" w:sz="4" w:space="0" w:color="auto"/>
                                    <w:left w:val="single" w:sz="4" w:space="0" w:color="auto"/>
                                    <w:bottom w:val="single" w:sz="4" w:space="0" w:color="auto"/>
                                    <w:right w:val="single" w:sz="4" w:space="0" w:color="auto"/>
                                  </w:tcBorders>
                                  <w:vAlign w:val="center"/>
                                </w:tcPr>
                                <w:p w14:paraId="1DD910C8" w14:textId="77777777" w:rsidR="00A0212B" w:rsidRPr="000D2B78" w:rsidRDefault="00A0212B" w:rsidP="0071716B">
                                  <w:pPr>
                                    <w:spacing w:line="0" w:lineRule="atLeast"/>
                                    <w:jc w:val="both"/>
                                    <w:rPr>
                                      <w:rFonts w:ascii="標楷體" w:eastAsia="標楷體" w:hAnsi="標楷體"/>
                                      <w:sz w:val="20"/>
                                      <w:szCs w:val="20"/>
                                    </w:rPr>
                                  </w:pPr>
                                  <w:r w:rsidRPr="002211D0">
                                    <w:rPr>
                                      <w:rFonts w:ascii="標楷體" w:eastAsia="標楷體" w:hAnsi="標楷體" w:hint="eastAsia"/>
                                      <w:sz w:val="20"/>
                                      <w:szCs w:val="20"/>
                                    </w:rPr>
                                    <w:t>檢查信標使用說明書</w:t>
                                  </w:r>
                                  <w:r>
                                    <w:rPr>
                                      <w:rFonts w:ascii="標楷體" w:eastAsia="標楷體" w:hAnsi="標楷體" w:hint="eastAsia"/>
                                      <w:sz w:val="20"/>
                                      <w:szCs w:val="20"/>
                                    </w:rPr>
                                    <w:t>有</w:t>
                                  </w:r>
                                  <w:r w:rsidRPr="002211D0">
                                    <w:rPr>
                                      <w:rFonts w:ascii="標楷體" w:eastAsia="標楷體" w:hAnsi="標楷體" w:hint="eastAsia"/>
                                      <w:sz w:val="20"/>
                                      <w:szCs w:val="20"/>
                                    </w:rPr>
                                    <w:t>無遺失</w:t>
                                  </w:r>
                                </w:p>
                              </w:tc>
                            </w:tr>
                            <w:tr w:rsidR="00A0212B" w14:paraId="6169A827"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tcPr>
                                <w:p w14:paraId="70382BEF" w14:textId="77777777" w:rsidR="00A0212B"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6</w:t>
                                  </w:r>
                                </w:p>
                              </w:tc>
                              <w:tc>
                                <w:tcPr>
                                  <w:tcW w:w="4820" w:type="dxa"/>
                                  <w:tcBorders>
                                    <w:top w:val="single" w:sz="4" w:space="0" w:color="auto"/>
                                    <w:left w:val="single" w:sz="4" w:space="0" w:color="auto"/>
                                    <w:bottom w:val="single" w:sz="4" w:space="0" w:color="auto"/>
                                    <w:right w:val="single" w:sz="4" w:space="0" w:color="auto"/>
                                  </w:tcBorders>
                                  <w:vAlign w:val="center"/>
                                </w:tcPr>
                                <w:p w14:paraId="35FA610B" w14:textId="77777777" w:rsidR="00A0212B" w:rsidRPr="000D2B78" w:rsidRDefault="00A0212B" w:rsidP="0071716B">
                                  <w:pPr>
                                    <w:spacing w:line="0" w:lineRule="atLeast"/>
                                    <w:jc w:val="both"/>
                                    <w:rPr>
                                      <w:rFonts w:ascii="標楷體" w:eastAsia="標楷體" w:hAnsi="標楷體"/>
                                      <w:sz w:val="20"/>
                                      <w:szCs w:val="20"/>
                                    </w:rPr>
                                  </w:pPr>
                                  <w:r w:rsidRPr="002211D0">
                                    <w:rPr>
                                      <w:rFonts w:ascii="標楷體" w:eastAsia="標楷體" w:hAnsi="標楷體" w:hint="eastAsia"/>
                                      <w:sz w:val="20"/>
                                      <w:szCs w:val="20"/>
                                    </w:rPr>
                                    <w:t>檢查信標手動操作圖示</w:t>
                                  </w:r>
                                  <w:r>
                                    <w:rPr>
                                      <w:rFonts w:ascii="標楷體" w:eastAsia="標楷體" w:hAnsi="標楷體" w:hint="eastAsia"/>
                                      <w:sz w:val="20"/>
                                      <w:szCs w:val="20"/>
                                    </w:rPr>
                                    <w:t>有</w:t>
                                  </w:r>
                                  <w:r w:rsidRPr="002211D0">
                                    <w:rPr>
                                      <w:rFonts w:ascii="標楷體" w:eastAsia="標楷體" w:hAnsi="標楷體" w:hint="eastAsia"/>
                                      <w:sz w:val="20"/>
                                      <w:szCs w:val="20"/>
                                    </w:rPr>
                                    <w:t>無遺失</w:t>
                                  </w:r>
                                </w:p>
                              </w:tc>
                            </w:tr>
                            <w:tr w:rsidR="00A0212B" w:rsidRPr="000D2B78" w14:paraId="76E0A3D0" w14:textId="77777777" w:rsidTr="0071716B">
                              <w:trPr>
                                <w:trHeight w:val="727"/>
                              </w:trPr>
                              <w:tc>
                                <w:tcPr>
                                  <w:tcW w:w="5529" w:type="dxa"/>
                                  <w:gridSpan w:val="2"/>
                                  <w:tcBorders>
                                    <w:top w:val="single" w:sz="4" w:space="0" w:color="auto"/>
                                    <w:left w:val="nil"/>
                                    <w:bottom w:val="nil"/>
                                    <w:right w:val="nil"/>
                                  </w:tcBorders>
                                  <w:vAlign w:val="center"/>
                                  <w:hideMark/>
                                </w:tcPr>
                                <w:p w14:paraId="2D64D31C" w14:textId="77777777" w:rsidR="00A0212B" w:rsidRPr="000D2B78" w:rsidRDefault="00A0212B" w:rsidP="0071716B">
                                  <w:pPr>
                                    <w:spacing w:line="0" w:lineRule="atLeast"/>
                                    <w:ind w:leftChars="-40" w:left="793" w:hangingChars="494" w:hanging="889"/>
                                    <w:jc w:val="both"/>
                                    <w:rPr>
                                      <w:rFonts w:ascii="標楷體" w:eastAsia="標楷體" w:hAnsi="標楷體"/>
                                      <w:sz w:val="18"/>
                                      <w:szCs w:val="18"/>
                                    </w:rPr>
                                  </w:pPr>
                                  <w:r w:rsidRPr="000D2B78">
                                    <w:rPr>
                                      <w:rFonts w:ascii="標楷體" w:eastAsia="標楷體" w:hAnsi="標楷體" w:hint="eastAsia"/>
                                      <w:sz w:val="18"/>
                                      <w:szCs w:val="18"/>
                                    </w:rPr>
                                    <w:t>資料來源：</w:t>
                                  </w:r>
                                  <w:r w:rsidRPr="00B21783">
                                    <w:rPr>
                                      <w:rFonts w:ascii="標楷體" w:eastAsia="標楷體" w:hAnsi="標楷體" w:hint="eastAsia"/>
                                      <w:sz w:val="18"/>
                                      <w:szCs w:val="18"/>
                                    </w:rPr>
                                    <w:t>整理自</w:t>
                                  </w:r>
                                  <w:r>
                                    <w:rPr>
                                      <w:rFonts w:ascii="標楷體" w:eastAsia="標楷體" w:hAnsi="標楷體" w:hint="eastAsia"/>
                                      <w:sz w:val="18"/>
                                      <w:szCs w:val="18"/>
                                    </w:rPr>
                                    <w:t>交通部</w:t>
                                  </w:r>
                                  <w:r w:rsidRPr="00B21783">
                                    <w:rPr>
                                      <w:rFonts w:ascii="標楷體" w:eastAsia="標楷體" w:hAnsi="標楷體" w:hint="eastAsia"/>
                                      <w:sz w:val="18"/>
                                      <w:szCs w:val="18"/>
                                    </w:rPr>
                                    <w:t>航港局航政指引</w:t>
                                  </w:r>
                                  <w:r>
                                    <w:rPr>
                                      <w:rFonts w:ascii="標楷體" w:eastAsia="標楷體" w:hAnsi="標楷體" w:hint="eastAsia"/>
                                      <w:sz w:val="18"/>
                                      <w:szCs w:val="18"/>
                                    </w:rPr>
                                    <w:t>（</w:t>
                                  </w:r>
                                  <w:r w:rsidRPr="00B21783">
                                    <w:rPr>
                                      <w:rFonts w:ascii="標楷體" w:eastAsia="標楷體" w:hAnsi="標楷體" w:hint="eastAsia"/>
                                      <w:sz w:val="18"/>
                                      <w:szCs w:val="18"/>
                                    </w:rPr>
                                    <w:t>MSC第103、104次會議</w:t>
                                  </w:r>
                                  <w:r>
                                    <w:rPr>
                                      <w:rFonts w:ascii="標楷體" w:eastAsia="標楷體" w:hAnsi="標楷體" w:hint="eastAsia"/>
                                      <w:sz w:val="18"/>
                                      <w:szCs w:val="18"/>
                                    </w:rPr>
                                    <w:t>）</w:t>
                                  </w:r>
                                  <w:r w:rsidRPr="00B21783">
                                    <w:rPr>
                                      <w:rFonts w:ascii="標楷體" w:eastAsia="標楷體" w:hAnsi="標楷體" w:hint="eastAsia"/>
                                      <w:sz w:val="18"/>
                                      <w:szCs w:val="18"/>
                                    </w:rPr>
                                    <w:t>、船舶無線電臺審驗技術要點、船舶無線電臺不定期檢查實施要點及船舶無線電臺屆期換照自主檢查表</w:t>
                                  </w:r>
                                  <w:r>
                                    <w:rPr>
                                      <w:rFonts w:ascii="標楷體" w:eastAsia="標楷體" w:hAnsi="標楷體" w:hint="eastAsia"/>
                                      <w:sz w:val="18"/>
                                      <w:szCs w:val="18"/>
                                    </w:rPr>
                                    <w:t>等資料</w:t>
                                  </w:r>
                                  <w:r w:rsidRPr="00B21783">
                                    <w:rPr>
                                      <w:rFonts w:ascii="標楷體" w:eastAsia="標楷體" w:hAnsi="標楷體" w:hint="eastAsia"/>
                                      <w:sz w:val="18"/>
                                      <w:szCs w:val="18"/>
                                    </w:rPr>
                                    <w:t>。</w:t>
                                  </w:r>
                                </w:p>
                                <w:p w14:paraId="1003A514" w14:textId="77777777" w:rsidR="00A0212B" w:rsidRPr="00D9757F" w:rsidRDefault="00A0212B" w:rsidP="0071716B">
                                  <w:pPr>
                                    <w:spacing w:line="0" w:lineRule="atLeast"/>
                                    <w:ind w:leftChars="105" w:left="432" w:hangingChars="100" w:hanging="180"/>
                                    <w:jc w:val="both"/>
                                    <w:rPr>
                                      <w:rFonts w:ascii="標楷體" w:eastAsia="標楷體" w:hAnsi="標楷體"/>
                                      <w:sz w:val="18"/>
                                      <w:szCs w:val="18"/>
                                    </w:rPr>
                                  </w:pPr>
                                </w:p>
                              </w:tc>
                            </w:tr>
                          </w:tbl>
                          <w:p w14:paraId="22F96191" w14:textId="77777777" w:rsidR="00A0212B" w:rsidRPr="000D2B78" w:rsidRDefault="00A0212B" w:rsidP="00683C75">
                            <w:pPr>
                              <w:spacing w:line="0" w:lineRule="atLeast"/>
                              <w:ind w:leftChars="105" w:left="432" w:hangingChars="100" w:hanging="180"/>
                              <w:jc w:val="both"/>
                              <w:rPr>
                                <w:rFonts w:ascii="標楷體" w:eastAsia="標楷體" w:hAnsi="標楷體"/>
                                <w:sz w:val="18"/>
                                <w:szCs w:val="18"/>
                              </w:rPr>
                            </w:pP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660E63" id="文字方塊 307" o:spid="_x0000_s1121" type="#_x0000_t202" style="position:absolute;left:0;text-align:left;margin-left:203.4pt;margin-top:464.05pt;width:292.8pt;height:219.7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" stroked="f">
                <v:textbox>
                  <w:txbxContent>
                    <w:tbl>
                      <w:tblPr>
                        <w:tblStyle w:val="201"/>
                        <w:tblW w:w="5529" w:type="dxa"/>
                        <w:tblInd w:w="0" w:type="dxa"/>
                        <w:tblLook w:val="04A0" w:firstRow="1" w:lastRow="0" w:firstColumn="1" w:lastColumn="0" w:noHBand="0" w:noVBand="1"/>
                      </w:tblPr>
                      <w:tblGrid>
                        <w:gridCol w:w="709"/>
                        <w:gridCol w:w="4820"/>
                      </w:tblGrid>
                      <w:tr w:rsidR="00A0212B" w14:paraId="21563568" w14:textId="77777777" w:rsidTr="0071716B">
                        <w:trPr>
                          <w:trHeight w:val="285"/>
                        </w:trPr>
                        <w:tc>
                          <w:tcPr>
                            <w:tcW w:w="5529" w:type="dxa"/>
                            <w:gridSpan w:val="2"/>
                            <w:tcBorders>
                              <w:top w:val="nil"/>
                              <w:left w:val="nil"/>
                              <w:bottom w:val="single" w:sz="4" w:space="0" w:color="auto"/>
                              <w:right w:val="nil"/>
                            </w:tcBorders>
                            <w:vAlign w:val="center"/>
                            <w:hideMark/>
                          </w:tcPr>
                          <w:p w14:paraId="55C929D2" w14:textId="52FB1367" w:rsidR="00A0212B" w:rsidRDefault="00A0212B">
                            <w:pPr>
                              <w:spacing w:line="0" w:lineRule="atLeast"/>
                              <w:ind w:leftChars="-11" w:left="773" w:hangingChars="350" w:hanging="799"/>
                              <w:jc w:val="both"/>
                              <w:rPr>
                                <w:rFonts w:ascii="標楷體" w:eastAsia="標楷體" w:hAnsi="標楷體"/>
                                <w:szCs w:val="24"/>
                              </w:rPr>
                            </w:pPr>
                            <w:r>
                              <w:rPr>
                                <w:rFonts w:ascii="標楷體" w:eastAsia="標楷體" w:hAnsi="標楷體" w:hint="eastAsia"/>
                                <w:b/>
                                <w:spacing w:val="-6"/>
                                <w:szCs w:val="24"/>
                              </w:rPr>
                              <w:t>表</w:t>
                            </w:r>
                            <w:r>
                              <w:rPr>
                                <w:rFonts w:ascii="標楷體" w:eastAsia="標楷體" w:hAnsi="標楷體"/>
                                <w:b/>
                                <w:spacing w:val="-6"/>
                                <w:szCs w:val="24"/>
                              </w:rPr>
                              <w:t>39</w:t>
                            </w:r>
                            <w:r>
                              <w:rPr>
                                <w:rFonts w:ascii="標楷體" w:eastAsia="標楷體" w:hAnsi="標楷體" w:hint="eastAsia"/>
                                <w:b/>
                                <w:spacing w:val="-6"/>
                                <w:szCs w:val="24"/>
                              </w:rPr>
                              <w:t xml:space="preserve">　</w:t>
                            </w:r>
                            <w:r>
                              <w:rPr>
                                <w:rFonts w:ascii="標楷體" w:eastAsia="標楷體" w:hAnsi="標楷體" w:hint="eastAsia"/>
                                <w:b/>
                                <w:spacing w:val="-8"/>
                                <w:szCs w:val="24"/>
                              </w:rPr>
                              <w:t>我國船舶無線電臺相關規範尚未納入國際海事組織（I</w:t>
                            </w:r>
                            <w:r>
                              <w:rPr>
                                <w:rFonts w:ascii="標楷體" w:eastAsia="標楷體" w:hAnsi="標楷體"/>
                                <w:b/>
                                <w:spacing w:val="-8"/>
                                <w:szCs w:val="24"/>
                              </w:rPr>
                              <w:t>MO</w:t>
                            </w:r>
                            <w:r>
                              <w:rPr>
                                <w:rFonts w:ascii="標楷體" w:eastAsia="標楷體" w:hAnsi="標楷體" w:hint="eastAsia"/>
                                <w:b/>
                                <w:spacing w:val="-8"/>
                                <w:szCs w:val="24"/>
                              </w:rPr>
                              <w:t>）EPIRB檢查項目情形</w:t>
                            </w:r>
                          </w:p>
                        </w:tc>
                      </w:tr>
                      <w:tr w:rsidR="00A0212B" w14:paraId="0845E296" w14:textId="77777777" w:rsidTr="0071716B">
                        <w:trPr>
                          <w:trHeight w:val="285"/>
                        </w:trPr>
                        <w:tc>
                          <w:tcPr>
                            <w:tcW w:w="709" w:type="dxa"/>
                            <w:tcBorders>
                              <w:top w:val="single" w:sz="4" w:space="0" w:color="auto"/>
                              <w:left w:val="single" w:sz="4" w:space="0" w:color="auto"/>
                              <w:bottom w:val="single" w:sz="4" w:space="0" w:color="auto"/>
                              <w:right w:val="single" w:sz="4" w:space="0" w:color="auto"/>
                            </w:tcBorders>
                            <w:vAlign w:val="center"/>
                            <w:hideMark/>
                          </w:tcPr>
                          <w:p w14:paraId="034BA1A3" w14:textId="77777777" w:rsidR="00A0212B" w:rsidRPr="000D2B78"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項次</w:t>
                            </w:r>
                          </w:p>
                        </w:tc>
                        <w:tc>
                          <w:tcPr>
                            <w:tcW w:w="4820" w:type="dxa"/>
                            <w:tcBorders>
                              <w:top w:val="single" w:sz="4" w:space="0" w:color="auto"/>
                              <w:left w:val="single" w:sz="4" w:space="0" w:color="auto"/>
                              <w:bottom w:val="single" w:sz="4" w:space="0" w:color="auto"/>
                              <w:right w:val="single" w:sz="4" w:space="0" w:color="auto"/>
                            </w:tcBorders>
                            <w:vAlign w:val="center"/>
                          </w:tcPr>
                          <w:p w14:paraId="0784AF4D" w14:textId="77777777" w:rsidR="00A0212B" w:rsidRPr="000D2B78"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未納入項目</w:t>
                            </w:r>
                          </w:p>
                        </w:tc>
                      </w:tr>
                      <w:tr w:rsidR="00A0212B" w14:paraId="0BF92633"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hideMark/>
                          </w:tcPr>
                          <w:p w14:paraId="7C125525" w14:textId="77777777" w:rsidR="00A0212B" w:rsidRPr="000D2B78" w:rsidRDefault="00A0212B" w:rsidP="0071716B">
                            <w:pPr>
                              <w:spacing w:line="0" w:lineRule="atLeast"/>
                              <w:jc w:val="center"/>
                              <w:rPr>
                                <w:rFonts w:ascii="標楷體" w:eastAsia="標楷體" w:hAnsi="標楷體"/>
                                <w:sz w:val="20"/>
                                <w:szCs w:val="20"/>
                              </w:rPr>
                            </w:pPr>
                            <w:r>
                              <w:rPr>
                                <w:rFonts w:ascii="標楷體" w:eastAsia="標楷體" w:hAnsi="標楷體"/>
                                <w:sz w:val="20"/>
                                <w:szCs w:val="20"/>
                              </w:rPr>
                              <w:t>1</w:t>
                            </w:r>
                          </w:p>
                        </w:tc>
                        <w:tc>
                          <w:tcPr>
                            <w:tcW w:w="4820" w:type="dxa"/>
                            <w:tcBorders>
                              <w:top w:val="single" w:sz="4" w:space="0" w:color="auto"/>
                              <w:left w:val="single" w:sz="4" w:space="0" w:color="auto"/>
                              <w:bottom w:val="single" w:sz="4" w:space="0" w:color="auto"/>
                              <w:right w:val="single" w:sz="4" w:space="0" w:color="auto"/>
                            </w:tcBorders>
                            <w:vAlign w:val="center"/>
                          </w:tcPr>
                          <w:p w14:paraId="66595405" w14:textId="77777777" w:rsidR="00A0212B" w:rsidRPr="000D2B78" w:rsidRDefault="00A0212B" w:rsidP="0071716B">
                            <w:pPr>
                              <w:spacing w:line="0" w:lineRule="atLeast"/>
                              <w:jc w:val="both"/>
                              <w:rPr>
                                <w:rFonts w:ascii="標楷體" w:eastAsia="標楷體" w:hAnsi="標楷體"/>
                                <w:sz w:val="20"/>
                                <w:szCs w:val="20"/>
                              </w:rPr>
                            </w:pPr>
                            <w:r w:rsidRPr="002211D0">
                              <w:rPr>
                                <w:rFonts w:ascii="標楷體" w:eastAsia="標楷體" w:hAnsi="標楷體" w:hint="eastAsia"/>
                                <w:sz w:val="20"/>
                                <w:szCs w:val="20"/>
                              </w:rPr>
                              <w:t>確認已於適當信標註冊資料庫中註冊</w:t>
                            </w:r>
                          </w:p>
                        </w:tc>
                      </w:tr>
                      <w:tr w:rsidR="00A0212B" w14:paraId="7AA9C712"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hideMark/>
                          </w:tcPr>
                          <w:p w14:paraId="703B38F5" w14:textId="77777777" w:rsidR="00A0212B" w:rsidRPr="000D2B78"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2</w:t>
                            </w:r>
                          </w:p>
                        </w:tc>
                        <w:tc>
                          <w:tcPr>
                            <w:tcW w:w="4820" w:type="dxa"/>
                            <w:tcBorders>
                              <w:top w:val="single" w:sz="4" w:space="0" w:color="auto"/>
                              <w:left w:val="single" w:sz="4" w:space="0" w:color="auto"/>
                              <w:bottom w:val="single" w:sz="4" w:space="0" w:color="auto"/>
                              <w:right w:val="single" w:sz="4" w:space="0" w:color="auto"/>
                            </w:tcBorders>
                            <w:vAlign w:val="center"/>
                          </w:tcPr>
                          <w:p w14:paraId="2B050551" w14:textId="77777777" w:rsidR="00A0212B" w:rsidRPr="000D2B78" w:rsidRDefault="00A0212B" w:rsidP="0071716B">
                            <w:pPr>
                              <w:spacing w:line="0" w:lineRule="atLeast"/>
                              <w:jc w:val="both"/>
                              <w:rPr>
                                <w:rFonts w:ascii="標楷體" w:eastAsia="標楷體" w:hAnsi="標楷體"/>
                                <w:sz w:val="20"/>
                                <w:szCs w:val="20"/>
                              </w:rPr>
                            </w:pPr>
                            <w:r>
                              <w:rPr>
                                <w:rFonts w:ascii="標楷體" w:eastAsia="標楷體" w:hAnsi="標楷體" w:hint="eastAsia"/>
                                <w:sz w:val="20"/>
                                <w:szCs w:val="20"/>
                              </w:rPr>
                              <w:t>使用自檢模式或適當設備，以驗證121.5MHz頻段之發射訊號</w:t>
                            </w:r>
                          </w:p>
                        </w:tc>
                      </w:tr>
                      <w:tr w:rsidR="00A0212B" w14:paraId="5A170F34"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tcPr>
                          <w:p w14:paraId="5E46E4CA" w14:textId="77777777" w:rsidR="00A0212B"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3</w:t>
                            </w:r>
                          </w:p>
                        </w:tc>
                        <w:tc>
                          <w:tcPr>
                            <w:tcW w:w="4820" w:type="dxa"/>
                            <w:tcBorders>
                              <w:top w:val="single" w:sz="4" w:space="0" w:color="auto"/>
                              <w:left w:val="single" w:sz="4" w:space="0" w:color="auto"/>
                              <w:bottom w:val="single" w:sz="4" w:space="0" w:color="auto"/>
                              <w:right w:val="single" w:sz="4" w:space="0" w:color="auto"/>
                            </w:tcBorders>
                            <w:vAlign w:val="center"/>
                          </w:tcPr>
                          <w:p w14:paraId="60C3FEE9" w14:textId="77777777" w:rsidR="00A0212B" w:rsidRPr="000D2B78" w:rsidRDefault="00A0212B" w:rsidP="0071716B">
                            <w:pPr>
                              <w:spacing w:line="0" w:lineRule="atLeast"/>
                              <w:jc w:val="both"/>
                              <w:rPr>
                                <w:rFonts w:ascii="標楷體" w:eastAsia="標楷體" w:hAnsi="標楷體"/>
                                <w:sz w:val="20"/>
                                <w:szCs w:val="20"/>
                              </w:rPr>
                            </w:pPr>
                            <w:r>
                              <w:rPr>
                                <w:rFonts w:ascii="標楷體" w:eastAsia="標楷體" w:hAnsi="標楷體" w:hint="eastAsia"/>
                                <w:sz w:val="20"/>
                                <w:szCs w:val="20"/>
                              </w:rPr>
                              <w:t>測試結束後，將EPIRB重新安裝於支架上，檢查是否再次傳送訊號</w:t>
                            </w:r>
                          </w:p>
                        </w:tc>
                      </w:tr>
                      <w:tr w:rsidR="00A0212B" w14:paraId="5CCD0CCB"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tcPr>
                          <w:p w14:paraId="41AF2092" w14:textId="77777777" w:rsidR="00A0212B"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4</w:t>
                            </w:r>
                          </w:p>
                        </w:tc>
                        <w:tc>
                          <w:tcPr>
                            <w:tcW w:w="4820" w:type="dxa"/>
                            <w:tcBorders>
                              <w:top w:val="single" w:sz="4" w:space="0" w:color="auto"/>
                              <w:left w:val="single" w:sz="4" w:space="0" w:color="auto"/>
                              <w:bottom w:val="single" w:sz="4" w:space="0" w:color="auto"/>
                              <w:right w:val="single" w:sz="4" w:space="0" w:color="auto"/>
                            </w:tcBorders>
                            <w:vAlign w:val="center"/>
                          </w:tcPr>
                          <w:p w14:paraId="76816358" w14:textId="77777777" w:rsidR="00A0212B" w:rsidRPr="000D2B78" w:rsidRDefault="00A0212B" w:rsidP="0071716B">
                            <w:pPr>
                              <w:spacing w:line="0" w:lineRule="atLeast"/>
                              <w:jc w:val="both"/>
                              <w:rPr>
                                <w:rFonts w:ascii="標楷體" w:eastAsia="標楷體" w:hAnsi="標楷體"/>
                                <w:sz w:val="20"/>
                                <w:szCs w:val="20"/>
                              </w:rPr>
                            </w:pPr>
                            <w:r>
                              <w:rPr>
                                <w:rFonts w:ascii="標楷體" w:eastAsia="標楷體" w:hAnsi="標楷體" w:hint="eastAsia"/>
                                <w:sz w:val="20"/>
                                <w:szCs w:val="20"/>
                              </w:rPr>
                              <w:t>確認E</w:t>
                            </w:r>
                            <w:r>
                              <w:rPr>
                                <w:rFonts w:ascii="標楷體" w:eastAsia="標楷體" w:hAnsi="標楷體"/>
                                <w:sz w:val="20"/>
                                <w:szCs w:val="20"/>
                              </w:rPr>
                              <w:t>PIRB</w:t>
                            </w:r>
                            <w:r>
                              <w:rPr>
                                <w:rFonts w:ascii="標楷體" w:eastAsia="標楷體" w:hAnsi="標楷體" w:hint="eastAsia"/>
                                <w:sz w:val="20"/>
                                <w:szCs w:val="20"/>
                              </w:rPr>
                              <w:t>上</w:t>
                            </w:r>
                            <w:r w:rsidRPr="002211D0">
                              <w:rPr>
                                <w:rFonts w:ascii="標楷體" w:eastAsia="標楷體" w:hAnsi="標楷體" w:hint="eastAsia"/>
                                <w:sz w:val="20"/>
                                <w:szCs w:val="20"/>
                              </w:rPr>
                              <w:t>之掛繩存在</w:t>
                            </w:r>
                            <w:r>
                              <w:rPr>
                                <w:rFonts w:ascii="標楷體" w:eastAsia="標楷體" w:hAnsi="標楷體" w:hint="eastAsia"/>
                                <w:sz w:val="20"/>
                                <w:szCs w:val="20"/>
                              </w:rPr>
                              <w:t>且</w:t>
                            </w:r>
                            <w:r w:rsidRPr="002211D0">
                              <w:rPr>
                                <w:rFonts w:ascii="標楷體" w:eastAsia="標楷體" w:hAnsi="標楷體" w:hint="eastAsia"/>
                                <w:sz w:val="20"/>
                                <w:szCs w:val="20"/>
                              </w:rPr>
                              <w:t>連接牢固，掛繩應存放整齊狀況良好，且不得繫在船舶或安裝支架上</w:t>
                            </w:r>
                          </w:p>
                        </w:tc>
                      </w:tr>
                      <w:tr w:rsidR="00A0212B" w14:paraId="2B6581FA"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tcPr>
                          <w:p w14:paraId="4170C241" w14:textId="77777777" w:rsidR="00A0212B"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5</w:t>
                            </w:r>
                          </w:p>
                        </w:tc>
                        <w:tc>
                          <w:tcPr>
                            <w:tcW w:w="4820" w:type="dxa"/>
                            <w:tcBorders>
                              <w:top w:val="single" w:sz="4" w:space="0" w:color="auto"/>
                              <w:left w:val="single" w:sz="4" w:space="0" w:color="auto"/>
                              <w:bottom w:val="single" w:sz="4" w:space="0" w:color="auto"/>
                              <w:right w:val="single" w:sz="4" w:space="0" w:color="auto"/>
                            </w:tcBorders>
                            <w:vAlign w:val="center"/>
                          </w:tcPr>
                          <w:p w14:paraId="1DD910C8" w14:textId="77777777" w:rsidR="00A0212B" w:rsidRPr="000D2B78" w:rsidRDefault="00A0212B" w:rsidP="0071716B">
                            <w:pPr>
                              <w:spacing w:line="0" w:lineRule="atLeast"/>
                              <w:jc w:val="both"/>
                              <w:rPr>
                                <w:rFonts w:ascii="標楷體" w:eastAsia="標楷體" w:hAnsi="標楷體"/>
                                <w:sz w:val="20"/>
                                <w:szCs w:val="20"/>
                              </w:rPr>
                            </w:pPr>
                            <w:r w:rsidRPr="002211D0">
                              <w:rPr>
                                <w:rFonts w:ascii="標楷體" w:eastAsia="標楷體" w:hAnsi="標楷體" w:hint="eastAsia"/>
                                <w:sz w:val="20"/>
                                <w:szCs w:val="20"/>
                              </w:rPr>
                              <w:t>檢查信標使用說明書</w:t>
                            </w:r>
                            <w:r>
                              <w:rPr>
                                <w:rFonts w:ascii="標楷體" w:eastAsia="標楷體" w:hAnsi="標楷體" w:hint="eastAsia"/>
                                <w:sz w:val="20"/>
                                <w:szCs w:val="20"/>
                              </w:rPr>
                              <w:t>有</w:t>
                            </w:r>
                            <w:r w:rsidRPr="002211D0">
                              <w:rPr>
                                <w:rFonts w:ascii="標楷體" w:eastAsia="標楷體" w:hAnsi="標楷體" w:hint="eastAsia"/>
                                <w:sz w:val="20"/>
                                <w:szCs w:val="20"/>
                              </w:rPr>
                              <w:t>無遺失</w:t>
                            </w:r>
                          </w:p>
                        </w:tc>
                      </w:tr>
                      <w:tr w:rsidR="00A0212B" w14:paraId="6169A827" w14:textId="77777777" w:rsidTr="0071716B">
                        <w:trPr>
                          <w:trHeight w:val="298"/>
                        </w:trPr>
                        <w:tc>
                          <w:tcPr>
                            <w:tcW w:w="709" w:type="dxa"/>
                            <w:tcBorders>
                              <w:top w:val="single" w:sz="4" w:space="0" w:color="auto"/>
                              <w:left w:val="single" w:sz="4" w:space="0" w:color="auto"/>
                              <w:bottom w:val="single" w:sz="4" w:space="0" w:color="auto"/>
                              <w:right w:val="single" w:sz="4" w:space="0" w:color="auto"/>
                            </w:tcBorders>
                            <w:vAlign w:val="center"/>
                          </w:tcPr>
                          <w:p w14:paraId="70382BEF" w14:textId="77777777" w:rsidR="00A0212B" w:rsidRDefault="00A0212B" w:rsidP="0071716B">
                            <w:pPr>
                              <w:spacing w:line="0" w:lineRule="atLeast"/>
                              <w:jc w:val="center"/>
                              <w:rPr>
                                <w:rFonts w:ascii="標楷體" w:eastAsia="標楷體" w:hAnsi="標楷體"/>
                                <w:sz w:val="20"/>
                                <w:szCs w:val="20"/>
                              </w:rPr>
                            </w:pPr>
                            <w:r>
                              <w:rPr>
                                <w:rFonts w:ascii="標楷體" w:eastAsia="標楷體" w:hAnsi="標楷體" w:hint="eastAsia"/>
                                <w:sz w:val="20"/>
                                <w:szCs w:val="20"/>
                              </w:rPr>
                              <w:t>6</w:t>
                            </w:r>
                          </w:p>
                        </w:tc>
                        <w:tc>
                          <w:tcPr>
                            <w:tcW w:w="4820" w:type="dxa"/>
                            <w:tcBorders>
                              <w:top w:val="single" w:sz="4" w:space="0" w:color="auto"/>
                              <w:left w:val="single" w:sz="4" w:space="0" w:color="auto"/>
                              <w:bottom w:val="single" w:sz="4" w:space="0" w:color="auto"/>
                              <w:right w:val="single" w:sz="4" w:space="0" w:color="auto"/>
                            </w:tcBorders>
                            <w:vAlign w:val="center"/>
                          </w:tcPr>
                          <w:p w14:paraId="35FA610B" w14:textId="77777777" w:rsidR="00A0212B" w:rsidRPr="000D2B78" w:rsidRDefault="00A0212B" w:rsidP="0071716B">
                            <w:pPr>
                              <w:spacing w:line="0" w:lineRule="atLeast"/>
                              <w:jc w:val="both"/>
                              <w:rPr>
                                <w:rFonts w:ascii="標楷體" w:eastAsia="標楷體" w:hAnsi="標楷體"/>
                                <w:sz w:val="20"/>
                                <w:szCs w:val="20"/>
                              </w:rPr>
                            </w:pPr>
                            <w:r w:rsidRPr="002211D0">
                              <w:rPr>
                                <w:rFonts w:ascii="標楷體" w:eastAsia="標楷體" w:hAnsi="標楷體" w:hint="eastAsia"/>
                                <w:sz w:val="20"/>
                                <w:szCs w:val="20"/>
                              </w:rPr>
                              <w:t>檢查信標手動操作圖示</w:t>
                            </w:r>
                            <w:r>
                              <w:rPr>
                                <w:rFonts w:ascii="標楷體" w:eastAsia="標楷體" w:hAnsi="標楷體" w:hint="eastAsia"/>
                                <w:sz w:val="20"/>
                                <w:szCs w:val="20"/>
                              </w:rPr>
                              <w:t>有</w:t>
                            </w:r>
                            <w:r w:rsidRPr="002211D0">
                              <w:rPr>
                                <w:rFonts w:ascii="標楷體" w:eastAsia="標楷體" w:hAnsi="標楷體" w:hint="eastAsia"/>
                                <w:sz w:val="20"/>
                                <w:szCs w:val="20"/>
                              </w:rPr>
                              <w:t>無遺失</w:t>
                            </w:r>
                          </w:p>
                        </w:tc>
                      </w:tr>
                      <w:tr w:rsidR="00A0212B" w:rsidRPr="000D2B78" w14:paraId="76E0A3D0" w14:textId="77777777" w:rsidTr="0071716B">
                        <w:trPr>
                          <w:trHeight w:val="727"/>
                        </w:trPr>
                        <w:tc>
                          <w:tcPr>
                            <w:tcW w:w="5529" w:type="dxa"/>
                            <w:gridSpan w:val="2"/>
                            <w:tcBorders>
                              <w:top w:val="single" w:sz="4" w:space="0" w:color="auto"/>
                              <w:left w:val="nil"/>
                              <w:bottom w:val="nil"/>
                              <w:right w:val="nil"/>
                            </w:tcBorders>
                            <w:vAlign w:val="center"/>
                            <w:hideMark/>
                          </w:tcPr>
                          <w:p w14:paraId="2D64D31C" w14:textId="77777777" w:rsidR="00A0212B" w:rsidRPr="000D2B78" w:rsidRDefault="00A0212B" w:rsidP="0071716B">
                            <w:pPr>
                              <w:spacing w:line="0" w:lineRule="atLeast"/>
                              <w:ind w:leftChars="-40" w:left="793" w:hangingChars="494" w:hanging="889"/>
                              <w:jc w:val="both"/>
                              <w:rPr>
                                <w:rFonts w:ascii="標楷體" w:eastAsia="標楷體" w:hAnsi="標楷體"/>
                                <w:sz w:val="18"/>
                                <w:szCs w:val="18"/>
                              </w:rPr>
                            </w:pPr>
                            <w:r w:rsidRPr="000D2B78">
                              <w:rPr>
                                <w:rFonts w:ascii="標楷體" w:eastAsia="標楷體" w:hAnsi="標楷體" w:hint="eastAsia"/>
                                <w:sz w:val="18"/>
                                <w:szCs w:val="18"/>
                              </w:rPr>
                              <w:t>資料來源：</w:t>
                            </w:r>
                            <w:r w:rsidRPr="00B21783">
                              <w:rPr>
                                <w:rFonts w:ascii="標楷體" w:eastAsia="標楷體" w:hAnsi="標楷體" w:hint="eastAsia"/>
                                <w:sz w:val="18"/>
                                <w:szCs w:val="18"/>
                              </w:rPr>
                              <w:t>整理自</w:t>
                            </w:r>
                            <w:r>
                              <w:rPr>
                                <w:rFonts w:ascii="標楷體" w:eastAsia="標楷體" w:hAnsi="標楷體" w:hint="eastAsia"/>
                                <w:sz w:val="18"/>
                                <w:szCs w:val="18"/>
                              </w:rPr>
                              <w:t>交通部</w:t>
                            </w:r>
                            <w:r w:rsidRPr="00B21783">
                              <w:rPr>
                                <w:rFonts w:ascii="標楷體" w:eastAsia="標楷體" w:hAnsi="標楷體" w:hint="eastAsia"/>
                                <w:sz w:val="18"/>
                                <w:szCs w:val="18"/>
                              </w:rPr>
                              <w:t>航港局航政指引</w:t>
                            </w:r>
                            <w:r>
                              <w:rPr>
                                <w:rFonts w:ascii="標楷體" w:eastAsia="標楷體" w:hAnsi="標楷體" w:hint="eastAsia"/>
                                <w:sz w:val="18"/>
                                <w:szCs w:val="18"/>
                              </w:rPr>
                              <w:t>（</w:t>
                            </w:r>
                            <w:r w:rsidRPr="00B21783">
                              <w:rPr>
                                <w:rFonts w:ascii="標楷體" w:eastAsia="標楷體" w:hAnsi="標楷體" w:hint="eastAsia"/>
                                <w:sz w:val="18"/>
                                <w:szCs w:val="18"/>
                              </w:rPr>
                              <w:t>MSC第103、104次會議</w:t>
                            </w:r>
                            <w:r>
                              <w:rPr>
                                <w:rFonts w:ascii="標楷體" w:eastAsia="標楷體" w:hAnsi="標楷體" w:hint="eastAsia"/>
                                <w:sz w:val="18"/>
                                <w:szCs w:val="18"/>
                              </w:rPr>
                              <w:t>）</w:t>
                            </w:r>
                            <w:r w:rsidRPr="00B21783">
                              <w:rPr>
                                <w:rFonts w:ascii="標楷體" w:eastAsia="標楷體" w:hAnsi="標楷體" w:hint="eastAsia"/>
                                <w:sz w:val="18"/>
                                <w:szCs w:val="18"/>
                              </w:rPr>
                              <w:t>、船舶無線電臺審驗技術要點、船舶無線電臺不定期檢查實施要點及船舶無線電臺屆期換照自主檢查表</w:t>
                            </w:r>
                            <w:r>
                              <w:rPr>
                                <w:rFonts w:ascii="標楷體" w:eastAsia="標楷體" w:hAnsi="標楷體" w:hint="eastAsia"/>
                                <w:sz w:val="18"/>
                                <w:szCs w:val="18"/>
                              </w:rPr>
                              <w:t>等資料</w:t>
                            </w:r>
                            <w:r w:rsidRPr="00B21783">
                              <w:rPr>
                                <w:rFonts w:ascii="標楷體" w:eastAsia="標楷體" w:hAnsi="標楷體" w:hint="eastAsia"/>
                                <w:sz w:val="18"/>
                                <w:szCs w:val="18"/>
                              </w:rPr>
                              <w:t>。</w:t>
                            </w:r>
                          </w:p>
                          <w:p w14:paraId="1003A514" w14:textId="77777777" w:rsidR="00A0212B" w:rsidRPr="00D9757F" w:rsidRDefault="00A0212B" w:rsidP="0071716B">
                            <w:pPr>
                              <w:spacing w:line="0" w:lineRule="atLeast"/>
                              <w:ind w:leftChars="105" w:left="432" w:hangingChars="100" w:hanging="180"/>
                              <w:jc w:val="both"/>
                              <w:rPr>
                                <w:rFonts w:ascii="標楷體" w:eastAsia="標楷體" w:hAnsi="標楷體"/>
                                <w:sz w:val="18"/>
                                <w:szCs w:val="18"/>
                              </w:rPr>
                            </w:pPr>
                          </w:p>
                        </w:tc>
                      </w:tr>
                    </w:tbl>
                    <w:p w14:paraId="22F96191" w14:textId="77777777" w:rsidR="00A0212B" w:rsidRPr="000D2B78" w:rsidRDefault="00A0212B" w:rsidP="00683C75">
                      <w:pPr>
                        <w:spacing w:line="0" w:lineRule="atLeast"/>
                        <w:ind w:leftChars="105" w:left="432" w:hangingChars="100" w:hanging="180"/>
                        <w:jc w:val="both"/>
                        <w:rPr>
                          <w:rFonts w:ascii="標楷體" w:eastAsia="標楷體" w:hAnsi="標楷體"/>
                          <w:sz w:val="18"/>
                          <w:szCs w:val="18"/>
                        </w:rPr>
                      </w:pPr>
                    </w:p>
                  </w:txbxContent>
                </v:textbox>
                <w10:wrap type="square" anchorx="margin" anchory="page"/>
              </v:shape>
            </w:pict>
          </mc:Fallback>
        </mc:AlternateContent>
      </w:r>
      <w:r w:rsidR="001633EC" w:rsidRPr="001633EC">
        <w:rPr>
          <w:rFonts w:ascii="標楷體" w:eastAsia="標楷體" w:hAnsi="標楷體" w:cstheme="minorBidi" w:hint="eastAsia"/>
          <w:b/>
          <w:bCs/>
          <w:szCs w:val="24"/>
        </w:rPr>
        <w:t>2.</w:t>
      </w:r>
      <w:r w:rsidR="001633EC" w:rsidRPr="001633EC">
        <w:rPr>
          <w:rFonts w:ascii="標楷體" w:eastAsia="標楷體" w:hAnsi="標楷體" w:cstheme="minorBidi" w:hint="eastAsia"/>
          <w:b/>
          <w:color w:val="000000" w:themeColor="text1"/>
          <w:szCs w:val="24"/>
        </w:rPr>
        <w:t xml:space="preserve">　</w:t>
      </w:r>
      <w:r w:rsidR="001633EC" w:rsidRPr="001633EC">
        <w:rPr>
          <w:rFonts w:ascii="標楷體" w:eastAsia="標楷體" w:hAnsi="標楷體" w:cstheme="minorBidi" w:hint="eastAsia"/>
          <w:b/>
          <w:bCs/>
          <w:szCs w:val="24"/>
        </w:rPr>
        <w:t>EPIRB設備檢查之權責未盡</w:t>
      </w:r>
      <w:r w:rsidR="001633EC" w:rsidRPr="001633EC">
        <w:rPr>
          <w:rFonts w:ascii="標楷體" w:eastAsia="標楷體" w:hAnsi="標楷體" w:hint="eastAsia"/>
          <w:b/>
          <w:szCs w:val="24"/>
        </w:rPr>
        <w:t>明確</w:t>
      </w:r>
      <w:r w:rsidR="001633EC" w:rsidRPr="001633EC">
        <w:rPr>
          <w:rFonts w:ascii="標楷體" w:eastAsia="標楷體" w:hAnsi="標楷體" w:cstheme="minorBidi" w:hint="eastAsia"/>
          <w:b/>
          <w:bCs/>
          <w:szCs w:val="24"/>
        </w:rPr>
        <w:t>，又國際檢查指引部分項目尚待檢討納入國內檢查範圍，相關規範未盡完備：</w:t>
      </w:r>
      <w:r w:rsidR="001633EC" w:rsidRPr="001633EC">
        <w:rPr>
          <w:rFonts w:ascii="標楷體" w:eastAsia="標楷體" w:hAnsi="標楷體" w:cstheme="minorBidi" w:hint="eastAsia"/>
          <w:szCs w:val="24"/>
        </w:rPr>
        <w:t>依交通部訂定之船舶檢查規則第5條規定，國內船舶無線電信設備，施行檢查及審核圖樣之機關為電信主管機關。另依國家通訊傳播委員會訂定之船舶無線電臺不定期檢查實施要點第3點規定，船舶無線電臺不定期檢查之項目，包含EPIRB是否固定安置於船艙外側明顯可及處、EPIRB電池及自動浮離裝置是否於效期內、EPIRB發射水上行動業務識別碼是否正確等；第5點規定，不定期檢查之實施檢查單位為該會各區監理處，必要時，得由內政部警政署刑事警察局電信偵查大隊、海洋委員會海巡署、航政等主管機關或地方政府會同檢查。經查國家通訊傳播委員會辦理船舶無線電臺執照之新設、換照、年度及增設設備等審驗事宜，不定期檢查之抽查比率以每季屆期換照數10％以上，且每季至少辦理1次為原則，抽查對象限縮於屆期換照者；又該會認其監理目的係為維護射頻設備電波之和諧使用，爰有關EPIRB之安裝與效期檢查等，因攸關船舶航行安全，應由船舶檢查主管機關辦理。惟交通部航港局並非船舶檢查規則規定之船舶無線電信設備檢查主管機關，其訂定之船舶檢查項目，未包含EPIRB裝設情形等，相關檢查密度、強度及範圍顯有不足，無法確保EPIRB之裝設及性能均符合相關規定。另依國際海事組織（International Maritime Organization, IMO）海事安全委員會2021年10月18日之決議案，有關EPIRB年度檢查指引規範，主要檢查項目包含EPIRB及支架外殼是否有缺陷劣化、</w:t>
      </w:r>
      <w:r w:rsidR="001633EC" w:rsidRPr="00683C75">
        <w:rPr>
          <w:rFonts w:ascii="標楷體" w:eastAsia="標楷體" w:hAnsi="標楷體" w:cstheme="minorBidi" w:hint="eastAsia"/>
          <w:spacing w:val="4"/>
          <w:szCs w:val="24"/>
        </w:rPr>
        <w:t>驗證水上行動業務識別碼或無線電呼號、電池有效期限等17項，國家通訊傳播委員會訂定之船舶無線電臺審驗技術要點、船舶無線電臺不定期檢查實施要點、船舶無線電臺屆期換照自主檢查表等規定</w:t>
      </w:r>
      <w:r w:rsidR="001633EC" w:rsidRPr="001633EC">
        <w:rPr>
          <w:rFonts w:ascii="標楷體" w:eastAsia="標楷體" w:hAnsi="標楷體" w:cstheme="minorBidi" w:hint="eastAsia"/>
          <w:szCs w:val="24"/>
        </w:rPr>
        <w:t>，尚有「確認已於適當信標註冊資料庫中註冊」等6項（</w:t>
      </w:r>
      <w:r w:rsidR="001633EC" w:rsidRPr="00463203">
        <w:rPr>
          <w:rFonts w:ascii="標楷體" w:eastAsia="標楷體" w:hAnsi="標楷體" w:cstheme="minorBidi" w:hint="eastAsia"/>
          <w:szCs w:val="24"/>
        </w:rPr>
        <w:t>表</w:t>
      </w:r>
      <w:r w:rsidR="009821F7" w:rsidRPr="00463203">
        <w:rPr>
          <w:rFonts w:ascii="標楷體" w:eastAsia="標楷體" w:hAnsi="標楷體" w:cstheme="minorBidi" w:hint="eastAsia"/>
          <w:szCs w:val="24"/>
        </w:rPr>
        <w:t>39</w:t>
      </w:r>
      <w:r w:rsidR="001633EC" w:rsidRPr="001633EC">
        <w:rPr>
          <w:rFonts w:ascii="標楷體" w:eastAsia="標楷體" w:hAnsi="標楷體" w:cstheme="minorBidi" w:hint="eastAsia"/>
          <w:szCs w:val="24"/>
        </w:rPr>
        <w:t>），未納入EPIRB檢查範圍，相關規範未盡完備</w:t>
      </w:r>
      <w:r w:rsidR="0097487A">
        <w:rPr>
          <w:rFonts w:ascii="標楷體" w:eastAsia="標楷體" w:hAnsi="標楷體" w:cstheme="minorBidi" w:hint="eastAsia"/>
          <w:szCs w:val="24"/>
        </w:rPr>
        <w:t>。</w:t>
      </w:r>
      <w:r w:rsidR="001633EC" w:rsidRPr="001633EC">
        <w:rPr>
          <w:rFonts w:ascii="標楷體" w:eastAsia="標楷體" w:hAnsi="標楷體" w:cstheme="minorBidi" w:hint="eastAsia"/>
          <w:szCs w:val="24"/>
        </w:rPr>
        <w:t>經函請行政院督促交通部航港局及國家通訊傳播委員會明確EPIRB設備檢查權責，並參考IMO年度檢查指引研議周延相關檢查項目，以確保船舶航行及民眾生命安全。</w:t>
      </w:r>
      <w:r w:rsidR="001633EC" w:rsidRPr="004D7C92">
        <w:rPr>
          <w:rFonts w:ascii="標楷體" w:eastAsia="標楷體" w:hAnsi="標楷體" w:cstheme="minorBidi" w:hint="eastAsia"/>
          <w:bCs/>
          <w:szCs w:val="24"/>
        </w:rPr>
        <w:t>據復：</w:t>
      </w:r>
      <w:r w:rsidR="006E131B" w:rsidRPr="004D7C92">
        <w:rPr>
          <w:rFonts w:ascii="標楷體" w:eastAsia="標楷體" w:hAnsi="標楷體" w:cstheme="minorBidi" w:hint="eastAsia"/>
          <w:bCs/>
          <w:szCs w:val="24"/>
        </w:rPr>
        <w:t>為強化</w:t>
      </w:r>
      <w:r w:rsidR="006E131B" w:rsidRPr="004D7C92">
        <w:rPr>
          <w:rFonts w:ascii="標楷體" w:eastAsia="標楷體" w:hAnsi="標楷體" w:cstheme="minorBidi"/>
          <w:bCs/>
          <w:szCs w:val="24"/>
        </w:rPr>
        <w:t>EPIRB設備使用及檢查機制，國家運輸安全調查委員會於113年1月邀集國家通訊傳播委員會、交通部、交通部航港局、農業部漁業署、海洋委員會海巡署等單位召開「漁船EPIRB使用現況與改善推動工作會議」，討論相關行政程序及執行配套方案，後續將視國家運輸安全調查委員會協調各單位意見，適時召開協調會議取得共識。</w:t>
      </w:r>
    </w:p>
    <w:p w14:paraId="08A56189" w14:textId="3ABCA01A" w:rsidR="00220196" w:rsidRPr="001C3963" w:rsidRDefault="00220196" w:rsidP="00220196">
      <w:pPr>
        <w:pStyle w:val="2"/>
        <w:overflowPunct w:val="0"/>
        <w:spacing w:beforeLines="20" w:before="72" w:afterLines="20" w:after="72" w:line="430" w:lineRule="exact"/>
        <w:ind w:left="0" w:firstLineChars="200" w:firstLine="561"/>
        <w:rPr>
          <w:rFonts w:hAnsi="標楷體"/>
          <w:b/>
          <w:color w:val="000000" w:themeColor="text1"/>
          <w:kern w:val="2"/>
          <w:sz w:val="28"/>
          <w:szCs w:val="28"/>
        </w:rPr>
      </w:pPr>
      <w:r w:rsidRPr="001C3963">
        <w:rPr>
          <w:rFonts w:hAnsi="標楷體" w:hint="eastAsia"/>
          <w:b/>
          <w:color w:val="000000" w:themeColor="text1"/>
          <w:kern w:val="2"/>
          <w:sz w:val="28"/>
          <w:szCs w:val="28"/>
        </w:rPr>
        <w:lastRenderedPageBreak/>
        <w:t>（</w:t>
      </w:r>
      <w:r>
        <w:rPr>
          <w:rFonts w:hAnsi="標楷體" w:hint="eastAsia"/>
          <w:b/>
          <w:color w:val="000000" w:themeColor="text1"/>
          <w:kern w:val="2"/>
          <w:sz w:val="28"/>
          <w:szCs w:val="28"/>
        </w:rPr>
        <w:t>三十</w:t>
      </w:r>
      <w:r w:rsidR="00781889">
        <w:rPr>
          <w:rFonts w:hAnsi="標楷體" w:hint="eastAsia"/>
          <w:b/>
          <w:color w:val="000000" w:themeColor="text1"/>
          <w:kern w:val="2"/>
          <w:sz w:val="28"/>
          <w:szCs w:val="28"/>
        </w:rPr>
        <w:t>二</w:t>
      </w:r>
      <w:r w:rsidRPr="001C3963">
        <w:rPr>
          <w:rFonts w:hAnsi="標楷體" w:hint="eastAsia"/>
          <w:b/>
          <w:color w:val="000000" w:themeColor="text1"/>
          <w:kern w:val="2"/>
          <w:sz w:val="28"/>
          <w:szCs w:val="28"/>
        </w:rPr>
        <w:t>）　連接臺灣本島與離島之海底通訊電纜攸關民眾生活與安全，近年電纜受損案件頻傳，國家通訊傳播委員會允宜持續督導電信業者強化海纜通信系統之備援機制與安全防護，以確保我國通訊安全與暢通。</w:t>
      </w:r>
    </w:p>
    <w:p w14:paraId="72CEDE52" w14:textId="359E6D43" w:rsidR="00A15E84" w:rsidRDefault="00220196" w:rsidP="004D7C92">
      <w:pPr>
        <w:widowControl/>
        <w:overflowPunct w:val="0"/>
        <w:spacing w:line="420" w:lineRule="exact"/>
        <w:ind w:firstLineChars="200" w:firstLine="480"/>
        <w:jc w:val="both"/>
        <w:rPr>
          <w:rFonts w:hAnsi="標楷體"/>
          <w:color w:val="000000" w:themeColor="text1"/>
          <w:szCs w:val="24"/>
        </w:rPr>
      </w:pPr>
      <w:r w:rsidRPr="00C30430">
        <w:rPr>
          <w:rFonts w:ascii="標楷體" w:eastAsia="標楷體" w:hAnsi="標楷體" w:hint="eastAsia"/>
          <w:szCs w:val="24"/>
        </w:rPr>
        <w:t>據國家通訊傳播委員會發布之112年通訊傳播市場報告指出，海底通訊電纜為全球最重要網路骨幹，承載國際數據流量達9成，又為完善與整備我國先進網路建設，行政院於110年10月發布「智慧國家方案（2021-2025年）」，內容包含推動海纜安全防護政策，以強化網路韌性。臺灣本島與離島間通信以海纜通信系統為主，微波鏈路及衛星通信系統為輔，海纜通信系統如發生障礙，將嚴重衝擊臺灣本島與離島間通信功能，爰國家通訊傳播委員會於111年1月7日研提「國家通訊傳播委員會強化國內海纜備援防護監理措施」，督導電信業者強化海纜通信系統之備援機制與安全防護。經查國內海纜共10條，均由中華電信股份有限公司（下稱中華電信公</w:t>
      </w:r>
      <w:r w:rsidR="00650E31">
        <w:rPr>
          <w:rFonts w:ascii="標楷體" w:eastAsia="標楷體" w:hAnsi="標楷體" w:hint="eastAsia"/>
          <w:noProof/>
          <w:szCs w:val="24"/>
        </w:rPr>
        <mc:AlternateContent>
          <mc:Choice Requires="wps">
            <w:drawing>
              <wp:anchor distT="0" distB="0" distL="114300" distR="114300" simplePos="0" relativeHeight="251677696" behindDoc="0" locked="0" layoutInCell="1" allowOverlap="1" wp14:anchorId="265F95D2" wp14:editId="21BB7F81">
                <wp:simplePos x="0" y="0"/>
                <wp:positionH relativeFrom="column">
                  <wp:posOffset>2807921</wp:posOffset>
                </wp:positionH>
                <wp:positionV relativeFrom="paragraph">
                  <wp:posOffset>1549693</wp:posOffset>
                </wp:positionV>
                <wp:extent cx="3408045" cy="2476500"/>
                <wp:effectExtent l="0" t="0" r="1905" b="0"/>
                <wp:wrapSquare wrapText="bothSides"/>
                <wp:docPr id="6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8045" cy="2476500"/>
                        </a:xfrm>
                        <a:prstGeom prst="rect">
                          <a:avLst/>
                        </a:prstGeom>
                        <a:solidFill>
                          <a:srgbClr val="FFFFFF"/>
                        </a:solidFill>
                        <a:ln w="9525">
                          <a:noFill/>
                          <a:miter lim="800000"/>
                          <a:headEnd/>
                          <a:tailEnd/>
                        </a:ln>
                      </wps:spPr>
                      <wps:txbx>
                        <w:txbxContent>
                          <w:p w14:paraId="1BBAE7E3" w14:textId="3D925C7F" w:rsidR="00A0212B" w:rsidRDefault="00A0212B" w:rsidP="00220196">
                            <w:pPr>
                              <w:spacing w:line="260" w:lineRule="exact"/>
                              <w:ind w:left="662" w:hangingChars="290" w:hanging="662"/>
                              <w:jc w:val="center"/>
                              <w:rPr>
                                <w:rFonts w:ascii="標楷體" w:eastAsia="標楷體" w:hAnsi="標楷體"/>
                                <w:b/>
                                <w:bCs/>
                                <w:spacing w:val="-6"/>
                              </w:rPr>
                            </w:pPr>
                            <w:r>
                              <w:rPr>
                                <w:rFonts w:ascii="標楷體" w:eastAsia="標楷體" w:hAnsi="標楷體" w:hint="eastAsia"/>
                                <w:b/>
                                <w:bCs/>
                                <w:spacing w:val="-6"/>
                              </w:rPr>
                              <w:t>圖</w:t>
                            </w:r>
                            <w:bookmarkStart w:id="17" w:name="_Hlk165278160"/>
                            <w:r>
                              <w:rPr>
                                <w:rFonts w:ascii="標楷體" w:eastAsia="標楷體" w:hAnsi="標楷體"/>
                                <w:b/>
                                <w:bCs/>
                                <w:szCs w:val="24"/>
                              </w:rPr>
                              <w:t>18</w:t>
                            </w:r>
                            <w:r>
                              <w:rPr>
                                <w:rFonts w:ascii="標楷體" w:eastAsia="標楷體" w:hAnsi="標楷體" w:hint="eastAsia"/>
                                <w:b/>
                                <w:bCs/>
                                <w:spacing w:val="-6"/>
                              </w:rPr>
                              <w:t xml:space="preserve">　國內海底通訊電纜</w:t>
                            </w:r>
                            <w:bookmarkEnd w:id="17"/>
                            <w:r>
                              <w:rPr>
                                <w:rFonts w:ascii="標楷體" w:eastAsia="標楷體" w:hAnsi="標楷體" w:hint="eastAsia"/>
                                <w:b/>
                                <w:bCs/>
                                <w:spacing w:val="-6"/>
                              </w:rPr>
                              <w:t>受損案件數</w:t>
                            </w:r>
                          </w:p>
                          <w:p w14:paraId="6C5EBF56" w14:textId="77777777" w:rsidR="00A0212B" w:rsidRDefault="00A0212B" w:rsidP="00220196">
                            <w:pPr>
                              <w:spacing w:line="260" w:lineRule="exact"/>
                              <w:ind w:left="662" w:hangingChars="290" w:hanging="662"/>
                              <w:jc w:val="center"/>
                              <w:rPr>
                                <w:rFonts w:ascii="標楷體" w:eastAsia="標楷體" w:hAnsi="標楷體"/>
                                <w:b/>
                                <w:bCs/>
                                <w:spacing w:val="-6"/>
                              </w:rPr>
                            </w:pPr>
                          </w:p>
                          <w:p w14:paraId="09DF3836" w14:textId="77777777" w:rsidR="00A0212B" w:rsidRPr="003F5591" w:rsidRDefault="00A0212B" w:rsidP="00220196">
                            <w:pPr>
                              <w:adjustRightInd w:val="0"/>
                              <w:snapToGrid w:val="0"/>
                              <w:ind w:left="120" w:hangingChars="50" w:hanging="120"/>
                              <w:rPr>
                                <w:rFonts w:ascii="標楷體" w:eastAsia="標楷體" w:hAnsi="標楷體"/>
                                <w:sz w:val="18"/>
                                <w:szCs w:val="18"/>
                              </w:rPr>
                            </w:pPr>
                            <w:r>
                              <w:rPr>
                                <w:noProof/>
                              </w:rPr>
                              <w:drawing>
                                <wp:inline distT="0" distB="0" distL="0" distR="0" wp14:anchorId="5DF34F06" wp14:editId="195272FB">
                                  <wp:extent cx="3216275" cy="1876425"/>
                                  <wp:effectExtent l="0" t="0" r="3175" b="0"/>
                                  <wp:docPr id="70" name="圖表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3F5591">
                              <w:rPr>
                                <w:rFonts w:ascii="標楷體" w:eastAsia="標楷體" w:hAnsi="標楷體" w:hint="eastAsia"/>
                                <w:sz w:val="18"/>
                                <w:szCs w:val="18"/>
                              </w:rPr>
                              <w:t>資料來源：整理自國家通訊傳播委員會提供資料。</w:t>
                            </w:r>
                          </w:p>
                        </w:txbxContent>
                      </wps:txbx>
                      <wps:bodyPr rot="0" vertOverflow="clip" horzOverflow="clip" vert="horz" wrap="square" lIns="91440" tIns="45720" rIns="91440" bIns="45720" anchor="t" anchorCtr="0">
                        <a:noAutofit/>
                      </wps:bodyPr>
                    </wps:wsp>
                  </a:graphicData>
                </a:graphic>
              </wp:anchor>
            </w:drawing>
          </mc:Choice>
          <mc:Fallback>
            <w:pict>
              <v:shape w14:anchorId="265F95D2" id="_x0000_s1122" type="#_x0000_t202" style="position:absolute;left:0;text-align:left;margin-left:221.1pt;margin-top:122pt;width:268.35pt;height:19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" stroked="f">
                <v:textbox>
                  <w:txbxContent>
                    <w:p w14:paraId="1BBAE7E3" w14:textId="3D925C7F" w:rsidR="00A0212B" w:rsidRDefault="00A0212B" w:rsidP="00220196">
                      <w:pPr>
                        <w:spacing w:line="260" w:lineRule="exact"/>
                        <w:ind w:left="662" w:hangingChars="290" w:hanging="662"/>
                        <w:jc w:val="center"/>
                        <w:rPr>
                          <w:rFonts w:ascii="標楷體" w:eastAsia="標楷體" w:hAnsi="標楷體"/>
                          <w:b/>
                          <w:bCs/>
                          <w:spacing w:val="-6"/>
                        </w:rPr>
                      </w:pPr>
                      <w:r>
                        <w:rPr>
                          <w:rFonts w:ascii="標楷體" w:eastAsia="標楷體" w:hAnsi="標楷體" w:hint="eastAsia"/>
                          <w:b/>
                          <w:bCs/>
                          <w:spacing w:val="-6"/>
                        </w:rPr>
                        <w:t>圖</w:t>
                      </w:r>
                      <w:bookmarkStart w:id="18" w:name="_Hlk165278160"/>
                      <w:r>
                        <w:rPr>
                          <w:rFonts w:ascii="標楷體" w:eastAsia="標楷體" w:hAnsi="標楷體"/>
                          <w:b/>
                          <w:bCs/>
                          <w:szCs w:val="24"/>
                        </w:rPr>
                        <w:t>18</w:t>
                      </w:r>
                      <w:r>
                        <w:rPr>
                          <w:rFonts w:ascii="標楷體" w:eastAsia="標楷體" w:hAnsi="標楷體" w:hint="eastAsia"/>
                          <w:b/>
                          <w:bCs/>
                          <w:spacing w:val="-6"/>
                        </w:rPr>
                        <w:t xml:space="preserve">　國內海底通訊電纜</w:t>
                      </w:r>
                      <w:bookmarkEnd w:id="18"/>
                      <w:r>
                        <w:rPr>
                          <w:rFonts w:ascii="標楷體" w:eastAsia="標楷體" w:hAnsi="標楷體" w:hint="eastAsia"/>
                          <w:b/>
                          <w:bCs/>
                          <w:spacing w:val="-6"/>
                        </w:rPr>
                        <w:t>受損案件數</w:t>
                      </w:r>
                    </w:p>
                    <w:p w14:paraId="6C5EBF56" w14:textId="77777777" w:rsidR="00A0212B" w:rsidRDefault="00A0212B" w:rsidP="00220196">
                      <w:pPr>
                        <w:spacing w:line="260" w:lineRule="exact"/>
                        <w:ind w:left="662" w:hangingChars="290" w:hanging="662"/>
                        <w:jc w:val="center"/>
                        <w:rPr>
                          <w:rFonts w:ascii="標楷體" w:eastAsia="標楷體" w:hAnsi="標楷體"/>
                          <w:b/>
                          <w:bCs/>
                          <w:spacing w:val="-6"/>
                        </w:rPr>
                      </w:pPr>
                    </w:p>
                    <w:p w14:paraId="09DF3836" w14:textId="77777777" w:rsidR="00A0212B" w:rsidRPr="003F5591" w:rsidRDefault="00A0212B" w:rsidP="00220196">
                      <w:pPr>
                        <w:adjustRightInd w:val="0"/>
                        <w:snapToGrid w:val="0"/>
                        <w:ind w:left="120" w:hangingChars="50" w:hanging="120"/>
                        <w:rPr>
                          <w:rFonts w:ascii="標楷體" w:eastAsia="標楷體" w:hAnsi="標楷體"/>
                          <w:sz w:val="18"/>
                          <w:szCs w:val="18"/>
                        </w:rPr>
                      </w:pPr>
                      <w:r>
                        <w:rPr>
                          <w:noProof/>
                        </w:rPr>
                        <w:drawing>
                          <wp:inline distT="0" distB="0" distL="0" distR="0" wp14:anchorId="5DF34F06" wp14:editId="195272FB">
                            <wp:extent cx="3216275" cy="1876425"/>
                            <wp:effectExtent l="0" t="0" r="3175" b="0"/>
                            <wp:docPr id="70" name="圖表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3F5591">
                        <w:rPr>
                          <w:rFonts w:ascii="標楷體" w:eastAsia="標楷體" w:hAnsi="標楷體" w:hint="eastAsia"/>
                          <w:sz w:val="18"/>
                          <w:szCs w:val="18"/>
                        </w:rPr>
                        <w:t>資料來源：整理自國家通訊傳播委員會提供資料。</w:t>
                      </w:r>
                    </w:p>
                  </w:txbxContent>
                </v:textbox>
                <w10:wrap type="square"/>
              </v:shape>
            </w:pict>
          </mc:Fallback>
        </mc:AlternateContent>
      </w:r>
      <w:r w:rsidRPr="00C30430">
        <w:rPr>
          <w:rFonts w:ascii="標楷體" w:eastAsia="標楷體" w:hAnsi="標楷體" w:hint="eastAsia"/>
          <w:szCs w:val="24"/>
        </w:rPr>
        <w:t>司）投資建置與維護，分別連接臺灣本島</w:t>
      </w:r>
      <w:r w:rsidR="002909E4">
        <w:rPr>
          <w:rFonts w:ascii="標楷體" w:eastAsia="標楷體" w:hAnsi="標楷體" w:hint="eastAsia"/>
          <w:noProof/>
          <w:szCs w:val="24"/>
        </w:rPr>
        <mc:AlternateContent>
          <mc:Choice Requires="wps">
            <w:drawing>
              <wp:anchor distT="0" distB="0" distL="114300" distR="114300" simplePos="0" relativeHeight="251679744" behindDoc="0" locked="0" layoutInCell="1" allowOverlap="1" wp14:anchorId="37915748" wp14:editId="31174890">
                <wp:simplePos x="0" y="0"/>
                <wp:positionH relativeFrom="column">
                  <wp:posOffset>2906981</wp:posOffset>
                </wp:positionH>
                <wp:positionV relativeFrom="paragraph">
                  <wp:posOffset>1717333</wp:posOffset>
                </wp:positionV>
                <wp:extent cx="316865" cy="281940"/>
                <wp:effectExtent l="0" t="0" r="0" b="3810"/>
                <wp:wrapSquare wrapText="bothSides"/>
                <wp:docPr id="69" name="文字方塊 69"/>
                <wp:cNvGraphicFramePr/>
                <a:graphic xmlns:a="http://schemas.openxmlformats.org/drawingml/2006/main">
                  <a:graphicData uri="http://schemas.microsoft.com/office/word/2010/wordprocessingShape">
                    <wps:wsp>
                      <wps:cNvSpPr txBox="1"/>
                      <wps:spPr>
                        <a:xfrm>
                          <a:off x="0" y="0"/>
                          <a:ext cx="316865" cy="281940"/>
                        </a:xfrm>
                        <a:prstGeom prst="rect">
                          <a:avLst/>
                        </a:prstGeom>
                        <a:noFill/>
                        <a:ln w="6350">
                          <a:noFill/>
                        </a:ln>
                      </wps:spPr>
                      <wps:txbx>
                        <w:txbxContent>
                          <w:p w14:paraId="6C172EF0" w14:textId="77777777" w:rsidR="00A0212B" w:rsidRPr="00EA0A06" w:rsidRDefault="00A0212B" w:rsidP="00220196">
                            <w:pPr>
                              <w:rPr>
                                <w:rFonts w:ascii="標楷體" w:eastAsia="標楷體" w:hAnsi="標楷體"/>
                                <w:sz w:val="20"/>
                                <w:szCs w:val="18"/>
                              </w:rPr>
                            </w:pPr>
                            <w:r w:rsidRPr="00EA0A06">
                              <w:rPr>
                                <w:rFonts w:ascii="標楷體" w:eastAsia="標楷體" w:hAnsi="標楷體" w:hint="eastAsia"/>
                                <w:sz w:val="20"/>
                                <w:szCs w:val="18"/>
                              </w:rPr>
                              <w:t>件</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7915748" id="文字方塊 69" o:spid="_x0000_s1123" type="#_x0000_t202" style="position:absolute;left:0;text-align:left;margin-left:228.9pt;margin-top:135.2pt;width:24.95pt;height:22.2pt;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" filled="f" stroked="f" strokeweight=".5pt">
                <v:textbox>
                  <w:txbxContent>
                    <w:p w14:paraId="6C172EF0" w14:textId="77777777" w:rsidR="00A0212B" w:rsidRPr="00EA0A06" w:rsidRDefault="00A0212B" w:rsidP="00220196">
                      <w:pPr>
                        <w:rPr>
                          <w:rFonts w:ascii="標楷體" w:eastAsia="標楷體" w:hAnsi="標楷體"/>
                          <w:sz w:val="20"/>
                          <w:szCs w:val="18"/>
                        </w:rPr>
                      </w:pPr>
                      <w:r w:rsidRPr="00EA0A06">
                        <w:rPr>
                          <w:rFonts w:ascii="標楷體" w:eastAsia="標楷體" w:hAnsi="標楷體" w:hint="eastAsia"/>
                          <w:sz w:val="20"/>
                          <w:szCs w:val="18"/>
                        </w:rPr>
                        <w:t>件</w:t>
                      </w:r>
                    </w:p>
                  </w:txbxContent>
                </v:textbox>
                <w10:wrap type="square"/>
              </v:shape>
            </w:pict>
          </mc:Fallback>
        </mc:AlternateContent>
      </w:r>
      <w:r w:rsidRPr="00C30430">
        <w:rPr>
          <w:rFonts w:ascii="標楷體" w:eastAsia="標楷體" w:hAnsi="標楷體" w:hint="eastAsia"/>
          <w:szCs w:val="24"/>
        </w:rPr>
        <w:t>與澎湖、金門、馬祖等離島，近5年度（108至112年度）發生外力破壞或推擠受損案件計有36件（</w:t>
      </w:r>
      <w:r w:rsidRPr="00855CF4">
        <w:rPr>
          <w:rFonts w:ascii="標楷體" w:eastAsia="標楷體" w:hAnsi="標楷體" w:hint="eastAsia"/>
          <w:szCs w:val="24"/>
        </w:rPr>
        <w:t>圖1</w:t>
      </w:r>
      <w:r w:rsidR="00B77F9F" w:rsidRPr="00855CF4">
        <w:rPr>
          <w:rFonts w:ascii="標楷體" w:eastAsia="標楷體" w:hAnsi="標楷體" w:hint="eastAsia"/>
          <w:szCs w:val="24"/>
        </w:rPr>
        <w:t>8</w:t>
      </w:r>
      <w:r w:rsidRPr="00C30430">
        <w:rPr>
          <w:rFonts w:ascii="標楷體" w:eastAsia="標楷體" w:hAnsi="標楷體" w:hint="eastAsia"/>
          <w:szCs w:val="24"/>
        </w:rPr>
        <w:t>），年平均故障約7件，112年度甚且高達12件，為歷年最高，據該會說明主要係遭受臨近國家抽砂船、漁船、商船等各式船隻作業或航行錨</w:t>
      </w:r>
      <w:r w:rsidR="00650E31">
        <w:rPr>
          <w:rFonts w:ascii="標楷體" w:eastAsia="標楷體" w:hAnsi="標楷體" w:hint="eastAsia"/>
          <w:noProof/>
          <w:szCs w:val="24"/>
        </w:rPr>
        <mc:AlternateContent>
          <mc:Choice Requires="wps">
            <w:drawing>
              <wp:anchor distT="0" distB="0" distL="114300" distR="114300" simplePos="0" relativeHeight="251678720" behindDoc="0" locked="0" layoutInCell="1" allowOverlap="1" wp14:anchorId="052B58B7" wp14:editId="654787D7">
                <wp:simplePos x="0" y="0"/>
                <wp:positionH relativeFrom="column">
                  <wp:posOffset>5871161</wp:posOffset>
                </wp:positionH>
                <wp:positionV relativeFrom="paragraph">
                  <wp:posOffset>3500413</wp:posOffset>
                </wp:positionV>
                <wp:extent cx="443865" cy="304800"/>
                <wp:effectExtent l="0" t="0" r="0" b="0"/>
                <wp:wrapSquare wrapText="bothSides"/>
                <wp:docPr id="68" name="文字方塊 68"/>
                <wp:cNvGraphicFramePr/>
                <a:graphic xmlns:a="http://schemas.openxmlformats.org/drawingml/2006/main">
                  <a:graphicData uri="http://schemas.microsoft.com/office/word/2010/wordprocessingShape">
                    <wps:wsp>
                      <wps:cNvSpPr txBox="1"/>
                      <wps:spPr>
                        <a:xfrm>
                          <a:off x="0" y="0"/>
                          <a:ext cx="443865" cy="304800"/>
                        </a:xfrm>
                        <a:prstGeom prst="rect">
                          <a:avLst/>
                        </a:prstGeom>
                        <a:noFill/>
                        <a:ln w="6350">
                          <a:noFill/>
                        </a:ln>
                      </wps:spPr>
                      <wps:txbx>
                        <w:txbxContent>
                          <w:p w14:paraId="542127DC" w14:textId="77777777" w:rsidR="00A0212B" w:rsidRPr="00EA0A06" w:rsidRDefault="00A0212B" w:rsidP="00220196">
                            <w:pPr>
                              <w:rPr>
                                <w:rFonts w:ascii="標楷體" w:eastAsia="標楷體" w:hAnsi="標楷體"/>
                                <w:sz w:val="20"/>
                              </w:rPr>
                            </w:pPr>
                            <w:r w:rsidRPr="00EA0A06">
                              <w:rPr>
                                <w:rFonts w:ascii="標楷體" w:eastAsia="標楷體" w:hAnsi="標楷體" w:hint="eastAsia"/>
                                <w:sz w:val="20"/>
                              </w:rPr>
                              <w:t>年度</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2B58B7" id="文字方塊 68" o:spid="_x0000_s1124" type="#_x0000_t202" style="position:absolute;left:0;text-align:left;margin-left:462.3pt;margin-top:275.6pt;width:34.95pt;height:24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" filled="f" stroked="f" strokeweight=".5pt">
                <v:textbox>
                  <w:txbxContent>
                    <w:p w14:paraId="542127DC" w14:textId="77777777" w:rsidR="00A0212B" w:rsidRPr="00EA0A06" w:rsidRDefault="00A0212B" w:rsidP="00220196">
                      <w:pPr>
                        <w:rPr>
                          <w:rFonts w:ascii="標楷體" w:eastAsia="標楷體" w:hAnsi="標楷體"/>
                          <w:sz w:val="20"/>
                        </w:rPr>
                      </w:pPr>
                      <w:r w:rsidRPr="00EA0A06">
                        <w:rPr>
                          <w:rFonts w:ascii="標楷體" w:eastAsia="標楷體" w:hAnsi="標楷體" w:hint="eastAsia"/>
                          <w:sz w:val="20"/>
                        </w:rPr>
                        <w:t>年度</w:t>
                      </w:r>
                    </w:p>
                  </w:txbxContent>
                </v:textbox>
                <w10:wrap type="square"/>
              </v:shape>
            </w:pict>
          </mc:Fallback>
        </mc:AlternateContent>
      </w:r>
      <w:r w:rsidRPr="00C30430">
        <w:rPr>
          <w:rFonts w:ascii="標楷體" w:eastAsia="標楷體" w:hAnsi="標楷體" w:hint="eastAsia"/>
          <w:szCs w:val="24"/>
        </w:rPr>
        <w:t>泊破壞所致，且遇障礙後修復費時，甚有超過4個月始修復完成情形，影響離島民眾生活至巨，其中台馬第二海纜「淡水－東引」區段於112年2月2日發生疑似遭受漁船下錨勾損事件，通訊網路服務緊急移由台馬第三海纜支應，惟台馬第三海纜「草漯－南竿」區段亦於</w:t>
      </w:r>
      <w:r w:rsidRPr="00C30430">
        <w:rPr>
          <w:rFonts w:ascii="標楷體" w:eastAsia="標楷體" w:hAnsi="標楷體"/>
          <w:szCs w:val="24"/>
        </w:rPr>
        <w:t>112</w:t>
      </w:r>
      <w:r w:rsidRPr="00C30430">
        <w:rPr>
          <w:rFonts w:ascii="標楷體" w:eastAsia="標楷體" w:hAnsi="標楷體" w:hint="eastAsia"/>
          <w:szCs w:val="24"/>
        </w:rPr>
        <w:t>年</w:t>
      </w:r>
      <w:r w:rsidRPr="00C30430">
        <w:rPr>
          <w:rFonts w:ascii="標楷體" w:eastAsia="標楷體" w:hAnsi="標楷體"/>
          <w:szCs w:val="24"/>
        </w:rPr>
        <w:t>2</w:t>
      </w:r>
      <w:r w:rsidRPr="00C30430">
        <w:rPr>
          <w:rFonts w:ascii="標楷體" w:eastAsia="標楷體" w:hAnsi="標楷體" w:hint="eastAsia"/>
          <w:szCs w:val="24"/>
        </w:rPr>
        <w:t>月</w:t>
      </w:r>
      <w:r w:rsidRPr="00C30430">
        <w:rPr>
          <w:rFonts w:ascii="標楷體" w:eastAsia="標楷體" w:hAnsi="標楷體"/>
          <w:szCs w:val="24"/>
        </w:rPr>
        <w:t>8</w:t>
      </w:r>
      <w:r w:rsidRPr="00C30430">
        <w:rPr>
          <w:rFonts w:ascii="標楷體" w:eastAsia="標楷體" w:hAnsi="標楷體" w:hint="eastAsia"/>
          <w:szCs w:val="24"/>
        </w:rPr>
        <w:t>日發生疑似遭受貨輪下錨勾損事件，維修作業須協調國際海纜船至事故發生地進行搶修，致離島通訊須轉由微波因應，期間又因微波頻寛不足，無法全面性涵蓋，致馬祖地區</w:t>
      </w:r>
      <w:r w:rsidRPr="00C30430">
        <w:rPr>
          <w:rFonts w:ascii="標楷體" w:eastAsia="標楷體" w:hAnsi="標楷體"/>
          <w:szCs w:val="24"/>
        </w:rPr>
        <w:t>1</w:t>
      </w:r>
      <w:r w:rsidRPr="00C30430">
        <w:rPr>
          <w:rFonts w:ascii="標楷體" w:eastAsia="標楷體" w:hAnsi="標楷體" w:hint="eastAsia"/>
          <w:szCs w:val="24"/>
        </w:rPr>
        <w:t>萬餘戶居民家用電話、行動通訊及網路服務壅塞，無法通聯，</w:t>
      </w:r>
      <w:r w:rsidR="00CB1F1A">
        <w:rPr>
          <w:rFonts w:ascii="標楷體" w:eastAsia="標楷體" w:hAnsi="標楷體" w:hint="eastAsia"/>
          <w:szCs w:val="24"/>
        </w:rPr>
        <w:t>嚴重</w:t>
      </w:r>
      <w:r w:rsidRPr="00C30430">
        <w:rPr>
          <w:rFonts w:ascii="標楷體" w:eastAsia="標楷體" w:hAnsi="標楷體" w:hint="eastAsia"/>
          <w:szCs w:val="24"/>
        </w:rPr>
        <w:t>影響政府機關、金融交易、醫療服務及交通運輸等</w:t>
      </w:r>
      <w:r w:rsidRPr="00A334D6">
        <w:rPr>
          <w:rFonts w:ascii="標楷體" w:eastAsia="標楷體" w:hAnsi="標楷體" w:hint="eastAsia"/>
          <w:szCs w:val="24"/>
        </w:rPr>
        <w:t>運作。</w:t>
      </w:r>
      <w:r w:rsidR="00A334D6">
        <w:rPr>
          <w:rFonts w:ascii="標楷體" w:eastAsia="標楷體" w:hAnsi="標楷體" w:hint="eastAsia"/>
          <w:szCs w:val="24"/>
        </w:rPr>
        <w:t>鑑於</w:t>
      </w:r>
      <w:r w:rsidRPr="00C30430">
        <w:rPr>
          <w:rFonts w:ascii="標楷體" w:eastAsia="標楷體" w:hAnsi="標楷體" w:hint="eastAsia"/>
          <w:szCs w:val="24"/>
        </w:rPr>
        <w:t>連接臺灣本島與離島之海底通訊電纜，攸關民眾生活與安全，該會雖督導中華電信公司持續擴增微波備援系統容量，研發海纜保護區自動警告系統，即時偵測進入海纜保護區作業船舶，並介接交通部航港局自動識別系統傳送告警訊息</w:t>
      </w:r>
      <w:r>
        <w:rPr>
          <w:rFonts w:ascii="標楷體" w:eastAsia="標楷體" w:hAnsi="標楷體" w:hint="eastAsia"/>
          <w:szCs w:val="24"/>
        </w:rPr>
        <w:t>予</w:t>
      </w:r>
      <w:r w:rsidRPr="00C30430">
        <w:rPr>
          <w:rFonts w:ascii="標楷體" w:eastAsia="標楷體" w:hAnsi="標楷體" w:hint="eastAsia"/>
          <w:szCs w:val="24"/>
        </w:rPr>
        <w:t>各該船舶，同時通知海巡單位前往海纜所在海域巡護盤查等備援及防護機制，</w:t>
      </w:r>
      <w:r w:rsidRPr="00A334D6">
        <w:rPr>
          <w:rFonts w:ascii="標楷體" w:eastAsia="標楷體" w:hAnsi="標楷體" w:hint="eastAsia"/>
          <w:szCs w:val="24"/>
        </w:rPr>
        <w:t>惟近年電纜受損案件頻傳，</w:t>
      </w:r>
      <w:r w:rsidR="00A334D6" w:rsidRPr="00A334D6">
        <w:rPr>
          <w:rFonts w:ascii="標楷體" w:eastAsia="標楷體" w:hAnsi="標楷體" w:hint="eastAsia"/>
          <w:szCs w:val="24"/>
        </w:rPr>
        <w:t>經函請國家通訊傳播委員會持續督導電信業者強化海底通訊電纜防護措施，以</w:t>
      </w:r>
      <w:r w:rsidRPr="00A334D6">
        <w:rPr>
          <w:rFonts w:ascii="標楷體" w:eastAsia="標楷體" w:hAnsi="標楷體" w:hint="eastAsia"/>
          <w:szCs w:val="24"/>
        </w:rPr>
        <w:t>確保離島軍民通訊網</w:t>
      </w:r>
      <w:r w:rsidRPr="00C30430">
        <w:rPr>
          <w:rFonts w:ascii="標楷體" w:eastAsia="標楷體" w:hAnsi="標楷體" w:hint="eastAsia"/>
          <w:szCs w:val="24"/>
        </w:rPr>
        <w:t>路正常穩定運作。據復：已督導電信業者透過多重防護機制降低海纜受損之風險，包含辦理訊務疏轉演練及抽換障礙率較高區段之海纜等措施，並擴增臺馬微波備援系統容量，後續將持續督導電信業者強化海纜防護措施</w:t>
      </w:r>
      <w:r>
        <w:rPr>
          <w:rFonts w:ascii="標楷體" w:eastAsia="標楷體" w:hAnsi="標楷體" w:hint="eastAsia"/>
          <w:szCs w:val="24"/>
        </w:rPr>
        <w:t>。</w:t>
      </w:r>
      <w:r w:rsidR="001633EC" w:rsidRPr="001633EC">
        <w:rPr>
          <w:rFonts w:ascii="標楷體" w:eastAsia="標楷體" w:hAnsi="標楷體" w:cstheme="minorBidi" w:hint="eastAsia"/>
          <w:bCs/>
          <w:noProof/>
        </w:rPr>
        <mc:AlternateContent>
          <mc:Choice Requires="wps">
            <w:drawing>
              <wp:anchor distT="0" distB="0" distL="114300" distR="114300" simplePos="0" relativeHeight="251650048" behindDoc="0" locked="0" layoutInCell="1" allowOverlap="1" wp14:anchorId="1F031AC6" wp14:editId="0433208C">
                <wp:simplePos x="0" y="0"/>
                <wp:positionH relativeFrom="page">
                  <wp:posOffset>586740</wp:posOffset>
                </wp:positionH>
                <wp:positionV relativeFrom="margin">
                  <wp:posOffset>17006570</wp:posOffset>
                </wp:positionV>
                <wp:extent cx="6374765" cy="4146550"/>
                <wp:effectExtent l="0" t="0" r="6985" b="6350"/>
                <wp:wrapSquare wrapText="bothSides"/>
                <wp:docPr id="64" name="文字方塊 64"/>
                <wp:cNvGraphicFramePr/>
                <a:graphic xmlns:a="http://schemas.openxmlformats.org/drawingml/2006/main">
                  <a:graphicData uri="http://schemas.microsoft.com/office/word/2010/wordprocessingShape">
                    <wps:wsp>
                      <wps:cNvSpPr txBox="1"/>
                      <wps:spPr>
                        <a:xfrm>
                          <a:off x="0" y="0"/>
                          <a:ext cx="6374765" cy="4146550"/>
                        </a:xfrm>
                        <a:prstGeom prst="rect">
                          <a:avLst/>
                        </a:prstGeom>
                        <a:solidFill>
                          <a:sysClr val="window" lastClr="FFFFFF"/>
                        </a:solidFill>
                        <a:ln w="6350">
                          <a:noFill/>
                        </a:ln>
                        <a:effectLst/>
                      </wps:spPr>
                      <wps:txbx>
                        <w:txbxContent>
                          <w:tbl>
                            <w:tblPr>
                              <w:tblW w:w="9592" w:type="dxa"/>
                              <w:jc w:val="center"/>
                              <w:tblCellMar>
                                <w:left w:w="28" w:type="dxa"/>
                                <w:right w:w="28" w:type="dxa"/>
                              </w:tblCellMar>
                              <w:tblLook w:val="04A0" w:firstRow="1" w:lastRow="0" w:firstColumn="1" w:lastColumn="0" w:noHBand="0" w:noVBand="1"/>
                            </w:tblPr>
                            <w:tblGrid>
                              <w:gridCol w:w="681"/>
                              <w:gridCol w:w="1465"/>
                              <w:gridCol w:w="1077"/>
                              <w:gridCol w:w="1389"/>
                              <w:gridCol w:w="958"/>
                              <w:gridCol w:w="956"/>
                              <w:gridCol w:w="758"/>
                              <w:gridCol w:w="656"/>
                              <w:gridCol w:w="896"/>
                              <w:gridCol w:w="756"/>
                            </w:tblGrid>
                            <w:tr w:rsidR="00A0212B" w:rsidRPr="00FE4B26" w14:paraId="381E4B21" w14:textId="77777777" w:rsidTr="001633EC">
                              <w:trPr>
                                <w:trHeight w:val="20"/>
                                <w:jc w:val="center"/>
                              </w:trPr>
                              <w:tc>
                                <w:tcPr>
                                  <w:tcW w:w="9592" w:type="dxa"/>
                                  <w:gridSpan w:val="10"/>
                                  <w:shd w:val="clear" w:color="auto" w:fill="auto"/>
                                  <w:vAlign w:val="center"/>
                                </w:tcPr>
                                <w:p w14:paraId="59EEC592"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bookmarkStart w:id="19" w:name="_Hlk169256133"/>
                                  <w:r w:rsidRPr="00FE4B26">
                                    <w:rPr>
                                      <w:rFonts w:ascii="標楷體" w:eastAsia="標楷體" w:hAnsi="標楷體" w:cs="新細明體" w:hint="eastAsia"/>
                                      <w:b/>
                                      <w:bCs/>
                                      <w:color w:val="000000"/>
                                      <w:kern w:val="0"/>
                                    </w:rPr>
                                    <w:t>表</w:t>
                                  </w:r>
                                  <w:r>
                                    <w:rPr>
                                      <w:rFonts w:ascii="標楷體" w:eastAsia="標楷體" w:hAnsi="標楷體" w:cs="新細明體"/>
                                      <w:b/>
                                      <w:bCs/>
                                      <w:color w:val="000000"/>
                                      <w:kern w:val="0"/>
                                    </w:rPr>
                                    <w:t>7</w:t>
                                  </w:r>
                                  <w:r w:rsidRPr="00FE4B26">
                                    <w:rPr>
                                      <w:rFonts w:ascii="標楷體" w:eastAsia="標楷體" w:hAnsi="標楷體" w:cs="新細明體" w:hint="eastAsia"/>
                                      <w:b/>
                                      <w:bCs/>
                                      <w:color w:val="000000"/>
                                      <w:kern w:val="0"/>
                                    </w:rPr>
                                    <w:t xml:space="preserve">　前瞻計畫第</w:t>
                                  </w:r>
                                  <w:r w:rsidRPr="00FE4B26">
                                    <w:rPr>
                                      <w:rFonts w:ascii="標楷體" w:eastAsia="標楷體" w:hAnsi="標楷體" w:cs="新細明體"/>
                                      <w:b/>
                                      <w:bCs/>
                                      <w:color w:val="000000"/>
                                      <w:kern w:val="0"/>
                                    </w:rPr>
                                    <w:t>4期特別預算</w:t>
                                  </w:r>
                                  <w:r w:rsidRPr="00FE4B26">
                                    <w:rPr>
                                      <w:rFonts w:ascii="標楷體" w:eastAsia="標楷體" w:hAnsi="標楷體" w:cs="新細明體" w:hint="eastAsia"/>
                                      <w:b/>
                                      <w:bCs/>
                                      <w:color w:val="000000"/>
                                      <w:kern w:val="0"/>
                                    </w:rPr>
                                    <w:t>1</w:t>
                                  </w:r>
                                  <w:r w:rsidRPr="00FE4B26">
                                    <w:rPr>
                                      <w:rFonts w:ascii="標楷體" w:eastAsia="標楷體" w:hAnsi="標楷體" w:cs="新細明體"/>
                                      <w:b/>
                                      <w:bCs/>
                                      <w:color w:val="000000"/>
                                      <w:kern w:val="0"/>
                                    </w:rPr>
                                    <w:t>12</w:t>
                                  </w:r>
                                  <w:r w:rsidRPr="00FE4B26">
                                    <w:rPr>
                                      <w:rFonts w:ascii="標楷體" w:eastAsia="標楷體" w:hAnsi="標楷體" w:cs="新細明體" w:hint="eastAsia"/>
                                      <w:b/>
                                      <w:bCs/>
                                      <w:color w:val="000000"/>
                                      <w:kern w:val="0"/>
                                    </w:rPr>
                                    <w:t>年度實現率未達1成</w:t>
                                  </w:r>
                                  <w:r>
                                    <w:rPr>
                                      <w:rFonts w:ascii="標楷體" w:eastAsia="標楷體" w:hAnsi="標楷體" w:cs="新細明體" w:hint="eastAsia"/>
                                      <w:b/>
                                      <w:bCs/>
                                      <w:color w:val="000000"/>
                                      <w:kern w:val="0"/>
                                    </w:rPr>
                                    <w:t>工作計畫</w:t>
                                  </w:r>
                                  <w:r w:rsidRPr="00FE4B26">
                                    <w:rPr>
                                      <w:rFonts w:ascii="標楷體" w:eastAsia="標楷體" w:hAnsi="標楷體" w:cs="新細明體" w:hint="eastAsia"/>
                                      <w:b/>
                                      <w:bCs/>
                                      <w:color w:val="000000"/>
                                      <w:kern w:val="0"/>
                                    </w:rPr>
                                    <w:t>執行情形</w:t>
                                  </w:r>
                                </w:p>
                              </w:tc>
                            </w:tr>
                            <w:tr w:rsidR="00A0212B" w:rsidRPr="00FE4B26" w14:paraId="76C21AA0" w14:textId="77777777" w:rsidTr="001633EC">
                              <w:trPr>
                                <w:trHeight w:val="20"/>
                                <w:jc w:val="center"/>
                              </w:trPr>
                              <w:tc>
                                <w:tcPr>
                                  <w:tcW w:w="9592" w:type="dxa"/>
                                  <w:gridSpan w:val="10"/>
                                  <w:shd w:val="clear" w:color="auto" w:fill="auto"/>
                                  <w:vAlign w:val="center"/>
                                </w:tcPr>
                                <w:p w14:paraId="7D3509B3"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kern w:val="0"/>
                                      <w:sz w:val="18"/>
                                      <w:szCs w:val="18"/>
                                    </w:rPr>
                                    <w:t>單位：新臺幣千元、％</w:t>
                                  </w:r>
                                </w:p>
                              </w:tc>
                            </w:tr>
                            <w:tr w:rsidR="00A0212B" w:rsidRPr="00FE4B26" w14:paraId="01EB0E82" w14:textId="77777777" w:rsidTr="001633EC">
                              <w:trPr>
                                <w:trHeight w:val="20"/>
                                <w:jc w:val="center"/>
                              </w:trPr>
                              <w:tc>
                                <w:tcPr>
                                  <w:tcW w:w="681" w:type="dxa"/>
                                  <w:vMerge w:val="restart"/>
                                  <w:tcBorders>
                                    <w:top w:val="single" w:sz="4" w:space="0" w:color="auto"/>
                                    <w:left w:val="single" w:sz="4" w:space="0" w:color="auto"/>
                                    <w:right w:val="single" w:sz="4" w:space="0" w:color="auto"/>
                                  </w:tcBorders>
                                  <w:shd w:val="clear" w:color="auto" w:fill="auto"/>
                                  <w:vAlign w:val="center"/>
                                  <w:hideMark/>
                                </w:tcPr>
                                <w:p w14:paraId="0F845D0C"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主管</w:t>
                                  </w:r>
                                </w:p>
                                <w:p w14:paraId="63F23EA5"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機關</w:t>
                                  </w:r>
                                </w:p>
                              </w:tc>
                              <w:tc>
                                <w:tcPr>
                                  <w:tcW w:w="1465" w:type="dxa"/>
                                  <w:vMerge w:val="restart"/>
                                  <w:tcBorders>
                                    <w:top w:val="single" w:sz="4" w:space="0" w:color="auto"/>
                                    <w:left w:val="nil"/>
                                    <w:right w:val="single" w:sz="4" w:space="0" w:color="auto"/>
                                  </w:tcBorders>
                                  <w:shd w:val="clear" w:color="auto" w:fill="auto"/>
                                  <w:vAlign w:val="center"/>
                                  <w:hideMark/>
                                </w:tcPr>
                                <w:p w14:paraId="5F5A1D00"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執行機關</w:t>
                                  </w:r>
                                </w:p>
                              </w:tc>
                              <w:tc>
                                <w:tcPr>
                                  <w:tcW w:w="1077" w:type="dxa"/>
                                  <w:vMerge w:val="restart"/>
                                  <w:tcBorders>
                                    <w:top w:val="single" w:sz="4" w:space="0" w:color="auto"/>
                                    <w:left w:val="nil"/>
                                    <w:right w:val="single" w:sz="4" w:space="0" w:color="auto"/>
                                  </w:tcBorders>
                                  <w:shd w:val="clear" w:color="auto" w:fill="auto"/>
                                  <w:vAlign w:val="center"/>
                                  <w:hideMark/>
                                </w:tcPr>
                                <w:p w14:paraId="1F1779C5"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建設類別</w:t>
                                  </w:r>
                                </w:p>
                              </w:tc>
                              <w:tc>
                                <w:tcPr>
                                  <w:tcW w:w="1389" w:type="dxa"/>
                                  <w:vMerge w:val="restart"/>
                                  <w:tcBorders>
                                    <w:top w:val="single" w:sz="4" w:space="0" w:color="auto"/>
                                    <w:left w:val="nil"/>
                                    <w:right w:val="single" w:sz="4" w:space="0" w:color="auto"/>
                                  </w:tcBorders>
                                  <w:shd w:val="clear" w:color="auto" w:fill="auto"/>
                                  <w:vAlign w:val="center"/>
                                  <w:hideMark/>
                                </w:tcPr>
                                <w:p w14:paraId="62A73C34"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工作計畫</w:t>
                                  </w:r>
                                </w:p>
                              </w:tc>
                              <w:tc>
                                <w:tcPr>
                                  <w:tcW w:w="958" w:type="dxa"/>
                                  <w:vMerge w:val="restart"/>
                                  <w:tcBorders>
                                    <w:top w:val="single" w:sz="4" w:space="0" w:color="auto"/>
                                    <w:left w:val="nil"/>
                                    <w:right w:val="single" w:sz="4" w:space="0" w:color="auto"/>
                                  </w:tcBorders>
                                  <w:shd w:val="clear" w:color="auto" w:fill="auto"/>
                                  <w:vAlign w:val="center"/>
                                  <w:hideMark/>
                                </w:tcPr>
                                <w:p w14:paraId="44BD753A"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預算數</w:t>
                                  </w:r>
                                </w:p>
                              </w:tc>
                              <w:tc>
                                <w:tcPr>
                                  <w:tcW w:w="956" w:type="dxa"/>
                                  <w:vMerge w:val="restart"/>
                                  <w:tcBorders>
                                    <w:top w:val="single" w:sz="4" w:space="0" w:color="auto"/>
                                    <w:left w:val="nil"/>
                                    <w:right w:val="single" w:sz="4" w:space="0" w:color="auto"/>
                                  </w:tcBorders>
                                  <w:shd w:val="clear" w:color="auto" w:fill="auto"/>
                                  <w:vAlign w:val="center"/>
                                  <w:hideMark/>
                                </w:tcPr>
                                <w:p w14:paraId="3346FFD9" w14:textId="77777777" w:rsidR="00A0212B" w:rsidRDefault="00A0212B" w:rsidP="001633EC">
                                  <w:pPr>
                                    <w:widowControl/>
                                    <w:spacing w:line="240" w:lineRule="exact"/>
                                    <w:jc w:val="center"/>
                                    <w:rPr>
                                      <w:rFonts w:ascii="標楷體" w:eastAsia="標楷體" w:hAnsi="標楷體" w:cs="新細明體"/>
                                      <w:color w:val="000000"/>
                                      <w:spacing w:val="-20"/>
                                      <w:kern w:val="0"/>
                                      <w:sz w:val="20"/>
                                    </w:rPr>
                                  </w:pPr>
                                  <w:r w:rsidRPr="00DE2D47">
                                    <w:rPr>
                                      <w:rFonts w:ascii="標楷體" w:eastAsia="標楷體" w:hAnsi="標楷體" w:cs="新細明體" w:hint="eastAsia"/>
                                      <w:color w:val="000000"/>
                                      <w:spacing w:val="-20"/>
                                      <w:kern w:val="0"/>
                                      <w:sz w:val="20"/>
                                    </w:rPr>
                                    <w:t>1</w:t>
                                  </w:r>
                                  <w:r w:rsidRPr="00DE2D47">
                                    <w:rPr>
                                      <w:rFonts w:ascii="標楷體" w:eastAsia="標楷體" w:hAnsi="標楷體" w:cs="新細明體"/>
                                      <w:color w:val="000000"/>
                                      <w:spacing w:val="-20"/>
                                      <w:kern w:val="0"/>
                                      <w:sz w:val="20"/>
                                    </w:rPr>
                                    <w:t>12</w:t>
                                  </w:r>
                                  <w:r w:rsidRPr="00DE2D47">
                                    <w:rPr>
                                      <w:rFonts w:ascii="標楷體" w:eastAsia="標楷體" w:hAnsi="標楷體" w:cs="新細明體" w:hint="eastAsia"/>
                                      <w:color w:val="000000"/>
                                      <w:spacing w:val="-20"/>
                                      <w:kern w:val="0"/>
                                      <w:sz w:val="20"/>
                                    </w:rPr>
                                    <w:t>年度</w:t>
                                  </w:r>
                                </w:p>
                                <w:p w14:paraId="45D1F023" w14:textId="77777777" w:rsidR="00A0212B" w:rsidRPr="00DE2D47" w:rsidRDefault="00A0212B" w:rsidP="001633EC">
                                  <w:pPr>
                                    <w:widowControl/>
                                    <w:spacing w:line="240" w:lineRule="exact"/>
                                    <w:jc w:val="center"/>
                                    <w:rPr>
                                      <w:rFonts w:ascii="標楷體" w:eastAsia="標楷體" w:hAnsi="標楷體" w:cs="新細明體"/>
                                      <w:color w:val="000000"/>
                                      <w:spacing w:val="-20"/>
                                      <w:kern w:val="0"/>
                                      <w:sz w:val="20"/>
                                    </w:rPr>
                                  </w:pPr>
                                  <w:r w:rsidRPr="00DE2D47">
                                    <w:rPr>
                                      <w:rFonts w:ascii="標楷體" w:eastAsia="標楷體" w:hAnsi="標楷體" w:cs="新細明體" w:hint="eastAsia"/>
                                      <w:color w:val="000000"/>
                                      <w:spacing w:val="-20"/>
                                      <w:kern w:val="0"/>
                                      <w:sz w:val="20"/>
                                    </w:rPr>
                                    <w:t>分配預算數</w:t>
                                  </w:r>
                                </w:p>
                              </w:tc>
                              <w:tc>
                                <w:tcPr>
                                  <w:tcW w:w="3066" w:type="dxa"/>
                                  <w:gridSpan w:val="4"/>
                                  <w:tcBorders>
                                    <w:top w:val="single" w:sz="4" w:space="0" w:color="auto"/>
                                    <w:left w:val="nil"/>
                                    <w:bottom w:val="single" w:sz="4" w:space="0" w:color="auto"/>
                                    <w:right w:val="single" w:sz="4" w:space="0" w:color="auto"/>
                                  </w:tcBorders>
                                  <w:shd w:val="clear" w:color="auto" w:fill="auto"/>
                                  <w:vAlign w:val="center"/>
                                  <w:hideMark/>
                                </w:tcPr>
                                <w:p w14:paraId="21F6536C"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執行情形</w:t>
                                  </w:r>
                                </w:p>
                              </w:tc>
                            </w:tr>
                            <w:tr w:rsidR="00A0212B" w:rsidRPr="00FE4B26" w14:paraId="7BA7D955"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31985483"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1465" w:type="dxa"/>
                                  <w:vMerge/>
                                  <w:tcBorders>
                                    <w:left w:val="nil"/>
                                    <w:bottom w:val="single" w:sz="4" w:space="0" w:color="auto"/>
                                    <w:right w:val="single" w:sz="4" w:space="0" w:color="auto"/>
                                  </w:tcBorders>
                                  <w:shd w:val="clear" w:color="auto" w:fill="auto"/>
                                  <w:vAlign w:val="center"/>
                                  <w:hideMark/>
                                </w:tcPr>
                                <w:p w14:paraId="3BEF03C7"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1077" w:type="dxa"/>
                                  <w:vMerge/>
                                  <w:tcBorders>
                                    <w:left w:val="nil"/>
                                    <w:bottom w:val="single" w:sz="4" w:space="0" w:color="auto"/>
                                    <w:right w:val="single" w:sz="4" w:space="0" w:color="auto"/>
                                  </w:tcBorders>
                                  <w:shd w:val="clear" w:color="auto" w:fill="auto"/>
                                  <w:vAlign w:val="center"/>
                                  <w:hideMark/>
                                </w:tcPr>
                                <w:p w14:paraId="5B70C022"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1389" w:type="dxa"/>
                                  <w:vMerge/>
                                  <w:tcBorders>
                                    <w:left w:val="nil"/>
                                    <w:bottom w:val="single" w:sz="4" w:space="0" w:color="auto"/>
                                    <w:right w:val="single" w:sz="4" w:space="0" w:color="auto"/>
                                  </w:tcBorders>
                                  <w:shd w:val="clear" w:color="auto" w:fill="auto"/>
                                  <w:vAlign w:val="center"/>
                                  <w:hideMark/>
                                </w:tcPr>
                                <w:p w14:paraId="0F87C633"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958" w:type="dxa"/>
                                  <w:vMerge/>
                                  <w:tcBorders>
                                    <w:left w:val="nil"/>
                                    <w:bottom w:val="single" w:sz="4" w:space="0" w:color="auto"/>
                                    <w:right w:val="single" w:sz="4" w:space="0" w:color="auto"/>
                                  </w:tcBorders>
                                  <w:shd w:val="clear" w:color="auto" w:fill="auto"/>
                                  <w:vAlign w:val="center"/>
                                  <w:hideMark/>
                                </w:tcPr>
                                <w:p w14:paraId="66CB50F1"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956" w:type="dxa"/>
                                  <w:vMerge/>
                                  <w:tcBorders>
                                    <w:left w:val="nil"/>
                                    <w:bottom w:val="single" w:sz="4" w:space="0" w:color="auto"/>
                                    <w:right w:val="single" w:sz="4" w:space="0" w:color="auto"/>
                                  </w:tcBorders>
                                  <w:shd w:val="clear" w:color="auto" w:fill="auto"/>
                                  <w:vAlign w:val="center"/>
                                  <w:hideMark/>
                                </w:tcPr>
                                <w:p w14:paraId="20ED1328"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758" w:type="dxa"/>
                                  <w:tcBorders>
                                    <w:top w:val="nil"/>
                                    <w:left w:val="nil"/>
                                    <w:bottom w:val="single" w:sz="4" w:space="0" w:color="auto"/>
                                    <w:right w:val="single" w:sz="4" w:space="0" w:color="auto"/>
                                  </w:tcBorders>
                                  <w:shd w:val="clear" w:color="auto" w:fill="auto"/>
                                  <w:vAlign w:val="center"/>
                                  <w:hideMark/>
                                </w:tcPr>
                                <w:p w14:paraId="4204A4B2"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合計</w:t>
                                  </w:r>
                                </w:p>
                              </w:tc>
                              <w:tc>
                                <w:tcPr>
                                  <w:tcW w:w="656" w:type="dxa"/>
                                  <w:tcBorders>
                                    <w:top w:val="nil"/>
                                    <w:left w:val="nil"/>
                                    <w:bottom w:val="single" w:sz="4" w:space="0" w:color="auto"/>
                                    <w:right w:val="single" w:sz="4" w:space="0" w:color="auto"/>
                                  </w:tcBorders>
                                  <w:shd w:val="clear" w:color="auto" w:fill="auto"/>
                                  <w:vAlign w:val="center"/>
                                  <w:hideMark/>
                                </w:tcPr>
                                <w:p w14:paraId="472F1F39"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實現數</w:t>
                                  </w:r>
                                </w:p>
                              </w:tc>
                              <w:tc>
                                <w:tcPr>
                                  <w:tcW w:w="896" w:type="dxa"/>
                                  <w:tcBorders>
                                    <w:top w:val="nil"/>
                                    <w:left w:val="nil"/>
                                    <w:bottom w:val="single" w:sz="4" w:space="0" w:color="auto"/>
                                    <w:right w:val="single" w:sz="4" w:space="0" w:color="auto"/>
                                  </w:tcBorders>
                                  <w:shd w:val="clear" w:color="auto" w:fill="auto"/>
                                  <w:vAlign w:val="center"/>
                                  <w:hideMark/>
                                </w:tcPr>
                                <w:p w14:paraId="75CDB062" w14:textId="77777777" w:rsidR="00A0212B"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實現率</w:t>
                                  </w:r>
                                </w:p>
                                <w:p w14:paraId="6EF4A845"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（註1）</w:t>
                                  </w:r>
                                </w:p>
                              </w:tc>
                              <w:tc>
                                <w:tcPr>
                                  <w:tcW w:w="756" w:type="dxa"/>
                                  <w:tcBorders>
                                    <w:top w:val="nil"/>
                                    <w:left w:val="nil"/>
                                    <w:bottom w:val="single" w:sz="4" w:space="0" w:color="auto"/>
                                    <w:right w:val="single" w:sz="4" w:space="0" w:color="auto"/>
                                  </w:tcBorders>
                                  <w:shd w:val="clear" w:color="auto" w:fill="auto"/>
                                  <w:vAlign w:val="center"/>
                                  <w:hideMark/>
                                </w:tcPr>
                                <w:p w14:paraId="3AE844E5"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預付數</w:t>
                                  </w:r>
                                </w:p>
                              </w:tc>
                            </w:tr>
                            <w:tr w:rsidR="00A0212B" w:rsidRPr="00FE4B26" w14:paraId="68388224"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71499167"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行政院</w:t>
                                  </w:r>
                                </w:p>
                              </w:tc>
                              <w:tc>
                                <w:tcPr>
                                  <w:tcW w:w="1465" w:type="dxa"/>
                                  <w:tcBorders>
                                    <w:top w:val="nil"/>
                                    <w:left w:val="nil"/>
                                    <w:bottom w:val="single" w:sz="4" w:space="0" w:color="auto"/>
                                    <w:right w:val="single" w:sz="4" w:space="0" w:color="auto"/>
                                  </w:tcBorders>
                                  <w:shd w:val="clear" w:color="auto" w:fill="auto"/>
                                  <w:vAlign w:val="center"/>
                                  <w:hideMark/>
                                </w:tcPr>
                                <w:p w14:paraId="2E5C229E"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國家發展委員會</w:t>
                                  </w:r>
                                </w:p>
                              </w:tc>
                              <w:tc>
                                <w:tcPr>
                                  <w:tcW w:w="1077" w:type="dxa"/>
                                  <w:tcBorders>
                                    <w:top w:val="nil"/>
                                    <w:left w:val="nil"/>
                                    <w:bottom w:val="single" w:sz="4" w:space="0" w:color="auto"/>
                                    <w:right w:val="single" w:sz="4" w:space="0" w:color="auto"/>
                                  </w:tcBorders>
                                  <w:shd w:val="clear" w:color="auto" w:fill="auto"/>
                                  <w:vAlign w:val="center"/>
                                  <w:hideMark/>
                                </w:tcPr>
                                <w:p w14:paraId="1FA8C72A"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1389" w:type="dxa"/>
                                  <w:tcBorders>
                                    <w:top w:val="nil"/>
                                    <w:left w:val="nil"/>
                                    <w:bottom w:val="single" w:sz="4" w:space="0" w:color="auto"/>
                                    <w:right w:val="single" w:sz="4" w:space="0" w:color="auto"/>
                                  </w:tcBorders>
                                  <w:shd w:val="clear" w:color="auto" w:fill="auto"/>
                                  <w:vAlign w:val="center"/>
                                  <w:hideMark/>
                                </w:tcPr>
                                <w:p w14:paraId="28ED5FD7"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958" w:type="dxa"/>
                                  <w:tcBorders>
                                    <w:top w:val="nil"/>
                                    <w:left w:val="nil"/>
                                    <w:bottom w:val="single" w:sz="4" w:space="0" w:color="auto"/>
                                    <w:right w:val="single" w:sz="4" w:space="0" w:color="auto"/>
                                  </w:tcBorders>
                                  <w:shd w:val="clear" w:color="auto" w:fill="auto"/>
                                  <w:vAlign w:val="center"/>
                                  <w:hideMark/>
                                </w:tcPr>
                                <w:p w14:paraId="35827CD2"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908,900 </w:t>
                                  </w:r>
                                </w:p>
                              </w:tc>
                              <w:tc>
                                <w:tcPr>
                                  <w:tcW w:w="956" w:type="dxa"/>
                                  <w:tcBorders>
                                    <w:top w:val="nil"/>
                                    <w:left w:val="nil"/>
                                    <w:bottom w:val="single" w:sz="4" w:space="0" w:color="auto"/>
                                    <w:right w:val="single" w:sz="4" w:space="0" w:color="auto"/>
                                  </w:tcBorders>
                                  <w:shd w:val="clear" w:color="auto" w:fill="auto"/>
                                  <w:vAlign w:val="center"/>
                                  <w:hideMark/>
                                </w:tcPr>
                                <w:p w14:paraId="69FB433A"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366,450 </w:t>
                                  </w:r>
                                </w:p>
                              </w:tc>
                              <w:tc>
                                <w:tcPr>
                                  <w:tcW w:w="758" w:type="dxa"/>
                                  <w:tcBorders>
                                    <w:top w:val="nil"/>
                                    <w:left w:val="nil"/>
                                    <w:bottom w:val="single" w:sz="4" w:space="0" w:color="auto"/>
                                    <w:right w:val="single" w:sz="4" w:space="0" w:color="auto"/>
                                  </w:tcBorders>
                                  <w:shd w:val="clear" w:color="auto" w:fill="auto"/>
                                  <w:vAlign w:val="center"/>
                                  <w:hideMark/>
                                </w:tcPr>
                                <w:p w14:paraId="674EF816"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44,247 </w:t>
                                  </w:r>
                                </w:p>
                              </w:tc>
                              <w:tc>
                                <w:tcPr>
                                  <w:tcW w:w="656" w:type="dxa"/>
                                  <w:tcBorders>
                                    <w:top w:val="nil"/>
                                    <w:left w:val="nil"/>
                                    <w:bottom w:val="single" w:sz="4" w:space="0" w:color="auto"/>
                                    <w:right w:val="single" w:sz="4" w:space="0" w:color="auto"/>
                                  </w:tcBorders>
                                  <w:shd w:val="clear" w:color="auto" w:fill="auto"/>
                                  <w:vAlign w:val="center"/>
                                  <w:hideMark/>
                                </w:tcPr>
                                <w:p w14:paraId="5B905309"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34,599 </w:t>
                                  </w:r>
                                </w:p>
                              </w:tc>
                              <w:tc>
                                <w:tcPr>
                                  <w:tcW w:w="896" w:type="dxa"/>
                                  <w:tcBorders>
                                    <w:top w:val="nil"/>
                                    <w:left w:val="nil"/>
                                    <w:bottom w:val="single" w:sz="4" w:space="0" w:color="auto"/>
                                    <w:right w:val="single" w:sz="4" w:space="0" w:color="auto"/>
                                  </w:tcBorders>
                                  <w:shd w:val="clear" w:color="auto" w:fill="auto"/>
                                  <w:vAlign w:val="center"/>
                                  <w:hideMark/>
                                </w:tcPr>
                                <w:p w14:paraId="4ACE617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9.44 </w:t>
                                  </w:r>
                                </w:p>
                              </w:tc>
                              <w:tc>
                                <w:tcPr>
                                  <w:tcW w:w="756" w:type="dxa"/>
                                  <w:tcBorders>
                                    <w:top w:val="nil"/>
                                    <w:left w:val="nil"/>
                                    <w:bottom w:val="single" w:sz="4" w:space="0" w:color="auto"/>
                                    <w:right w:val="single" w:sz="4" w:space="0" w:color="auto"/>
                                  </w:tcBorders>
                                  <w:shd w:val="clear" w:color="auto" w:fill="auto"/>
                                  <w:vAlign w:val="center"/>
                                  <w:hideMark/>
                                </w:tcPr>
                                <w:p w14:paraId="6A7D692B"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9,648 </w:t>
                                  </w:r>
                                </w:p>
                              </w:tc>
                            </w:tr>
                            <w:tr w:rsidR="00A0212B" w:rsidRPr="00FE4B26" w14:paraId="11E62486"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AE59204" w14:textId="77777777" w:rsidR="00A0212B" w:rsidRPr="00FE4B26" w:rsidRDefault="00A0212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341F95B8"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原住民族委員會</w:t>
                                  </w:r>
                                </w:p>
                              </w:tc>
                              <w:tc>
                                <w:tcPr>
                                  <w:tcW w:w="1077" w:type="dxa"/>
                                  <w:tcBorders>
                                    <w:top w:val="nil"/>
                                    <w:left w:val="nil"/>
                                    <w:bottom w:val="single" w:sz="4" w:space="0" w:color="auto"/>
                                    <w:right w:val="single" w:sz="4" w:space="0" w:color="auto"/>
                                  </w:tcBorders>
                                  <w:shd w:val="clear" w:color="auto" w:fill="auto"/>
                                  <w:vAlign w:val="center"/>
                                  <w:hideMark/>
                                </w:tcPr>
                                <w:p w14:paraId="3ABF8DC2"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61AE241D"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推廣數位公益服務</w:t>
                                  </w:r>
                                </w:p>
                              </w:tc>
                              <w:tc>
                                <w:tcPr>
                                  <w:tcW w:w="958" w:type="dxa"/>
                                  <w:tcBorders>
                                    <w:top w:val="nil"/>
                                    <w:left w:val="nil"/>
                                    <w:bottom w:val="single" w:sz="4" w:space="0" w:color="auto"/>
                                    <w:right w:val="single" w:sz="4" w:space="0" w:color="auto"/>
                                  </w:tcBorders>
                                  <w:shd w:val="clear" w:color="auto" w:fill="auto"/>
                                  <w:vAlign w:val="center"/>
                                  <w:hideMark/>
                                </w:tcPr>
                                <w:p w14:paraId="70AC682A"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956" w:type="dxa"/>
                                  <w:tcBorders>
                                    <w:top w:val="nil"/>
                                    <w:left w:val="nil"/>
                                    <w:bottom w:val="single" w:sz="4" w:space="0" w:color="auto"/>
                                    <w:right w:val="single" w:sz="4" w:space="0" w:color="auto"/>
                                  </w:tcBorders>
                                  <w:shd w:val="clear" w:color="auto" w:fill="auto"/>
                                  <w:vAlign w:val="center"/>
                                  <w:hideMark/>
                                </w:tcPr>
                                <w:p w14:paraId="21250839"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758" w:type="dxa"/>
                                  <w:tcBorders>
                                    <w:top w:val="nil"/>
                                    <w:left w:val="nil"/>
                                    <w:bottom w:val="single" w:sz="4" w:space="0" w:color="auto"/>
                                    <w:right w:val="single" w:sz="4" w:space="0" w:color="auto"/>
                                  </w:tcBorders>
                                  <w:shd w:val="clear" w:color="auto" w:fill="auto"/>
                                  <w:vAlign w:val="center"/>
                                  <w:hideMark/>
                                </w:tcPr>
                                <w:p w14:paraId="24B93B04"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1,483 </w:t>
                                  </w:r>
                                </w:p>
                              </w:tc>
                              <w:tc>
                                <w:tcPr>
                                  <w:tcW w:w="656" w:type="dxa"/>
                                  <w:tcBorders>
                                    <w:top w:val="nil"/>
                                    <w:left w:val="nil"/>
                                    <w:bottom w:val="single" w:sz="4" w:space="0" w:color="auto"/>
                                    <w:right w:val="single" w:sz="4" w:space="0" w:color="auto"/>
                                  </w:tcBorders>
                                  <w:shd w:val="clear" w:color="auto" w:fill="auto"/>
                                  <w:vAlign w:val="center"/>
                                  <w:hideMark/>
                                </w:tcPr>
                                <w:p w14:paraId="7119C6CA"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1,483 </w:t>
                                  </w:r>
                                </w:p>
                              </w:tc>
                              <w:tc>
                                <w:tcPr>
                                  <w:tcW w:w="896" w:type="dxa"/>
                                  <w:tcBorders>
                                    <w:top w:val="nil"/>
                                    <w:left w:val="nil"/>
                                    <w:bottom w:val="single" w:sz="4" w:space="0" w:color="auto"/>
                                    <w:right w:val="single" w:sz="4" w:space="0" w:color="auto"/>
                                  </w:tcBorders>
                                  <w:shd w:val="clear" w:color="auto" w:fill="auto"/>
                                  <w:vAlign w:val="center"/>
                                  <w:hideMark/>
                                </w:tcPr>
                                <w:p w14:paraId="04EC3862"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9.89 </w:t>
                                  </w:r>
                                </w:p>
                              </w:tc>
                              <w:tc>
                                <w:tcPr>
                                  <w:tcW w:w="756" w:type="dxa"/>
                                  <w:tcBorders>
                                    <w:top w:val="nil"/>
                                    <w:left w:val="nil"/>
                                    <w:bottom w:val="single" w:sz="4" w:space="0" w:color="auto"/>
                                    <w:right w:val="single" w:sz="4" w:space="0" w:color="auto"/>
                                  </w:tcBorders>
                                  <w:shd w:val="clear" w:color="auto" w:fill="auto"/>
                                  <w:vAlign w:val="center"/>
                                  <w:hideMark/>
                                </w:tcPr>
                                <w:p w14:paraId="753BCAF6"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4A5FC2D6"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4513E48C"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465" w:type="dxa"/>
                                  <w:tcBorders>
                                    <w:top w:val="nil"/>
                                    <w:left w:val="nil"/>
                                    <w:bottom w:val="single" w:sz="4" w:space="0" w:color="auto"/>
                                    <w:right w:val="single" w:sz="4" w:space="0" w:color="auto"/>
                                  </w:tcBorders>
                                  <w:shd w:val="clear" w:color="auto" w:fill="auto"/>
                                  <w:vAlign w:val="center"/>
                                  <w:hideMark/>
                                </w:tcPr>
                                <w:p w14:paraId="2733ADB8"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077" w:type="dxa"/>
                                  <w:tcBorders>
                                    <w:top w:val="nil"/>
                                    <w:left w:val="nil"/>
                                    <w:bottom w:val="single" w:sz="4" w:space="0" w:color="auto"/>
                                    <w:right w:val="single" w:sz="4" w:space="0" w:color="auto"/>
                                  </w:tcBorders>
                                  <w:shd w:val="clear" w:color="auto" w:fill="auto"/>
                                  <w:vAlign w:val="center"/>
                                  <w:hideMark/>
                                </w:tcPr>
                                <w:p w14:paraId="049C440A"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79EADF17"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公共服務據點整備</w:t>
                                  </w:r>
                                </w:p>
                              </w:tc>
                              <w:tc>
                                <w:tcPr>
                                  <w:tcW w:w="958" w:type="dxa"/>
                                  <w:tcBorders>
                                    <w:top w:val="nil"/>
                                    <w:left w:val="nil"/>
                                    <w:bottom w:val="single" w:sz="4" w:space="0" w:color="auto"/>
                                    <w:right w:val="single" w:sz="4" w:space="0" w:color="auto"/>
                                  </w:tcBorders>
                                  <w:shd w:val="clear" w:color="auto" w:fill="auto"/>
                                  <w:vAlign w:val="center"/>
                                  <w:hideMark/>
                                </w:tcPr>
                                <w:p w14:paraId="427D5CAF"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368,680 </w:t>
                                  </w:r>
                                </w:p>
                              </w:tc>
                              <w:tc>
                                <w:tcPr>
                                  <w:tcW w:w="956" w:type="dxa"/>
                                  <w:tcBorders>
                                    <w:top w:val="nil"/>
                                    <w:left w:val="nil"/>
                                    <w:bottom w:val="single" w:sz="4" w:space="0" w:color="auto"/>
                                    <w:right w:val="single" w:sz="4" w:space="0" w:color="auto"/>
                                  </w:tcBorders>
                                  <w:shd w:val="clear" w:color="auto" w:fill="auto"/>
                                  <w:vAlign w:val="center"/>
                                  <w:hideMark/>
                                </w:tcPr>
                                <w:p w14:paraId="5E596BA1"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184,340 </w:t>
                                  </w:r>
                                </w:p>
                              </w:tc>
                              <w:tc>
                                <w:tcPr>
                                  <w:tcW w:w="758" w:type="dxa"/>
                                  <w:tcBorders>
                                    <w:top w:val="nil"/>
                                    <w:left w:val="nil"/>
                                    <w:bottom w:val="single" w:sz="4" w:space="0" w:color="auto"/>
                                    <w:right w:val="single" w:sz="4" w:space="0" w:color="auto"/>
                                  </w:tcBorders>
                                  <w:shd w:val="clear" w:color="auto" w:fill="auto"/>
                                  <w:vAlign w:val="center"/>
                                  <w:hideMark/>
                                </w:tcPr>
                                <w:p w14:paraId="2782F953"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39,837 </w:t>
                                  </w:r>
                                </w:p>
                              </w:tc>
                              <w:tc>
                                <w:tcPr>
                                  <w:tcW w:w="656" w:type="dxa"/>
                                  <w:tcBorders>
                                    <w:top w:val="nil"/>
                                    <w:left w:val="nil"/>
                                    <w:bottom w:val="single" w:sz="4" w:space="0" w:color="auto"/>
                                    <w:right w:val="single" w:sz="4" w:space="0" w:color="auto"/>
                                  </w:tcBorders>
                                  <w:shd w:val="clear" w:color="auto" w:fill="auto"/>
                                  <w:vAlign w:val="center"/>
                                  <w:hideMark/>
                                </w:tcPr>
                                <w:p w14:paraId="66A3A5F7"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10,527 </w:t>
                                  </w:r>
                                </w:p>
                              </w:tc>
                              <w:tc>
                                <w:tcPr>
                                  <w:tcW w:w="896" w:type="dxa"/>
                                  <w:tcBorders>
                                    <w:top w:val="nil"/>
                                    <w:left w:val="nil"/>
                                    <w:bottom w:val="single" w:sz="4" w:space="0" w:color="auto"/>
                                    <w:right w:val="single" w:sz="4" w:space="0" w:color="auto"/>
                                  </w:tcBorders>
                                  <w:shd w:val="clear" w:color="auto" w:fill="auto"/>
                                  <w:vAlign w:val="center"/>
                                  <w:hideMark/>
                                </w:tcPr>
                                <w:p w14:paraId="2F22D32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5.71 </w:t>
                                  </w:r>
                                </w:p>
                              </w:tc>
                              <w:tc>
                                <w:tcPr>
                                  <w:tcW w:w="756" w:type="dxa"/>
                                  <w:tcBorders>
                                    <w:top w:val="nil"/>
                                    <w:left w:val="nil"/>
                                    <w:bottom w:val="single" w:sz="4" w:space="0" w:color="auto"/>
                                    <w:right w:val="single" w:sz="4" w:space="0" w:color="auto"/>
                                  </w:tcBorders>
                                  <w:shd w:val="clear" w:color="auto" w:fill="auto"/>
                                  <w:vAlign w:val="center"/>
                                  <w:hideMark/>
                                </w:tcPr>
                                <w:p w14:paraId="660AE0D2"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29,310 </w:t>
                                  </w:r>
                                </w:p>
                              </w:tc>
                            </w:tr>
                            <w:tr w:rsidR="00A0212B" w:rsidRPr="00FE4B26" w14:paraId="03ED660C"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6C270D2" w14:textId="77777777" w:rsidR="00A0212B" w:rsidRPr="00FE4B26" w:rsidRDefault="00A0212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7C6F0366"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水利署及所屬</w:t>
                                  </w:r>
                                </w:p>
                              </w:tc>
                              <w:tc>
                                <w:tcPr>
                                  <w:tcW w:w="1077" w:type="dxa"/>
                                  <w:tcBorders>
                                    <w:top w:val="nil"/>
                                    <w:left w:val="nil"/>
                                    <w:bottom w:val="single" w:sz="4" w:space="0" w:color="auto"/>
                                    <w:right w:val="single" w:sz="4" w:space="0" w:color="auto"/>
                                  </w:tcBorders>
                                  <w:shd w:val="clear" w:color="auto" w:fill="auto"/>
                                  <w:vAlign w:val="center"/>
                                  <w:hideMark/>
                                </w:tcPr>
                                <w:p w14:paraId="49E25B76"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DB9E01"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建構開放政府及智慧城鄉服務</w:t>
                                  </w:r>
                                </w:p>
                              </w:tc>
                              <w:tc>
                                <w:tcPr>
                                  <w:tcW w:w="958" w:type="dxa"/>
                                  <w:tcBorders>
                                    <w:top w:val="nil"/>
                                    <w:left w:val="nil"/>
                                    <w:bottom w:val="single" w:sz="4" w:space="0" w:color="auto"/>
                                    <w:right w:val="single" w:sz="4" w:space="0" w:color="auto"/>
                                  </w:tcBorders>
                                  <w:shd w:val="clear" w:color="auto" w:fill="auto"/>
                                  <w:vAlign w:val="center"/>
                                  <w:hideMark/>
                                </w:tcPr>
                                <w:p w14:paraId="03494191"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102,960 </w:t>
                                  </w:r>
                                </w:p>
                              </w:tc>
                              <w:tc>
                                <w:tcPr>
                                  <w:tcW w:w="956" w:type="dxa"/>
                                  <w:tcBorders>
                                    <w:top w:val="nil"/>
                                    <w:left w:val="nil"/>
                                    <w:bottom w:val="single" w:sz="4" w:space="0" w:color="auto"/>
                                    <w:right w:val="single" w:sz="4" w:space="0" w:color="auto"/>
                                  </w:tcBorders>
                                  <w:shd w:val="clear" w:color="auto" w:fill="auto"/>
                                  <w:vAlign w:val="center"/>
                                  <w:hideMark/>
                                </w:tcPr>
                                <w:p w14:paraId="2C6509CE"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51,480 </w:t>
                                  </w:r>
                                </w:p>
                              </w:tc>
                              <w:tc>
                                <w:tcPr>
                                  <w:tcW w:w="758" w:type="dxa"/>
                                  <w:tcBorders>
                                    <w:top w:val="nil"/>
                                    <w:left w:val="nil"/>
                                    <w:bottom w:val="single" w:sz="4" w:space="0" w:color="auto"/>
                                    <w:right w:val="single" w:sz="4" w:space="0" w:color="auto"/>
                                  </w:tcBorders>
                                  <w:shd w:val="clear" w:color="auto" w:fill="auto"/>
                                  <w:vAlign w:val="center"/>
                                  <w:hideMark/>
                                </w:tcPr>
                                <w:p w14:paraId="3B35EB2C"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51,454 </w:t>
                                  </w:r>
                                </w:p>
                              </w:tc>
                              <w:tc>
                                <w:tcPr>
                                  <w:tcW w:w="656" w:type="dxa"/>
                                  <w:tcBorders>
                                    <w:top w:val="nil"/>
                                    <w:left w:val="nil"/>
                                    <w:bottom w:val="single" w:sz="4" w:space="0" w:color="auto"/>
                                    <w:right w:val="single" w:sz="4" w:space="0" w:color="auto"/>
                                  </w:tcBorders>
                                  <w:shd w:val="clear" w:color="auto" w:fill="auto"/>
                                  <w:vAlign w:val="center"/>
                                  <w:hideMark/>
                                </w:tcPr>
                                <w:p w14:paraId="1E8BBE78"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 </w:t>
                                  </w:r>
                                </w:p>
                              </w:tc>
                              <w:tc>
                                <w:tcPr>
                                  <w:tcW w:w="896" w:type="dxa"/>
                                  <w:tcBorders>
                                    <w:top w:val="nil"/>
                                    <w:left w:val="nil"/>
                                    <w:bottom w:val="single" w:sz="4" w:space="0" w:color="auto"/>
                                    <w:right w:val="single" w:sz="4" w:space="0" w:color="auto"/>
                                  </w:tcBorders>
                                  <w:shd w:val="clear" w:color="auto" w:fill="auto"/>
                                  <w:vAlign w:val="center"/>
                                  <w:hideMark/>
                                </w:tcPr>
                                <w:p w14:paraId="7216C002"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0.05 </w:t>
                                  </w:r>
                                </w:p>
                              </w:tc>
                              <w:tc>
                                <w:tcPr>
                                  <w:tcW w:w="756" w:type="dxa"/>
                                  <w:tcBorders>
                                    <w:top w:val="nil"/>
                                    <w:left w:val="nil"/>
                                    <w:bottom w:val="single" w:sz="4" w:space="0" w:color="auto"/>
                                    <w:right w:val="single" w:sz="4" w:space="0" w:color="auto"/>
                                  </w:tcBorders>
                                  <w:shd w:val="clear" w:color="auto" w:fill="auto"/>
                                  <w:vAlign w:val="center"/>
                                  <w:hideMark/>
                                </w:tcPr>
                                <w:p w14:paraId="6DD0F25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51,430 </w:t>
                                  </w:r>
                                </w:p>
                              </w:tc>
                            </w:tr>
                            <w:tr w:rsidR="00A0212B" w:rsidRPr="00FE4B26" w14:paraId="399788BE"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457092A1"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465" w:type="dxa"/>
                                  <w:tcBorders>
                                    <w:top w:val="nil"/>
                                    <w:left w:val="nil"/>
                                    <w:bottom w:val="single" w:sz="4" w:space="0" w:color="auto"/>
                                    <w:right w:val="single" w:sz="4" w:space="0" w:color="auto"/>
                                  </w:tcBorders>
                                  <w:shd w:val="clear" w:color="auto" w:fill="auto"/>
                                  <w:vAlign w:val="center"/>
                                  <w:hideMark/>
                                </w:tcPr>
                                <w:p w14:paraId="0AB61424"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077" w:type="dxa"/>
                                  <w:tcBorders>
                                    <w:top w:val="nil"/>
                                    <w:left w:val="nil"/>
                                    <w:bottom w:val="single" w:sz="4" w:space="0" w:color="auto"/>
                                    <w:right w:val="single" w:sz="4" w:space="0" w:color="auto"/>
                                  </w:tcBorders>
                                  <w:shd w:val="clear" w:color="auto" w:fill="auto"/>
                                  <w:vAlign w:val="center"/>
                                  <w:hideMark/>
                                </w:tcPr>
                                <w:p w14:paraId="062F60E7"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62A53DC1"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臺鐵升級及改善東部服務</w:t>
                                  </w:r>
                                </w:p>
                              </w:tc>
                              <w:tc>
                                <w:tcPr>
                                  <w:tcW w:w="958" w:type="dxa"/>
                                  <w:tcBorders>
                                    <w:top w:val="nil"/>
                                    <w:left w:val="nil"/>
                                    <w:bottom w:val="single" w:sz="4" w:space="0" w:color="auto"/>
                                    <w:right w:val="single" w:sz="4" w:space="0" w:color="auto"/>
                                  </w:tcBorders>
                                  <w:shd w:val="clear" w:color="auto" w:fill="auto"/>
                                  <w:vAlign w:val="center"/>
                                  <w:hideMark/>
                                </w:tcPr>
                                <w:p w14:paraId="783F0C05"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5,891,168 </w:t>
                                  </w:r>
                                </w:p>
                              </w:tc>
                              <w:tc>
                                <w:tcPr>
                                  <w:tcW w:w="956" w:type="dxa"/>
                                  <w:tcBorders>
                                    <w:top w:val="nil"/>
                                    <w:left w:val="nil"/>
                                    <w:bottom w:val="single" w:sz="4" w:space="0" w:color="auto"/>
                                    <w:right w:val="single" w:sz="4" w:space="0" w:color="auto"/>
                                  </w:tcBorders>
                                  <w:shd w:val="clear" w:color="auto" w:fill="auto"/>
                                  <w:vAlign w:val="center"/>
                                  <w:hideMark/>
                                </w:tcPr>
                                <w:p w14:paraId="25BD2623"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2,000,000 </w:t>
                                  </w:r>
                                </w:p>
                              </w:tc>
                              <w:tc>
                                <w:tcPr>
                                  <w:tcW w:w="758" w:type="dxa"/>
                                  <w:tcBorders>
                                    <w:top w:val="nil"/>
                                    <w:left w:val="nil"/>
                                    <w:bottom w:val="single" w:sz="4" w:space="0" w:color="auto"/>
                                    <w:right w:val="single" w:sz="4" w:space="0" w:color="auto"/>
                                  </w:tcBorders>
                                  <w:shd w:val="clear" w:color="auto" w:fill="auto"/>
                                  <w:vAlign w:val="center"/>
                                  <w:hideMark/>
                                </w:tcPr>
                                <w:p w14:paraId="646CCC2D"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34,106 </w:t>
                                  </w:r>
                                </w:p>
                              </w:tc>
                              <w:tc>
                                <w:tcPr>
                                  <w:tcW w:w="656" w:type="dxa"/>
                                  <w:tcBorders>
                                    <w:top w:val="nil"/>
                                    <w:left w:val="nil"/>
                                    <w:bottom w:val="single" w:sz="4" w:space="0" w:color="auto"/>
                                    <w:right w:val="single" w:sz="4" w:space="0" w:color="auto"/>
                                  </w:tcBorders>
                                  <w:shd w:val="clear" w:color="auto" w:fill="auto"/>
                                  <w:vAlign w:val="center"/>
                                  <w:hideMark/>
                                </w:tcPr>
                                <w:p w14:paraId="3CE1D4C8"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34,106 </w:t>
                                  </w:r>
                                </w:p>
                              </w:tc>
                              <w:tc>
                                <w:tcPr>
                                  <w:tcW w:w="896" w:type="dxa"/>
                                  <w:tcBorders>
                                    <w:top w:val="nil"/>
                                    <w:left w:val="nil"/>
                                    <w:bottom w:val="single" w:sz="4" w:space="0" w:color="auto"/>
                                    <w:right w:val="single" w:sz="4" w:space="0" w:color="auto"/>
                                  </w:tcBorders>
                                  <w:shd w:val="clear" w:color="auto" w:fill="auto"/>
                                  <w:vAlign w:val="center"/>
                                  <w:hideMark/>
                                </w:tcPr>
                                <w:p w14:paraId="3EACCEDA"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1.71 </w:t>
                                  </w:r>
                                </w:p>
                              </w:tc>
                              <w:tc>
                                <w:tcPr>
                                  <w:tcW w:w="756" w:type="dxa"/>
                                  <w:tcBorders>
                                    <w:top w:val="nil"/>
                                    <w:left w:val="nil"/>
                                    <w:bottom w:val="single" w:sz="4" w:space="0" w:color="auto"/>
                                    <w:right w:val="single" w:sz="4" w:space="0" w:color="auto"/>
                                  </w:tcBorders>
                                  <w:shd w:val="clear" w:color="auto" w:fill="auto"/>
                                  <w:vAlign w:val="center"/>
                                  <w:hideMark/>
                                </w:tcPr>
                                <w:p w14:paraId="06886501"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4C2D195E" w14:textId="77777777" w:rsidTr="001633EC">
                              <w:trPr>
                                <w:trHeight w:val="20"/>
                                <w:jc w:val="center"/>
                              </w:trPr>
                              <w:tc>
                                <w:tcPr>
                                  <w:tcW w:w="681" w:type="dxa"/>
                                  <w:vMerge/>
                                  <w:tcBorders>
                                    <w:left w:val="single" w:sz="4" w:space="0" w:color="auto"/>
                                    <w:right w:val="single" w:sz="4" w:space="0" w:color="auto"/>
                                  </w:tcBorders>
                                  <w:shd w:val="clear" w:color="auto" w:fill="auto"/>
                                  <w:vAlign w:val="center"/>
                                  <w:hideMark/>
                                </w:tcPr>
                                <w:p w14:paraId="0565AF67" w14:textId="77777777" w:rsidR="00A0212B" w:rsidRPr="00FE4B26" w:rsidRDefault="00A0212B" w:rsidP="001633EC">
                                  <w:pPr>
                                    <w:spacing w:line="240" w:lineRule="exact"/>
                                    <w:ind w:left="480" w:firstLine="400"/>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2906B5BF"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公路局及所屬</w:t>
                                  </w:r>
                                </w:p>
                              </w:tc>
                              <w:tc>
                                <w:tcPr>
                                  <w:tcW w:w="1077" w:type="dxa"/>
                                  <w:tcBorders>
                                    <w:top w:val="nil"/>
                                    <w:left w:val="nil"/>
                                    <w:bottom w:val="single" w:sz="4" w:space="0" w:color="auto"/>
                                    <w:right w:val="single" w:sz="4" w:space="0" w:color="auto"/>
                                  </w:tcBorders>
                                  <w:shd w:val="clear" w:color="auto" w:fill="auto"/>
                                  <w:vAlign w:val="center"/>
                                  <w:hideMark/>
                                </w:tcPr>
                                <w:p w14:paraId="01772420"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綠能建設</w:t>
                                  </w:r>
                                </w:p>
                              </w:tc>
                              <w:tc>
                                <w:tcPr>
                                  <w:tcW w:w="1389" w:type="dxa"/>
                                  <w:tcBorders>
                                    <w:top w:val="nil"/>
                                    <w:left w:val="nil"/>
                                    <w:bottom w:val="single" w:sz="4" w:space="0" w:color="auto"/>
                                    <w:right w:val="single" w:sz="4" w:space="0" w:color="auto"/>
                                  </w:tcBorders>
                                  <w:shd w:val="clear" w:color="auto" w:fill="auto"/>
                                  <w:vAlign w:val="center"/>
                                  <w:hideMark/>
                                </w:tcPr>
                                <w:p w14:paraId="52B19AE4"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公共充電樁設置及區域充電需求評估計畫</w:t>
                                  </w:r>
                                </w:p>
                              </w:tc>
                              <w:tc>
                                <w:tcPr>
                                  <w:tcW w:w="958" w:type="dxa"/>
                                  <w:tcBorders>
                                    <w:top w:val="nil"/>
                                    <w:left w:val="nil"/>
                                    <w:bottom w:val="single" w:sz="4" w:space="0" w:color="auto"/>
                                    <w:right w:val="single" w:sz="4" w:space="0" w:color="auto"/>
                                  </w:tcBorders>
                                  <w:shd w:val="clear" w:color="auto" w:fill="auto"/>
                                  <w:vAlign w:val="center"/>
                                  <w:hideMark/>
                                </w:tcPr>
                                <w:p w14:paraId="029010AC"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970,000 </w:t>
                                  </w:r>
                                </w:p>
                              </w:tc>
                              <w:tc>
                                <w:tcPr>
                                  <w:tcW w:w="956" w:type="dxa"/>
                                  <w:tcBorders>
                                    <w:top w:val="nil"/>
                                    <w:left w:val="nil"/>
                                    <w:bottom w:val="single" w:sz="4" w:space="0" w:color="auto"/>
                                    <w:right w:val="single" w:sz="4" w:space="0" w:color="auto"/>
                                  </w:tcBorders>
                                  <w:shd w:val="clear" w:color="auto" w:fill="auto"/>
                                  <w:vAlign w:val="center"/>
                                  <w:hideMark/>
                                </w:tcPr>
                                <w:p w14:paraId="6BDC4E61"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323,000 </w:t>
                                  </w:r>
                                </w:p>
                              </w:tc>
                              <w:tc>
                                <w:tcPr>
                                  <w:tcW w:w="758" w:type="dxa"/>
                                  <w:tcBorders>
                                    <w:top w:val="nil"/>
                                    <w:left w:val="nil"/>
                                    <w:bottom w:val="single" w:sz="4" w:space="0" w:color="auto"/>
                                    <w:right w:val="single" w:sz="4" w:space="0" w:color="auto"/>
                                  </w:tcBorders>
                                  <w:shd w:val="clear" w:color="auto" w:fill="auto"/>
                                  <w:vAlign w:val="center"/>
                                  <w:hideMark/>
                                </w:tcPr>
                                <w:p w14:paraId="7DB7CC68"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189,644 </w:t>
                                  </w:r>
                                </w:p>
                              </w:tc>
                              <w:tc>
                                <w:tcPr>
                                  <w:tcW w:w="656" w:type="dxa"/>
                                  <w:tcBorders>
                                    <w:top w:val="nil"/>
                                    <w:left w:val="nil"/>
                                    <w:bottom w:val="single" w:sz="4" w:space="0" w:color="auto"/>
                                    <w:right w:val="single" w:sz="4" w:space="0" w:color="auto"/>
                                  </w:tcBorders>
                                  <w:shd w:val="clear" w:color="auto" w:fill="auto"/>
                                  <w:vAlign w:val="center"/>
                                  <w:hideMark/>
                                </w:tcPr>
                                <w:p w14:paraId="0F29BB9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25,029 </w:t>
                                  </w:r>
                                </w:p>
                              </w:tc>
                              <w:tc>
                                <w:tcPr>
                                  <w:tcW w:w="896" w:type="dxa"/>
                                  <w:tcBorders>
                                    <w:top w:val="nil"/>
                                    <w:left w:val="nil"/>
                                    <w:bottom w:val="single" w:sz="4" w:space="0" w:color="auto"/>
                                    <w:right w:val="single" w:sz="4" w:space="0" w:color="auto"/>
                                  </w:tcBorders>
                                  <w:shd w:val="clear" w:color="auto" w:fill="auto"/>
                                  <w:vAlign w:val="center"/>
                                  <w:hideMark/>
                                </w:tcPr>
                                <w:p w14:paraId="4F0DD1BD"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7.75 </w:t>
                                  </w:r>
                                </w:p>
                              </w:tc>
                              <w:tc>
                                <w:tcPr>
                                  <w:tcW w:w="756" w:type="dxa"/>
                                  <w:tcBorders>
                                    <w:top w:val="nil"/>
                                    <w:left w:val="nil"/>
                                    <w:bottom w:val="single" w:sz="4" w:space="0" w:color="auto"/>
                                    <w:right w:val="single" w:sz="4" w:space="0" w:color="auto"/>
                                  </w:tcBorders>
                                  <w:shd w:val="clear" w:color="auto" w:fill="auto"/>
                                  <w:vAlign w:val="center"/>
                                  <w:hideMark/>
                                </w:tcPr>
                                <w:p w14:paraId="6034299B"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164,615 </w:t>
                                  </w:r>
                                </w:p>
                              </w:tc>
                            </w:tr>
                            <w:tr w:rsidR="00A0212B" w:rsidRPr="00FE4B26" w14:paraId="7DD94410"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793300DD" w14:textId="77777777" w:rsidR="00A0212B" w:rsidRPr="00FE4B26" w:rsidRDefault="00A0212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34B516B2"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鐵道局及所屬</w:t>
                                  </w:r>
                                </w:p>
                              </w:tc>
                              <w:tc>
                                <w:tcPr>
                                  <w:tcW w:w="1077" w:type="dxa"/>
                                  <w:tcBorders>
                                    <w:top w:val="nil"/>
                                    <w:left w:val="nil"/>
                                    <w:bottom w:val="single" w:sz="4" w:space="0" w:color="auto"/>
                                    <w:right w:val="single" w:sz="4" w:space="0" w:color="auto"/>
                                  </w:tcBorders>
                                  <w:shd w:val="clear" w:color="auto" w:fill="auto"/>
                                  <w:vAlign w:val="center"/>
                                  <w:hideMark/>
                                </w:tcPr>
                                <w:p w14:paraId="2234809C"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5336A142"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都市推動捷運</w:t>
                                  </w:r>
                                </w:p>
                              </w:tc>
                              <w:tc>
                                <w:tcPr>
                                  <w:tcW w:w="958" w:type="dxa"/>
                                  <w:tcBorders>
                                    <w:top w:val="nil"/>
                                    <w:left w:val="nil"/>
                                    <w:bottom w:val="single" w:sz="4" w:space="0" w:color="auto"/>
                                    <w:right w:val="single" w:sz="4" w:space="0" w:color="auto"/>
                                  </w:tcBorders>
                                  <w:shd w:val="clear" w:color="auto" w:fill="auto"/>
                                  <w:vAlign w:val="center"/>
                                  <w:hideMark/>
                                </w:tcPr>
                                <w:p w14:paraId="71D550D7"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977,900 </w:t>
                                  </w:r>
                                </w:p>
                              </w:tc>
                              <w:tc>
                                <w:tcPr>
                                  <w:tcW w:w="956" w:type="dxa"/>
                                  <w:tcBorders>
                                    <w:top w:val="nil"/>
                                    <w:left w:val="nil"/>
                                    <w:bottom w:val="single" w:sz="4" w:space="0" w:color="auto"/>
                                    <w:right w:val="single" w:sz="4" w:space="0" w:color="auto"/>
                                  </w:tcBorders>
                                  <w:shd w:val="clear" w:color="auto" w:fill="auto"/>
                                  <w:vAlign w:val="center"/>
                                  <w:hideMark/>
                                </w:tcPr>
                                <w:p w14:paraId="1F8B4F9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292,900 </w:t>
                                  </w:r>
                                </w:p>
                              </w:tc>
                              <w:tc>
                                <w:tcPr>
                                  <w:tcW w:w="758" w:type="dxa"/>
                                  <w:tcBorders>
                                    <w:top w:val="nil"/>
                                    <w:left w:val="nil"/>
                                    <w:bottom w:val="single" w:sz="4" w:space="0" w:color="auto"/>
                                    <w:right w:val="single" w:sz="4" w:space="0" w:color="auto"/>
                                  </w:tcBorders>
                                  <w:shd w:val="clear" w:color="auto" w:fill="auto"/>
                                  <w:vAlign w:val="center"/>
                                  <w:hideMark/>
                                </w:tcPr>
                                <w:p w14:paraId="3E78A3D4"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193,899 </w:t>
                                  </w:r>
                                </w:p>
                              </w:tc>
                              <w:tc>
                                <w:tcPr>
                                  <w:tcW w:w="656" w:type="dxa"/>
                                  <w:tcBorders>
                                    <w:top w:val="nil"/>
                                    <w:left w:val="nil"/>
                                    <w:bottom w:val="single" w:sz="4" w:space="0" w:color="auto"/>
                                    <w:right w:val="single" w:sz="4" w:space="0" w:color="auto"/>
                                  </w:tcBorders>
                                  <w:shd w:val="clear" w:color="auto" w:fill="auto"/>
                                  <w:vAlign w:val="center"/>
                                  <w:hideMark/>
                                </w:tcPr>
                                <w:p w14:paraId="3531C54C"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21,304 </w:t>
                                  </w:r>
                                </w:p>
                              </w:tc>
                              <w:tc>
                                <w:tcPr>
                                  <w:tcW w:w="896" w:type="dxa"/>
                                  <w:tcBorders>
                                    <w:top w:val="nil"/>
                                    <w:left w:val="nil"/>
                                    <w:bottom w:val="single" w:sz="4" w:space="0" w:color="auto"/>
                                    <w:right w:val="single" w:sz="4" w:space="0" w:color="auto"/>
                                  </w:tcBorders>
                                  <w:shd w:val="clear" w:color="auto" w:fill="auto"/>
                                  <w:vAlign w:val="center"/>
                                  <w:hideMark/>
                                </w:tcPr>
                                <w:p w14:paraId="516AC0D0"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7.27 </w:t>
                                  </w:r>
                                </w:p>
                              </w:tc>
                              <w:tc>
                                <w:tcPr>
                                  <w:tcW w:w="756" w:type="dxa"/>
                                  <w:tcBorders>
                                    <w:top w:val="nil"/>
                                    <w:left w:val="nil"/>
                                    <w:bottom w:val="single" w:sz="4" w:space="0" w:color="auto"/>
                                    <w:right w:val="single" w:sz="4" w:space="0" w:color="auto"/>
                                  </w:tcBorders>
                                  <w:shd w:val="clear" w:color="auto" w:fill="auto"/>
                                  <w:vAlign w:val="center"/>
                                  <w:hideMark/>
                                </w:tcPr>
                                <w:p w14:paraId="0773BAFE"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172,595 </w:t>
                                  </w:r>
                                </w:p>
                              </w:tc>
                            </w:tr>
                            <w:tr w:rsidR="00A0212B" w:rsidRPr="00FE4B26" w14:paraId="06DB1A41" w14:textId="77777777" w:rsidTr="001633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131516F2"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465" w:type="dxa"/>
                                  <w:tcBorders>
                                    <w:top w:val="nil"/>
                                    <w:left w:val="nil"/>
                                    <w:bottom w:val="single" w:sz="4" w:space="0" w:color="auto"/>
                                    <w:right w:val="single" w:sz="4" w:space="0" w:color="auto"/>
                                  </w:tcBorders>
                                  <w:shd w:val="clear" w:color="auto" w:fill="auto"/>
                                  <w:vAlign w:val="center"/>
                                  <w:hideMark/>
                                </w:tcPr>
                                <w:p w14:paraId="2B1E0294"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077" w:type="dxa"/>
                                  <w:tcBorders>
                                    <w:top w:val="nil"/>
                                    <w:left w:val="nil"/>
                                    <w:bottom w:val="single" w:sz="4" w:space="0" w:color="auto"/>
                                    <w:right w:val="single" w:sz="4" w:space="0" w:color="auto"/>
                                  </w:tcBorders>
                                  <w:shd w:val="clear" w:color="auto" w:fill="auto"/>
                                  <w:vAlign w:val="center"/>
                                  <w:hideMark/>
                                </w:tcPr>
                                <w:p w14:paraId="3955B83D"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2889D926"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加速推動地方創生</w:t>
                                  </w:r>
                                </w:p>
                              </w:tc>
                              <w:tc>
                                <w:tcPr>
                                  <w:tcW w:w="958" w:type="dxa"/>
                                  <w:tcBorders>
                                    <w:top w:val="nil"/>
                                    <w:left w:val="nil"/>
                                    <w:bottom w:val="single" w:sz="4" w:space="0" w:color="auto"/>
                                    <w:right w:val="single" w:sz="4" w:space="0" w:color="auto"/>
                                  </w:tcBorders>
                                  <w:shd w:val="clear" w:color="auto" w:fill="auto"/>
                                  <w:vAlign w:val="center"/>
                                  <w:hideMark/>
                                </w:tcPr>
                                <w:p w14:paraId="4B5C4A3D"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60,400 </w:t>
                                  </w:r>
                                </w:p>
                              </w:tc>
                              <w:tc>
                                <w:tcPr>
                                  <w:tcW w:w="956" w:type="dxa"/>
                                  <w:tcBorders>
                                    <w:top w:val="nil"/>
                                    <w:left w:val="nil"/>
                                    <w:bottom w:val="single" w:sz="4" w:space="0" w:color="auto"/>
                                    <w:right w:val="single" w:sz="4" w:space="0" w:color="auto"/>
                                  </w:tcBorders>
                                  <w:shd w:val="clear" w:color="auto" w:fill="auto"/>
                                  <w:vAlign w:val="center"/>
                                  <w:hideMark/>
                                </w:tcPr>
                                <w:p w14:paraId="2E98F248"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40,000 </w:t>
                                  </w:r>
                                </w:p>
                              </w:tc>
                              <w:tc>
                                <w:tcPr>
                                  <w:tcW w:w="758" w:type="dxa"/>
                                  <w:tcBorders>
                                    <w:top w:val="nil"/>
                                    <w:left w:val="nil"/>
                                    <w:bottom w:val="single" w:sz="4" w:space="0" w:color="auto"/>
                                    <w:right w:val="single" w:sz="4" w:space="0" w:color="auto"/>
                                  </w:tcBorders>
                                  <w:shd w:val="clear" w:color="auto" w:fill="auto"/>
                                  <w:vAlign w:val="center"/>
                                  <w:hideMark/>
                                </w:tcPr>
                                <w:p w14:paraId="3C93921E"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1,567 </w:t>
                                  </w:r>
                                </w:p>
                              </w:tc>
                              <w:tc>
                                <w:tcPr>
                                  <w:tcW w:w="656" w:type="dxa"/>
                                  <w:tcBorders>
                                    <w:top w:val="nil"/>
                                    <w:left w:val="nil"/>
                                    <w:bottom w:val="single" w:sz="4" w:space="0" w:color="auto"/>
                                    <w:right w:val="single" w:sz="4" w:space="0" w:color="auto"/>
                                  </w:tcBorders>
                                  <w:shd w:val="clear" w:color="auto" w:fill="auto"/>
                                  <w:vAlign w:val="center"/>
                                  <w:hideMark/>
                                </w:tcPr>
                                <w:p w14:paraId="04595A33"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1,567 </w:t>
                                  </w:r>
                                </w:p>
                              </w:tc>
                              <w:tc>
                                <w:tcPr>
                                  <w:tcW w:w="896" w:type="dxa"/>
                                  <w:tcBorders>
                                    <w:top w:val="nil"/>
                                    <w:left w:val="nil"/>
                                    <w:bottom w:val="single" w:sz="4" w:space="0" w:color="auto"/>
                                    <w:right w:val="single" w:sz="4" w:space="0" w:color="auto"/>
                                  </w:tcBorders>
                                  <w:shd w:val="clear" w:color="auto" w:fill="auto"/>
                                  <w:vAlign w:val="center"/>
                                  <w:hideMark/>
                                </w:tcPr>
                                <w:p w14:paraId="72E60D13"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3.92 </w:t>
                                  </w:r>
                                </w:p>
                              </w:tc>
                              <w:tc>
                                <w:tcPr>
                                  <w:tcW w:w="756" w:type="dxa"/>
                                  <w:tcBorders>
                                    <w:top w:val="nil"/>
                                    <w:left w:val="nil"/>
                                    <w:bottom w:val="single" w:sz="4" w:space="0" w:color="auto"/>
                                    <w:right w:val="single" w:sz="4" w:space="0" w:color="auto"/>
                                  </w:tcBorders>
                                  <w:shd w:val="clear" w:color="auto" w:fill="auto"/>
                                  <w:vAlign w:val="center"/>
                                  <w:hideMark/>
                                </w:tcPr>
                                <w:p w14:paraId="7E9074BB"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0CB35528" w14:textId="77777777" w:rsidTr="001633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1E8AEDE2"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465" w:type="dxa"/>
                                  <w:tcBorders>
                                    <w:top w:val="nil"/>
                                    <w:left w:val="nil"/>
                                    <w:bottom w:val="single" w:sz="4" w:space="0" w:color="auto"/>
                                    <w:right w:val="single" w:sz="4" w:space="0" w:color="auto"/>
                                  </w:tcBorders>
                                  <w:shd w:val="clear" w:color="auto" w:fill="auto"/>
                                  <w:vAlign w:val="center"/>
                                  <w:hideMark/>
                                </w:tcPr>
                                <w:p w14:paraId="52D4A867"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077" w:type="dxa"/>
                                  <w:tcBorders>
                                    <w:top w:val="nil"/>
                                    <w:left w:val="nil"/>
                                    <w:bottom w:val="single" w:sz="4" w:space="0" w:color="auto"/>
                                    <w:right w:val="single" w:sz="4" w:space="0" w:color="auto"/>
                                  </w:tcBorders>
                                  <w:shd w:val="clear" w:color="auto" w:fill="auto"/>
                                  <w:vAlign w:val="center"/>
                                  <w:hideMark/>
                                </w:tcPr>
                                <w:p w14:paraId="434D6530"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2FC040"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基礎建設環境</w:t>
                                  </w:r>
                                </w:p>
                              </w:tc>
                              <w:tc>
                                <w:tcPr>
                                  <w:tcW w:w="958" w:type="dxa"/>
                                  <w:tcBorders>
                                    <w:top w:val="nil"/>
                                    <w:left w:val="nil"/>
                                    <w:bottom w:val="single" w:sz="4" w:space="0" w:color="auto"/>
                                    <w:right w:val="single" w:sz="4" w:space="0" w:color="auto"/>
                                  </w:tcBorders>
                                  <w:shd w:val="clear" w:color="auto" w:fill="auto"/>
                                  <w:vAlign w:val="center"/>
                                  <w:hideMark/>
                                </w:tcPr>
                                <w:p w14:paraId="41EF1A9C"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597,380 </w:t>
                                  </w:r>
                                </w:p>
                              </w:tc>
                              <w:tc>
                                <w:tcPr>
                                  <w:tcW w:w="956" w:type="dxa"/>
                                  <w:tcBorders>
                                    <w:top w:val="nil"/>
                                    <w:left w:val="nil"/>
                                    <w:bottom w:val="single" w:sz="4" w:space="0" w:color="auto"/>
                                    <w:right w:val="single" w:sz="4" w:space="0" w:color="auto"/>
                                  </w:tcBorders>
                                  <w:shd w:val="clear" w:color="auto" w:fill="auto"/>
                                  <w:vAlign w:val="center"/>
                                  <w:hideMark/>
                                </w:tcPr>
                                <w:p w14:paraId="0CDCB7D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320,370 </w:t>
                                  </w:r>
                                </w:p>
                              </w:tc>
                              <w:tc>
                                <w:tcPr>
                                  <w:tcW w:w="758" w:type="dxa"/>
                                  <w:tcBorders>
                                    <w:top w:val="nil"/>
                                    <w:left w:val="nil"/>
                                    <w:bottom w:val="single" w:sz="4" w:space="0" w:color="auto"/>
                                    <w:right w:val="single" w:sz="4" w:space="0" w:color="auto"/>
                                  </w:tcBorders>
                                  <w:shd w:val="clear" w:color="auto" w:fill="auto"/>
                                  <w:vAlign w:val="center"/>
                                  <w:hideMark/>
                                </w:tcPr>
                                <w:p w14:paraId="0A84FBBD"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69,933 </w:t>
                                  </w:r>
                                </w:p>
                              </w:tc>
                              <w:tc>
                                <w:tcPr>
                                  <w:tcW w:w="656" w:type="dxa"/>
                                  <w:tcBorders>
                                    <w:top w:val="nil"/>
                                    <w:left w:val="nil"/>
                                    <w:bottom w:val="single" w:sz="4" w:space="0" w:color="auto"/>
                                    <w:right w:val="single" w:sz="4" w:space="0" w:color="auto"/>
                                  </w:tcBorders>
                                  <w:shd w:val="clear" w:color="auto" w:fill="auto"/>
                                  <w:vAlign w:val="center"/>
                                  <w:hideMark/>
                                </w:tcPr>
                                <w:p w14:paraId="2ABA2C39"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24,933 </w:t>
                                  </w:r>
                                </w:p>
                              </w:tc>
                              <w:tc>
                                <w:tcPr>
                                  <w:tcW w:w="896" w:type="dxa"/>
                                  <w:tcBorders>
                                    <w:top w:val="nil"/>
                                    <w:left w:val="nil"/>
                                    <w:bottom w:val="single" w:sz="4" w:space="0" w:color="auto"/>
                                    <w:right w:val="single" w:sz="4" w:space="0" w:color="auto"/>
                                  </w:tcBorders>
                                  <w:shd w:val="clear" w:color="auto" w:fill="auto"/>
                                  <w:vAlign w:val="center"/>
                                  <w:hideMark/>
                                </w:tcPr>
                                <w:p w14:paraId="433F40C7"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7.78 </w:t>
                                  </w:r>
                                </w:p>
                              </w:tc>
                              <w:tc>
                                <w:tcPr>
                                  <w:tcW w:w="756" w:type="dxa"/>
                                  <w:tcBorders>
                                    <w:top w:val="nil"/>
                                    <w:left w:val="nil"/>
                                    <w:bottom w:val="single" w:sz="4" w:space="0" w:color="auto"/>
                                    <w:right w:val="single" w:sz="4" w:space="0" w:color="auto"/>
                                  </w:tcBorders>
                                  <w:shd w:val="clear" w:color="auto" w:fill="auto"/>
                                  <w:vAlign w:val="center"/>
                                  <w:hideMark/>
                                </w:tcPr>
                                <w:p w14:paraId="6CA4E35D"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45,000 </w:t>
                                  </w:r>
                                </w:p>
                              </w:tc>
                            </w:tr>
                            <w:tr w:rsidR="00A0212B" w:rsidRPr="00FE4B26" w14:paraId="1D1F44A2" w14:textId="77777777" w:rsidTr="001633EC">
                              <w:trPr>
                                <w:trHeight w:val="20"/>
                                <w:jc w:val="center"/>
                              </w:trPr>
                              <w:tc>
                                <w:tcPr>
                                  <w:tcW w:w="9592" w:type="dxa"/>
                                  <w:gridSpan w:val="10"/>
                                  <w:tcBorders>
                                    <w:top w:val="single" w:sz="4" w:space="0" w:color="auto"/>
                                  </w:tcBorders>
                                  <w:shd w:val="clear" w:color="auto" w:fill="auto"/>
                                </w:tcPr>
                                <w:p w14:paraId="56D6A86F" w14:textId="77777777" w:rsidR="00A0212B" w:rsidRPr="0081537A" w:rsidRDefault="00A0212B" w:rsidP="001633EC">
                                  <w:pPr>
                                    <w:spacing w:line="240" w:lineRule="exact"/>
                                    <w:rPr>
                                      <w:rFonts w:ascii="標楷體" w:eastAsia="標楷體" w:hAnsi="標楷體" w:cs="新細明體"/>
                                      <w:color w:val="000000"/>
                                      <w:kern w:val="0"/>
                                      <w:sz w:val="18"/>
                                      <w:szCs w:val="18"/>
                                    </w:rPr>
                                  </w:pPr>
                                  <w:r w:rsidRPr="0081537A">
                                    <w:rPr>
                                      <w:rFonts w:ascii="標楷體" w:eastAsia="標楷體" w:hAnsi="標楷體" w:cstheme="minorBidi" w:hint="eastAsia"/>
                                      <w:sz w:val="18"/>
                                      <w:szCs w:val="18"/>
                                    </w:rPr>
                                    <w:t>註：1</w:t>
                                  </w:r>
                                  <w:r w:rsidRPr="0081537A">
                                    <w:rPr>
                                      <w:rFonts w:ascii="標楷體" w:eastAsia="標楷體" w:hAnsi="標楷體" w:cstheme="minorBidi"/>
                                      <w:sz w:val="18"/>
                                      <w:szCs w:val="18"/>
                                    </w:rPr>
                                    <w:t>.</w:t>
                                  </w:r>
                                  <w:r w:rsidRPr="0081537A">
                                    <w:rPr>
                                      <w:rFonts w:ascii="標楷體" w:eastAsia="標楷體" w:hAnsi="標楷體" w:cstheme="minorBidi" w:hint="eastAsia"/>
                                      <w:sz w:val="18"/>
                                      <w:szCs w:val="18"/>
                                    </w:rPr>
                                    <w:t>實現率=實現數/</w:t>
                                  </w:r>
                                  <w:r w:rsidRPr="0081537A">
                                    <w:rPr>
                                      <w:rFonts w:ascii="標楷體" w:eastAsia="標楷體" w:hAnsi="標楷體" w:cs="新細明體" w:hint="eastAsia"/>
                                      <w:color w:val="000000"/>
                                      <w:kern w:val="0"/>
                                      <w:sz w:val="18"/>
                                      <w:szCs w:val="18"/>
                                    </w:rPr>
                                    <w:t>112年度分配預算數</w:t>
                                  </w:r>
                                  <w:r w:rsidRPr="0081537A">
                                    <w:rPr>
                                      <w:rFonts w:ascii="標楷體" w:eastAsia="標楷體" w:hAnsi="標楷體" w:cs="新細明體"/>
                                      <w:color w:val="000000"/>
                                      <w:kern w:val="0"/>
                                      <w:sz w:val="18"/>
                                      <w:szCs w:val="18"/>
                                    </w:rPr>
                                    <w:t>×100</w:t>
                                  </w:r>
                                  <w:r w:rsidRPr="0081537A">
                                    <w:rPr>
                                      <w:rFonts w:ascii="標楷體" w:eastAsia="標楷體" w:hAnsi="標楷體" w:cs="新細明體" w:hint="eastAsia"/>
                                      <w:color w:val="000000"/>
                                      <w:kern w:val="0"/>
                                      <w:sz w:val="18"/>
                                      <w:szCs w:val="18"/>
                                    </w:rPr>
                                    <w:t>。</w:t>
                                  </w:r>
                                </w:p>
                                <w:p w14:paraId="0408A06A" w14:textId="77777777" w:rsidR="00A0212B" w:rsidRPr="00FE4B26" w:rsidRDefault="00A0212B" w:rsidP="001633EC">
                                  <w:pPr>
                                    <w:spacing w:line="240" w:lineRule="exact"/>
                                    <w:ind w:firstLineChars="200" w:firstLine="360"/>
                                    <w:rPr>
                                      <w:rFonts w:ascii="標楷體" w:eastAsia="標楷體" w:hAnsi="標楷體" w:cstheme="minorBidi"/>
                                      <w:kern w:val="0"/>
                                      <w:sz w:val="18"/>
                                      <w:szCs w:val="18"/>
                                    </w:rPr>
                                  </w:pPr>
                                  <w:r>
                                    <w:rPr>
                                      <w:rFonts w:ascii="標楷體" w:eastAsia="標楷體" w:hAnsi="標楷體" w:cstheme="minorBidi"/>
                                      <w:sz w:val="18"/>
                                      <w:szCs w:val="18"/>
                                    </w:rPr>
                                    <w:t>2.</w:t>
                                  </w:r>
                                  <w:r w:rsidRPr="00FE4B26">
                                    <w:rPr>
                                      <w:rFonts w:ascii="標楷體" w:eastAsia="標楷體" w:hAnsi="標楷體" w:cstheme="minorBidi" w:hint="eastAsia"/>
                                      <w:sz w:val="18"/>
                                      <w:szCs w:val="18"/>
                                    </w:rPr>
                                    <w:t>資料來源：整理自</w:t>
                                  </w:r>
                                  <w:r w:rsidRPr="00FE4B26">
                                    <w:rPr>
                                      <w:rFonts w:ascii="標楷體" w:eastAsia="標楷體" w:hAnsi="標楷體" w:cs="新細明體" w:hint="eastAsia"/>
                                      <w:kern w:val="0"/>
                                      <w:sz w:val="18"/>
                                      <w:szCs w:val="18"/>
                                    </w:rPr>
                                    <w:t>行政院</w:t>
                                  </w:r>
                                  <w:r w:rsidRPr="00FE4B26">
                                    <w:rPr>
                                      <w:rFonts w:ascii="標楷體" w:eastAsia="標楷體" w:hAnsi="標楷體" w:cstheme="minorBidi" w:hint="eastAsia"/>
                                      <w:sz w:val="18"/>
                                      <w:szCs w:val="18"/>
                                    </w:rPr>
                                    <w:t>112年度中央政府總決算總說明、主要表及相關附屬表（第1冊）。</w:t>
                                  </w:r>
                                </w:p>
                                <w:p w14:paraId="59FEC02C" w14:textId="77777777" w:rsidR="00A0212B" w:rsidRPr="00FE4B26" w:rsidRDefault="00A0212B" w:rsidP="001633EC">
                                  <w:pPr>
                                    <w:widowControl/>
                                    <w:spacing w:line="240" w:lineRule="exact"/>
                                    <w:rPr>
                                      <w:rFonts w:ascii="標楷體" w:eastAsia="標楷體" w:hAnsi="標楷體" w:cs="新細明體"/>
                                      <w:color w:val="000000"/>
                                      <w:kern w:val="0"/>
                                      <w:sz w:val="20"/>
                                    </w:rPr>
                                  </w:pPr>
                                </w:p>
                              </w:tc>
                            </w:tr>
                            <w:bookmarkEnd w:id="19"/>
                          </w:tbl>
                          <w:p w14:paraId="5398BCDD" w14:textId="77777777" w:rsidR="00A0212B" w:rsidRPr="00CC045A" w:rsidRDefault="00A0212B" w:rsidP="001633EC">
                            <w:pPr>
                              <w:spacing w:line="220" w:lineRule="exact"/>
                              <w:ind w:leftChars="155" w:left="552" w:hangingChars="100" w:hanging="180"/>
                              <w:jc w:val="center"/>
                              <w:rPr>
                                <w:rFonts w:ascii="標楷體" w:eastAsia="標楷體" w:hAnsi="標楷體"/>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31AC6" id="文字方塊 64" o:spid="_x0000_s1125" type="#_x0000_t202" style="position:absolute;left:0;text-align:left;margin-left:46.2pt;margin-top:1339.1pt;width:501.95pt;height:326.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" fillcolor="window" stroked="f" strokeweight=".5pt">
                <v:textbox>
                  <w:txbxContent>
                    <w:tbl>
                      <w:tblPr>
                        <w:tblW w:w="9592" w:type="dxa"/>
                        <w:jc w:val="center"/>
                        <w:tblCellMar>
                          <w:left w:w="28" w:type="dxa"/>
                          <w:right w:w="28" w:type="dxa"/>
                        </w:tblCellMar>
                        <w:tblLook w:val="04A0" w:firstRow="1" w:lastRow="0" w:firstColumn="1" w:lastColumn="0" w:noHBand="0" w:noVBand="1"/>
                      </w:tblPr>
                      <w:tblGrid>
                        <w:gridCol w:w="681"/>
                        <w:gridCol w:w="1465"/>
                        <w:gridCol w:w="1077"/>
                        <w:gridCol w:w="1389"/>
                        <w:gridCol w:w="958"/>
                        <w:gridCol w:w="956"/>
                        <w:gridCol w:w="758"/>
                        <w:gridCol w:w="656"/>
                        <w:gridCol w:w="896"/>
                        <w:gridCol w:w="756"/>
                      </w:tblGrid>
                      <w:tr w:rsidR="00A0212B" w:rsidRPr="00FE4B26" w14:paraId="381E4B21" w14:textId="77777777" w:rsidTr="001633EC">
                        <w:trPr>
                          <w:trHeight w:val="20"/>
                          <w:jc w:val="center"/>
                        </w:trPr>
                        <w:tc>
                          <w:tcPr>
                            <w:tcW w:w="9592" w:type="dxa"/>
                            <w:gridSpan w:val="10"/>
                            <w:shd w:val="clear" w:color="auto" w:fill="auto"/>
                            <w:vAlign w:val="center"/>
                          </w:tcPr>
                          <w:p w14:paraId="59EEC592"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bookmarkStart w:id="20" w:name="_Hlk169256133"/>
                            <w:r w:rsidRPr="00FE4B26">
                              <w:rPr>
                                <w:rFonts w:ascii="標楷體" w:eastAsia="標楷體" w:hAnsi="標楷體" w:cs="新細明體" w:hint="eastAsia"/>
                                <w:b/>
                                <w:bCs/>
                                <w:color w:val="000000"/>
                                <w:kern w:val="0"/>
                              </w:rPr>
                              <w:t>表</w:t>
                            </w:r>
                            <w:r>
                              <w:rPr>
                                <w:rFonts w:ascii="標楷體" w:eastAsia="標楷體" w:hAnsi="標楷體" w:cs="新細明體"/>
                                <w:b/>
                                <w:bCs/>
                                <w:color w:val="000000"/>
                                <w:kern w:val="0"/>
                              </w:rPr>
                              <w:t>7</w:t>
                            </w:r>
                            <w:r w:rsidRPr="00FE4B26">
                              <w:rPr>
                                <w:rFonts w:ascii="標楷體" w:eastAsia="標楷體" w:hAnsi="標楷體" w:cs="新細明體" w:hint="eastAsia"/>
                                <w:b/>
                                <w:bCs/>
                                <w:color w:val="000000"/>
                                <w:kern w:val="0"/>
                              </w:rPr>
                              <w:t xml:space="preserve">　前瞻計畫第</w:t>
                            </w:r>
                            <w:r w:rsidRPr="00FE4B26">
                              <w:rPr>
                                <w:rFonts w:ascii="標楷體" w:eastAsia="標楷體" w:hAnsi="標楷體" w:cs="新細明體"/>
                                <w:b/>
                                <w:bCs/>
                                <w:color w:val="000000"/>
                                <w:kern w:val="0"/>
                              </w:rPr>
                              <w:t>4期特別預算</w:t>
                            </w:r>
                            <w:r w:rsidRPr="00FE4B26">
                              <w:rPr>
                                <w:rFonts w:ascii="標楷體" w:eastAsia="標楷體" w:hAnsi="標楷體" w:cs="新細明體" w:hint="eastAsia"/>
                                <w:b/>
                                <w:bCs/>
                                <w:color w:val="000000"/>
                                <w:kern w:val="0"/>
                              </w:rPr>
                              <w:t>1</w:t>
                            </w:r>
                            <w:r w:rsidRPr="00FE4B26">
                              <w:rPr>
                                <w:rFonts w:ascii="標楷體" w:eastAsia="標楷體" w:hAnsi="標楷體" w:cs="新細明體"/>
                                <w:b/>
                                <w:bCs/>
                                <w:color w:val="000000"/>
                                <w:kern w:val="0"/>
                              </w:rPr>
                              <w:t>12</w:t>
                            </w:r>
                            <w:r w:rsidRPr="00FE4B26">
                              <w:rPr>
                                <w:rFonts w:ascii="標楷體" w:eastAsia="標楷體" w:hAnsi="標楷體" w:cs="新細明體" w:hint="eastAsia"/>
                                <w:b/>
                                <w:bCs/>
                                <w:color w:val="000000"/>
                                <w:kern w:val="0"/>
                              </w:rPr>
                              <w:t>年度實現率未達1成</w:t>
                            </w:r>
                            <w:r>
                              <w:rPr>
                                <w:rFonts w:ascii="標楷體" w:eastAsia="標楷體" w:hAnsi="標楷體" w:cs="新細明體" w:hint="eastAsia"/>
                                <w:b/>
                                <w:bCs/>
                                <w:color w:val="000000"/>
                                <w:kern w:val="0"/>
                              </w:rPr>
                              <w:t>工作計畫</w:t>
                            </w:r>
                            <w:r w:rsidRPr="00FE4B26">
                              <w:rPr>
                                <w:rFonts w:ascii="標楷體" w:eastAsia="標楷體" w:hAnsi="標楷體" w:cs="新細明體" w:hint="eastAsia"/>
                                <w:b/>
                                <w:bCs/>
                                <w:color w:val="000000"/>
                                <w:kern w:val="0"/>
                              </w:rPr>
                              <w:t>執行情形</w:t>
                            </w:r>
                          </w:p>
                        </w:tc>
                      </w:tr>
                      <w:tr w:rsidR="00A0212B" w:rsidRPr="00FE4B26" w14:paraId="76C21AA0" w14:textId="77777777" w:rsidTr="001633EC">
                        <w:trPr>
                          <w:trHeight w:val="20"/>
                          <w:jc w:val="center"/>
                        </w:trPr>
                        <w:tc>
                          <w:tcPr>
                            <w:tcW w:w="9592" w:type="dxa"/>
                            <w:gridSpan w:val="10"/>
                            <w:shd w:val="clear" w:color="auto" w:fill="auto"/>
                            <w:vAlign w:val="center"/>
                          </w:tcPr>
                          <w:p w14:paraId="7D3509B3"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kern w:val="0"/>
                                <w:sz w:val="18"/>
                                <w:szCs w:val="18"/>
                              </w:rPr>
                              <w:t>單位：新臺幣千元、％</w:t>
                            </w:r>
                          </w:p>
                        </w:tc>
                      </w:tr>
                      <w:tr w:rsidR="00A0212B" w:rsidRPr="00FE4B26" w14:paraId="01EB0E82" w14:textId="77777777" w:rsidTr="001633EC">
                        <w:trPr>
                          <w:trHeight w:val="20"/>
                          <w:jc w:val="center"/>
                        </w:trPr>
                        <w:tc>
                          <w:tcPr>
                            <w:tcW w:w="681" w:type="dxa"/>
                            <w:vMerge w:val="restart"/>
                            <w:tcBorders>
                              <w:top w:val="single" w:sz="4" w:space="0" w:color="auto"/>
                              <w:left w:val="single" w:sz="4" w:space="0" w:color="auto"/>
                              <w:right w:val="single" w:sz="4" w:space="0" w:color="auto"/>
                            </w:tcBorders>
                            <w:shd w:val="clear" w:color="auto" w:fill="auto"/>
                            <w:vAlign w:val="center"/>
                            <w:hideMark/>
                          </w:tcPr>
                          <w:p w14:paraId="0F845D0C"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主管</w:t>
                            </w:r>
                          </w:p>
                          <w:p w14:paraId="63F23EA5"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機關</w:t>
                            </w:r>
                          </w:p>
                        </w:tc>
                        <w:tc>
                          <w:tcPr>
                            <w:tcW w:w="1465" w:type="dxa"/>
                            <w:vMerge w:val="restart"/>
                            <w:tcBorders>
                              <w:top w:val="single" w:sz="4" w:space="0" w:color="auto"/>
                              <w:left w:val="nil"/>
                              <w:right w:val="single" w:sz="4" w:space="0" w:color="auto"/>
                            </w:tcBorders>
                            <w:shd w:val="clear" w:color="auto" w:fill="auto"/>
                            <w:vAlign w:val="center"/>
                            <w:hideMark/>
                          </w:tcPr>
                          <w:p w14:paraId="5F5A1D00"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執行機關</w:t>
                            </w:r>
                          </w:p>
                        </w:tc>
                        <w:tc>
                          <w:tcPr>
                            <w:tcW w:w="1077" w:type="dxa"/>
                            <w:vMerge w:val="restart"/>
                            <w:tcBorders>
                              <w:top w:val="single" w:sz="4" w:space="0" w:color="auto"/>
                              <w:left w:val="nil"/>
                              <w:right w:val="single" w:sz="4" w:space="0" w:color="auto"/>
                            </w:tcBorders>
                            <w:shd w:val="clear" w:color="auto" w:fill="auto"/>
                            <w:vAlign w:val="center"/>
                            <w:hideMark/>
                          </w:tcPr>
                          <w:p w14:paraId="1F1779C5"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建設類別</w:t>
                            </w:r>
                          </w:p>
                        </w:tc>
                        <w:tc>
                          <w:tcPr>
                            <w:tcW w:w="1389" w:type="dxa"/>
                            <w:vMerge w:val="restart"/>
                            <w:tcBorders>
                              <w:top w:val="single" w:sz="4" w:space="0" w:color="auto"/>
                              <w:left w:val="nil"/>
                              <w:right w:val="single" w:sz="4" w:space="0" w:color="auto"/>
                            </w:tcBorders>
                            <w:shd w:val="clear" w:color="auto" w:fill="auto"/>
                            <w:vAlign w:val="center"/>
                            <w:hideMark/>
                          </w:tcPr>
                          <w:p w14:paraId="62A73C34"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工作計畫</w:t>
                            </w:r>
                          </w:p>
                        </w:tc>
                        <w:tc>
                          <w:tcPr>
                            <w:tcW w:w="958" w:type="dxa"/>
                            <w:vMerge w:val="restart"/>
                            <w:tcBorders>
                              <w:top w:val="single" w:sz="4" w:space="0" w:color="auto"/>
                              <w:left w:val="nil"/>
                              <w:right w:val="single" w:sz="4" w:space="0" w:color="auto"/>
                            </w:tcBorders>
                            <w:shd w:val="clear" w:color="auto" w:fill="auto"/>
                            <w:vAlign w:val="center"/>
                            <w:hideMark/>
                          </w:tcPr>
                          <w:p w14:paraId="44BD753A"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預算數</w:t>
                            </w:r>
                          </w:p>
                        </w:tc>
                        <w:tc>
                          <w:tcPr>
                            <w:tcW w:w="956" w:type="dxa"/>
                            <w:vMerge w:val="restart"/>
                            <w:tcBorders>
                              <w:top w:val="single" w:sz="4" w:space="0" w:color="auto"/>
                              <w:left w:val="nil"/>
                              <w:right w:val="single" w:sz="4" w:space="0" w:color="auto"/>
                            </w:tcBorders>
                            <w:shd w:val="clear" w:color="auto" w:fill="auto"/>
                            <w:vAlign w:val="center"/>
                            <w:hideMark/>
                          </w:tcPr>
                          <w:p w14:paraId="3346FFD9" w14:textId="77777777" w:rsidR="00A0212B" w:rsidRDefault="00A0212B" w:rsidP="001633EC">
                            <w:pPr>
                              <w:widowControl/>
                              <w:spacing w:line="240" w:lineRule="exact"/>
                              <w:jc w:val="center"/>
                              <w:rPr>
                                <w:rFonts w:ascii="標楷體" w:eastAsia="標楷體" w:hAnsi="標楷體" w:cs="新細明體"/>
                                <w:color w:val="000000"/>
                                <w:spacing w:val="-20"/>
                                <w:kern w:val="0"/>
                                <w:sz w:val="20"/>
                              </w:rPr>
                            </w:pPr>
                            <w:r w:rsidRPr="00DE2D47">
                              <w:rPr>
                                <w:rFonts w:ascii="標楷體" w:eastAsia="標楷體" w:hAnsi="標楷體" w:cs="新細明體" w:hint="eastAsia"/>
                                <w:color w:val="000000"/>
                                <w:spacing w:val="-20"/>
                                <w:kern w:val="0"/>
                                <w:sz w:val="20"/>
                              </w:rPr>
                              <w:t>1</w:t>
                            </w:r>
                            <w:r w:rsidRPr="00DE2D47">
                              <w:rPr>
                                <w:rFonts w:ascii="標楷體" w:eastAsia="標楷體" w:hAnsi="標楷體" w:cs="新細明體"/>
                                <w:color w:val="000000"/>
                                <w:spacing w:val="-20"/>
                                <w:kern w:val="0"/>
                                <w:sz w:val="20"/>
                              </w:rPr>
                              <w:t>12</w:t>
                            </w:r>
                            <w:r w:rsidRPr="00DE2D47">
                              <w:rPr>
                                <w:rFonts w:ascii="標楷體" w:eastAsia="標楷體" w:hAnsi="標楷體" w:cs="新細明體" w:hint="eastAsia"/>
                                <w:color w:val="000000"/>
                                <w:spacing w:val="-20"/>
                                <w:kern w:val="0"/>
                                <w:sz w:val="20"/>
                              </w:rPr>
                              <w:t>年度</w:t>
                            </w:r>
                          </w:p>
                          <w:p w14:paraId="45D1F023" w14:textId="77777777" w:rsidR="00A0212B" w:rsidRPr="00DE2D47" w:rsidRDefault="00A0212B" w:rsidP="001633EC">
                            <w:pPr>
                              <w:widowControl/>
                              <w:spacing w:line="240" w:lineRule="exact"/>
                              <w:jc w:val="center"/>
                              <w:rPr>
                                <w:rFonts w:ascii="標楷體" w:eastAsia="標楷體" w:hAnsi="標楷體" w:cs="新細明體"/>
                                <w:color w:val="000000"/>
                                <w:spacing w:val="-20"/>
                                <w:kern w:val="0"/>
                                <w:sz w:val="20"/>
                              </w:rPr>
                            </w:pPr>
                            <w:r w:rsidRPr="00DE2D47">
                              <w:rPr>
                                <w:rFonts w:ascii="標楷體" w:eastAsia="標楷體" w:hAnsi="標楷體" w:cs="新細明體" w:hint="eastAsia"/>
                                <w:color w:val="000000"/>
                                <w:spacing w:val="-20"/>
                                <w:kern w:val="0"/>
                                <w:sz w:val="20"/>
                              </w:rPr>
                              <w:t>分配預算數</w:t>
                            </w:r>
                          </w:p>
                        </w:tc>
                        <w:tc>
                          <w:tcPr>
                            <w:tcW w:w="3066" w:type="dxa"/>
                            <w:gridSpan w:val="4"/>
                            <w:tcBorders>
                              <w:top w:val="single" w:sz="4" w:space="0" w:color="auto"/>
                              <w:left w:val="nil"/>
                              <w:bottom w:val="single" w:sz="4" w:space="0" w:color="auto"/>
                              <w:right w:val="single" w:sz="4" w:space="0" w:color="auto"/>
                            </w:tcBorders>
                            <w:shd w:val="clear" w:color="auto" w:fill="auto"/>
                            <w:vAlign w:val="center"/>
                            <w:hideMark/>
                          </w:tcPr>
                          <w:p w14:paraId="21F6536C"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執行情形</w:t>
                            </w:r>
                          </w:p>
                        </w:tc>
                      </w:tr>
                      <w:tr w:rsidR="00A0212B" w:rsidRPr="00FE4B26" w14:paraId="7BA7D955"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31985483"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1465" w:type="dxa"/>
                            <w:vMerge/>
                            <w:tcBorders>
                              <w:left w:val="nil"/>
                              <w:bottom w:val="single" w:sz="4" w:space="0" w:color="auto"/>
                              <w:right w:val="single" w:sz="4" w:space="0" w:color="auto"/>
                            </w:tcBorders>
                            <w:shd w:val="clear" w:color="auto" w:fill="auto"/>
                            <w:vAlign w:val="center"/>
                            <w:hideMark/>
                          </w:tcPr>
                          <w:p w14:paraId="3BEF03C7"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1077" w:type="dxa"/>
                            <w:vMerge/>
                            <w:tcBorders>
                              <w:left w:val="nil"/>
                              <w:bottom w:val="single" w:sz="4" w:space="0" w:color="auto"/>
                              <w:right w:val="single" w:sz="4" w:space="0" w:color="auto"/>
                            </w:tcBorders>
                            <w:shd w:val="clear" w:color="auto" w:fill="auto"/>
                            <w:vAlign w:val="center"/>
                            <w:hideMark/>
                          </w:tcPr>
                          <w:p w14:paraId="5B70C022"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1389" w:type="dxa"/>
                            <w:vMerge/>
                            <w:tcBorders>
                              <w:left w:val="nil"/>
                              <w:bottom w:val="single" w:sz="4" w:space="0" w:color="auto"/>
                              <w:right w:val="single" w:sz="4" w:space="0" w:color="auto"/>
                            </w:tcBorders>
                            <w:shd w:val="clear" w:color="auto" w:fill="auto"/>
                            <w:vAlign w:val="center"/>
                            <w:hideMark/>
                          </w:tcPr>
                          <w:p w14:paraId="0F87C633"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958" w:type="dxa"/>
                            <w:vMerge/>
                            <w:tcBorders>
                              <w:left w:val="nil"/>
                              <w:bottom w:val="single" w:sz="4" w:space="0" w:color="auto"/>
                              <w:right w:val="single" w:sz="4" w:space="0" w:color="auto"/>
                            </w:tcBorders>
                            <w:shd w:val="clear" w:color="auto" w:fill="auto"/>
                            <w:vAlign w:val="center"/>
                            <w:hideMark/>
                          </w:tcPr>
                          <w:p w14:paraId="66CB50F1"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956" w:type="dxa"/>
                            <w:vMerge/>
                            <w:tcBorders>
                              <w:left w:val="nil"/>
                              <w:bottom w:val="single" w:sz="4" w:space="0" w:color="auto"/>
                              <w:right w:val="single" w:sz="4" w:space="0" w:color="auto"/>
                            </w:tcBorders>
                            <w:shd w:val="clear" w:color="auto" w:fill="auto"/>
                            <w:vAlign w:val="center"/>
                            <w:hideMark/>
                          </w:tcPr>
                          <w:p w14:paraId="20ED1328"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p>
                        </w:tc>
                        <w:tc>
                          <w:tcPr>
                            <w:tcW w:w="758" w:type="dxa"/>
                            <w:tcBorders>
                              <w:top w:val="nil"/>
                              <w:left w:val="nil"/>
                              <w:bottom w:val="single" w:sz="4" w:space="0" w:color="auto"/>
                              <w:right w:val="single" w:sz="4" w:space="0" w:color="auto"/>
                            </w:tcBorders>
                            <w:shd w:val="clear" w:color="auto" w:fill="auto"/>
                            <w:vAlign w:val="center"/>
                            <w:hideMark/>
                          </w:tcPr>
                          <w:p w14:paraId="4204A4B2"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合計</w:t>
                            </w:r>
                          </w:p>
                        </w:tc>
                        <w:tc>
                          <w:tcPr>
                            <w:tcW w:w="656" w:type="dxa"/>
                            <w:tcBorders>
                              <w:top w:val="nil"/>
                              <w:left w:val="nil"/>
                              <w:bottom w:val="single" w:sz="4" w:space="0" w:color="auto"/>
                              <w:right w:val="single" w:sz="4" w:space="0" w:color="auto"/>
                            </w:tcBorders>
                            <w:shd w:val="clear" w:color="auto" w:fill="auto"/>
                            <w:vAlign w:val="center"/>
                            <w:hideMark/>
                          </w:tcPr>
                          <w:p w14:paraId="472F1F39"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實現數</w:t>
                            </w:r>
                          </w:p>
                        </w:tc>
                        <w:tc>
                          <w:tcPr>
                            <w:tcW w:w="896" w:type="dxa"/>
                            <w:tcBorders>
                              <w:top w:val="nil"/>
                              <w:left w:val="nil"/>
                              <w:bottom w:val="single" w:sz="4" w:space="0" w:color="auto"/>
                              <w:right w:val="single" w:sz="4" w:space="0" w:color="auto"/>
                            </w:tcBorders>
                            <w:shd w:val="clear" w:color="auto" w:fill="auto"/>
                            <w:vAlign w:val="center"/>
                            <w:hideMark/>
                          </w:tcPr>
                          <w:p w14:paraId="75CDB062" w14:textId="77777777" w:rsidR="00A0212B"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實現率</w:t>
                            </w:r>
                          </w:p>
                          <w:p w14:paraId="6EF4A845"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（註1）</w:t>
                            </w:r>
                          </w:p>
                        </w:tc>
                        <w:tc>
                          <w:tcPr>
                            <w:tcW w:w="756" w:type="dxa"/>
                            <w:tcBorders>
                              <w:top w:val="nil"/>
                              <w:left w:val="nil"/>
                              <w:bottom w:val="single" w:sz="4" w:space="0" w:color="auto"/>
                              <w:right w:val="single" w:sz="4" w:space="0" w:color="auto"/>
                            </w:tcBorders>
                            <w:shd w:val="clear" w:color="auto" w:fill="auto"/>
                            <w:vAlign w:val="center"/>
                            <w:hideMark/>
                          </w:tcPr>
                          <w:p w14:paraId="3AE844E5" w14:textId="77777777" w:rsidR="00A0212B" w:rsidRPr="00FE4B26" w:rsidRDefault="00A0212B" w:rsidP="001633EC">
                            <w:pPr>
                              <w:widowControl/>
                              <w:spacing w:line="240" w:lineRule="exact"/>
                              <w:jc w:val="center"/>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預付數</w:t>
                            </w:r>
                          </w:p>
                        </w:tc>
                      </w:tr>
                      <w:tr w:rsidR="00A0212B" w:rsidRPr="00FE4B26" w14:paraId="68388224"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71499167"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行政院</w:t>
                            </w:r>
                          </w:p>
                        </w:tc>
                        <w:tc>
                          <w:tcPr>
                            <w:tcW w:w="1465" w:type="dxa"/>
                            <w:tcBorders>
                              <w:top w:val="nil"/>
                              <w:left w:val="nil"/>
                              <w:bottom w:val="single" w:sz="4" w:space="0" w:color="auto"/>
                              <w:right w:val="single" w:sz="4" w:space="0" w:color="auto"/>
                            </w:tcBorders>
                            <w:shd w:val="clear" w:color="auto" w:fill="auto"/>
                            <w:vAlign w:val="center"/>
                            <w:hideMark/>
                          </w:tcPr>
                          <w:p w14:paraId="2E5C229E"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國家發展委員會</w:t>
                            </w:r>
                          </w:p>
                        </w:tc>
                        <w:tc>
                          <w:tcPr>
                            <w:tcW w:w="1077" w:type="dxa"/>
                            <w:tcBorders>
                              <w:top w:val="nil"/>
                              <w:left w:val="nil"/>
                              <w:bottom w:val="single" w:sz="4" w:space="0" w:color="auto"/>
                              <w:right w:val="single" w:sz="4" w:space="0" w:color="auto"/>
                            </w:tcBorders>
                            <w:shd w:val="clear" w:color="auto" w:fill="auto"/>
                            <w:vAlign w:val="center"/>
                            <w:hideMark/>
                          </w:tcPr>
                          <w:p w14:paraId="1FA8C72A"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1389" w:type="dxa"/>
                            <w:tcBorders>
                              <w:top w:val="nil"/>
                              <w:left w:val="nil"/>
                              <w:bottom w:val="single" w:sz="4" w:space="0" w:color="auto"/>
                              <w:right w:val="single" w:sz="4" w:space="0" w:color="auto"/>
                            </w:tcBorders>
                            <w:shd w:val="clear" w:color="auto" w:fill="auto"/>
                            <w:vAlign w:val="center"/>
                            <w:hideMark/>
                          </w:tcPr>
                          <w:p w14:paraId="28ED5FD7"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人才培育促進就業建設</w:t>
                            </w:r>
                          </w:p>
                        </w:tc>
                        <w:tc>
                          <w:tcPr>
                            <w:tcW w:w="958" w:type="dxa"/>
                            <w:tcBorders>
                              <w:top w:val="nil"/>
                              <w:left w:val="nil"/>
                              <w:bottom w:val="single" w:sz="4" w:space="0" w:color="auto"/>
                              <w:right w:val="single" w:sz="4" w:space="0" w:color="auto"/>
                            </w:tcBorders>
                            <w:shd w:val="clear" w:color="auto" w:fill="auto"/>
                            <w:vAlign w:val="center"/>
                            <w:hideMark/>
                          </w:tcPr>
                          <w:p w14:paraId="35827CD2"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908,900 </w:t>
                            </w:r>
                          </w:p>
                        </w:tc>
                        <w:tc>
                          <w:tcPr>
                            <w:tcW w:w="956" w:type="dxa"/>
                            <w:tcBorders>
                              <w:top w:val="nil"/>
                              <w:left w:val="nil"/>
                              <w:bottom w:val="single" w:sz="4" w:space="0" w:color="auto"/>
                              <w:right w:val="single" w:sz="4" w:space="0" w:color="auto"/>
                            </w:tcBorders>
                            <w:shd w:val="clear" w:color="auto" w:fill="auto"/>
                            <w:vAlign w:val="center"/>
                            <w:hideMark/>
                          </w:tcPr>
                          <w:p w14:paraId="69FB433A"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366,450 </w:t>
                            </w:r>
                          </w:p>
                        </w:tc>
                        <w:tc>
                          <w:tcPr>
                            <w:tcW w:w="758" w:type="dxa"/>
                            <w:tcBorders>
                              <w:top w:val="nil"/>
                              <w:left w:val="nil"/>
                              <w:bottom w:val="single" w:sz="4" w:space="0" w:color="auto"/>
                              <w:right w:val="single" w:sz="4" w:space="0" w:color="auto"/>
                            </w:tcBorders>
                            <w:shd w:val="clear" w:color="auto" w:fill="auto"/>
                            <w:vAlign w:val="center"/>
                            <w:hideMark/>
                          </w:tcPr>
                          <w:p w14:paraId="674EF816"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44,247 </w:t>
                            </w:r>
                          </w:p>
                        </w:tc>
                        <w:tc>
                          <w:tcPr>
                            <w:tcW w:w="656" w:type="dxa"/>
                            <w:tcBorders>
                              <w:top w:val="nil"/>
                              <w:left w:val="nil"/>
                              <w:bottom w:val="single" w:sz="4" w:space="0" w:color="auto"/>
                              <w:right w:val="single" w:sz="4" w:space="0" w:color="auto"/>
                            </w:tcBorders>
                            <w:shd w:val="clear" w:color="auto" w:fill="auto"/>
                            <w:vAlign w:val="center"/>
                            <w:hideMark/>
                          </w:tcPr>
                          <w:p w14:paraId="5B905309"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34,599 </w:t>
                            </w:r>
                          </w:p>
                        </w:tc>
                        <w:tc>
                          <w:tcPr>
                            <w:tcW w:w="896" w:type="dxa"/>
                            <w:tcBorders>
                              <w:top w:val="nil"/>
                              <w:left w:val="nil"/>
                              <w:bottom w:val="single" w:sz="4" w:space="0" w:color="auto"/>
                              <w:right w:val="single" w:sz="4" w:space="0" w:color="auto"/>
                            </w:tcBorders>
                            <w:shd w:val="clear" w:color="auto" w:fill="auto"/>
                            <w:vAlign w:val="center"/>
                            <w:hideMark/>
                          </w:tcPr>
                          <w:p w14:paraId="4ACE617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9.44 </w:t>
                            </w:r>
                          </w:p>
                        </w:tc>
                        <w:tc>
                          <w:tcPr>
                            <w:tcW w:w="756" w:type="dxa"/>
                            <w:tcBorders>
                              <w:top w:val="nil"/>
                              <w:left w:val="nil"/>
                              <w:bottom w:val="single" w:sz="4" w:space="0" w:color="auto"/>
                              <w:right w:val="single" w:sz="4" w:space="0" w:color="auto"/>
                            </w:tcBorders>
                            <w:shd w:val="clear" w:color="auto" w:fill="auto"/>
                            <w:vAlign w:val="center"/>
                            <w:hideMark/>
                          </w:tcPr>
                          <w:p w14:paraId="6A7D692B"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9,648 </w:t>
                            </w:r>
                          </w:p>
                        </w:tc>
                      </w:tr>
                      <w:tr w:rsidR="00A0212B" w:rsidRPr="00FE4B26" w14:paraId="11E62486"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AE59204" w14:textId="77777777" w:rsidR="00A0212B" w:rsidRPr="00FE4B26" w:rsidRDefault="00A0212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341F95B8"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原住民族委員會</w:t>
                            </w:r>
                          </w:p>
                        </w:tc>
                        <w:tc>
                          <w:tcPr>
                            <w:tcW w:w="1077" w:type="dxa"/>
                            <w:tcBorders>
                              <w:top w:val="nil"/>
                              <w:left w:val="nil"/>
                              <w:bottom w:val="single" w:sz="4" w:space="0" w:color="auto"/>
                              <w:right w:val="single" w:sz="4" w:space="0" w:color="auto"/>
                            </w:tcBorders>
                            <w:shd w:val="clear" w:color="auto" w:fill="auto"/>
                            <w:vAlign w:val="center"/>
                            <w:hideMark/>
                          </w:tcPr>
                          <w:p w14:paraId="3ABF8DC2"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61AE241D"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推廣數位公益服務</w:t>
                            </w:r>
                          </w:p>
                        </w:tc>
                        <w:tc>
                          <w:tcPr>
                            <w:tcW w:w="958" w:type="dxa"/>
                            <w:tcBorders>
                              <w:top w:val="nil"/>
                              <w:left w:val="nil"/>
                              <w:bottom w:val="single" w:sz="4" w:space="0" w:color="auto"/>
                              <w:right w:val="single" w:sz="4" w:space="0" w:color="auto"/>
                            </w:tcBorders>
                            <w:shd w:val="clear" w:color="auto" w:fill="auto"/>
                            <w:vAlign w:val="center"/>
                            <w:hideMark/>
                          </w:tcPr>
                          <w:p w14:paraId="70AC682A"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956" w:type="dxa"/>
                            <w:tcBorders>
                              <w:top w:val="nil"/>
                              <w:left w:val="nil"/>
                              <w:bottom w:val="single" w:sz="4" w:space="0" w:color="auto"/>
                              <w:right w:val="single" w:sz="4" w:space="0" w:color="auto"/>
                            </w:tcBorders>
                            <w:shd w:val="clear" w:color="auto" w:fill="auto"/>
                            <w:vAlign w:val="center"/>
                            <w:hideMark/>
                          </w:tcPr>
                          <w:p w14:paraId="21250839"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15,000 </w:t>
                            </w:r>
                          </w:p>
                        </w:tc>
                        <w:tc>
                          <w:tcPr>
                            <w:tcW w:w="758" w:type="dxa"/>
                            <w:tcBorders>
                              <w:top w:val="nil"/>
                              <w:left w:val="nil"/>
                              <w:bottom w:val="single" w:sz="4" w:space="0" w:color="auto"/>
                              <w:right w:val="single" w:sz="4" w:space="0" w:color="auto"/>
                            </w:tcBorders>
                            <w:shd w:val="clear" w:color="auto" w:fill="auto"/>
                            <w:vAlign w:val="center"/>
                            <w:hideMark/>
                          </w:tcPr>
                          <w:p w14:paraId="24B93B04"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1,483 </w:t>
                            </w:r>
                          </w:p>
                        </w:tc>
                        <w:tc>
                          <w:tcPr>
                            <w:tcW w:w="656" w:type="dxa"/>
                            <w:tcBorders>
                              <w:top w:val="nil"/>
                              <w:left w:val="nil"/>
                              <w:bottom w:val="single" w:sz="4" w:space="0" w:color="auto"/>
                              <w:right w:val="single" w:sz="4" w:space="0" w:color="auto"/>
                            </w:tcBorders>
                            <w:shd w:val="clear" w:color="auto" w:fill="auto"/>
                            <w:vAlign w:val="center"/>
                            <w:hideMark/>
                          </w:tcPr>
                          <w:p w14:paraId="7119C6CA"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1,483 </w:t>
                            </w:r>
                          </w:p>
                        </w:tc>
                        <w:tc>
                          <w:tcPr>
                            <w:tcW w:w="896" w:type="dxa"/>
                            <w:tcBorders>
                              <w:top w:val="nil"/>
                              <w:left w:val="nil"/>
                              <w:bottom w:val="single" w:sz="4" w:space="0" w:color="auto"/>
                              <w:right w:val="single" w:sz="4" w:space="0" w:color="auto"/>
                            </w:tcBorders>
                            <w:shd w:val="clear" w:color="auto" w:fill="auto"/>
                            <w:vAlign w:val="center"/>
                            <w:hideMark/>
                          </w:tcPr>
                          <w:p w14:paraId="04EC3862"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9.89 </w:t>
                            </w:r>
                          </w:p>
                        </w:tc>
                        <w:tc>
                          <w:tcPr>
                            <w:tcW w:w="756" w:type="dxa"/>
                            <w:tcBorders>
                              <w:top w:val="nil"/>
                              <w:left w:val="nil"/>
                              <w:bottom w:val="single" w:sz="4" w:space="0" w:color="auto"/>
                              <w:right w:val="single" w:sz="4" w:space="0" w:color="auto"/>
                            </w:tcBorders>
                            <w:shd w:val="clear" w:color="auto" w:fill="auto"/>
                            <w:vAlign w:val="center"/>
                            <w:hideMark/>
                          </w:tcPr>
                          <w:p w14:paraId="753BCAF6"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4A5FC2D6"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4513E48C"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465" w:type="dxa"/>
                            <w:tcBorders>
                              <w:top w:val="nil"/>
                              <w:left w:val="nil"/>
                              <w:bottom w:val="single" w:sz="4" w:space="0" w:color="auto"/>
                              <w:right w:val="single" w:sz="4" w:space="0" w:color="auto"/>
                            </w:tcBorders>
                            <w:shd w:val="clear" w:color="auto" w:fill="auto"/>
                            <w:vAlign w:val="center"/>
                            <w:hideMark/>
                          </w:tcPr>
                          <w:p w14:paraId="2733ADB8"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經濟部</w:t>
                            </w:r>
                          </w:p>
                        </w:tc>
                        <w:tc>
                          <w:tcPr>
                            <w:tcW w:w="1077" w:type="dxa"/>
                            <w:tcBorders>
                              <w:top w:val="nil"/>
                              <w:left w:val="nil"/>
                              <w:bottom w:val="single" w:sz="4" w:space="0" w:color="auto"/>
                              <w:right w:val="single" w:sz="4" w:space="0" w:color="auto"/>
                            </w:tcBorders>
                            <w:shd w:val="clear" w:color="auto" w:fill="auto"/>
                            <w:vAlign w:val="center"/>
                            <w:hideMark/>
                          </w:tcPr>
                          <w:p w14:paraId="049C440A"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79EADF17"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公共服務據點整備</w:t>
                            </w:r>
                          </w:p>
                        </w:tc>
                        <w:tc>
                          <w:tcPr>
                            <w:tcW w:w="958" w:type="dxa"/>
                            <w:tcBorders>
                              <w:top w:val="nil"/>
                              <w:left w:val="nil"/>
                              <w:bottom w:val="single" w:sz="4" w:space="0" w:color="auto"/>
                              <w:right w:val="single" w:sz="4" w:space="0" w:color="auto"/>
                            </w:tcBorders>
                            <w:shd w:val="clear" w:color="auto" w:fill="auto"/>
                            <w:vAlign w:val="center"/>
                            <w:hideMark/>
                          </w:tcPr>
                          <w:p w14:paraId="427D5CAF"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368,680 </w:t>
                            </w:r>
                          </w:p>
                        </w:tc>
                        <w:tc>
                          <w:tcPr>
                            <w:tcW w:w="956" w:type="dxa"/>
                            <w:tcBorders>
                              <w:top w:val="nil"/>
                              <w:left w:val="nil"/>
                              <w:bottom w:val="single" w:sz="4" w:space="0" w:color="auto"/>
                              <w:right w:val="single" w:sz="4" w:space="0" w:color="auto"/>
                            </w:tcBorders>
                            <w:shd w:val="clear" w:color="auto" w:fill="auto"/>
                            <w:vAlign w:val="center"/>
                            <w:hideMark/>
                          </w:tcPr>
                          <w:p w14:paraId="5E596BA1"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184,340 </w:t>
                            </w:r>
                          </w:p>
                        </w:tc>
                        <w:tc>
                          <w:tcPr>
                            <w:tcW w:w="758" w:type="dxa"/>
                            <w:tcBorders>
                              <w:top w:val="nil"/>
                              <w:left w:val="nil"/>
                              <w:bottom w:val="single" w:sz="4" w:space="0" w:color="auto"/>
                              <w:right w:val="single" w:sz="4" w:space="0" w:color="auto"/>
                            </w:tcBorders>
                            <w:shd w:val="clear" w:color="auto" w:fill="auto"/>
                            <w:vAlign w:val="center"/>
                            <w:hideMark/>
                          </w:tcPr>
                          <w:p w14:paraId="2782F953"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39,837 </w:t>
                            </w:r>
                          </w:p>
                        </w:tc>
                        <w:tc>
                          <w:tcPr>
                            <w:tcW w:w="656" w:type="dxa"/>
                            <w:tcBorders>
                              <w:top w:val="nil"/>
                              <w:left w:val="nil"/>
                              <w:bottom w:val="single" w:sz="4" w:space="0" w:color="auto"/>
                              <w:right w:val="single" w:sz="4" w:space="0" w:color="auto"/>
                            </w:tcBorders>
                            <w:shd w:val="clear" w:color="auto" w:fill="auto"/>
                            <w:vAlign w:val="center"/>
                            <w:hideMark/>
                          </w:tcPr>
                          <w:p w14:paraId="66A3A5F7"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10,527 </w:t>
                            </w:r>
                          </w:p>
                        </w:tc>
                        <w:tc>
                          <w:tcPr>
                            <w:tcW w:w="896" w:type="dxa"/>
                            <w:tcBorders>
                              <w:top w:val="nil"/>
                              <w:left w:val="nil"/>
                              <w:bottom w:val="single" w:sz="4" w:space="0" w:color="auto"/>
                              <w:right w:val="single" w:sz="4" w:space="0" w:color="auto"/>
                            </w:tcBorders>
                            <w:shd w:val="clear" w:color="auto" w:fill="auto"/>
                            <w:vAlign w:val="center"/>
                            <w:hideMark/>
                          </w:tcPr>
                          <w:p w14:paraId="2F22D32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5.71 </w:t>
                            </w:r>
                          </w:p>
                        </w:tc>
                        <w:tc>
                          <w:tcPr>
                            <w:tcW w:w="756" w:type="dxa"/>
                            <w:tcBorders>
                              <w:top w:val="nil"/>
                              <w:left w:val="nil"/>
                              <w:bottom w:val="single" w:sz="4" w:space="0" w:color="auto"/>
                              <w:right w:val="single" w:sz="4" w:space="0" w:color="auto"/>
                            </w:tcBorders>
                            <w:shd w:val="clear" w:color="auto" w:fill="auto"/>
                            <w:vAlign w:val="center"/>
                            <w:hideMark/>
                          </w:tcPr>
                          <w:p w14:paraId="660AE0D2"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29,310 </w:t>
                            </w:r>
                          </w:p>
                        </w:tc>
                      </w:tr>
                      <w:tr w:rsidR="00A0212B" w:rsidRPr="00FE4B26" w14:paraId="03ED660C"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56C270D2" w14:textId="77777777" w:rsidR="00A0212B" w:rsidRPr="00FE4B26" w:rsidRDefault="00A0212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7C6F0366"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水利署及所屬</w:t>
                            </w:r>
                          </w:p>
                        </w:tc>
                        <w:tc>
                          <w:tcPr>
                            <w:tcW w:w="1077" w:type="dxa"/>
                            <w:tcBorders>
                              <w:top w:val="nil"/>
                              <w:left w:val="nil"/>
                              <w:bottom w:val="single" w:sz="4" w:space="0" w:color="auto"/>
                              <w:right w:val="single" w:sz="4" w:space="0" w:color="auto"/>
                            </w:tcBorders>
                            <w:shd w:val="clear" w:color="auto" w:fill="auto"/>
                            <w:vAlign w:val="center"/>
                            <w:hideMark/>
                          </w:tcPr>
                          <w:p w14:paraId="49E25B76"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DB9E01"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建構開放政府及智慧城鄉服務</w:t>
                            </w:r>
                          </w:p>
                        </w:tc>
                        <w:tc>
                          <w:tcPr>
                            <w:tcW w:w="958" w:type="dxa"/>
                            <w:tcBorders>
                              <w:top w:val="nil"/>
                              <w:left w:val="nil"/>
                              <w:bottom w:val="single" w:sz="4" w:space="0" w:color="auto"/>
                              <w:right w:val="single" w:sz="4" w:space="0" w:color="auto"/>
                            </w:tcBorders>
                            <w:shd w:val="clear" w:color="auto" w:fill="auto"/>
                            <w:vAlign w:val="center"/>
                            <w:hideMark/>
                          </w:tcPr>
                          <w:p w14:paraId="03494191"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102,960 </w:t>
                            </w:r>
                          </w:p>
                        </w:tc>
                        <w:tc>
                          <w:tcPr>
                            <w:tcW w:w="956" w:type="dxa"/>
                            <w:tcBorders>
                              <w:top w:val="nil"/>
                              <w:left w:val="nil"/>
                              <w:bottom w:val="single" w:sz="4" w:space="0" w:color="auto"/>
                              <w:right w:val="single" w:sz="4" w:space="0" w:color="auto"/>
                            </w:tcBorders>
                            <w:shd w:val="clear" w:color="auto" w:fill="auto"/>
                            <w:vAlign w:val="center"/>
                            <w:hideMark/>
                          </w:tcPr>
                          <w:p w14:paraId="2C6509CE"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51,480 </w:t>
                            </w:r>
                          </w:p>
                        </w:tc>
                        <w:tc>
                          <w:tcPr>
                            <w:tcW w:w="758" w:type="dxa"/>
                            <w:tcBorders>
                              <w:top w:val="nil"/>
                              <w:left w:val="nil"/>
                              <w:bottom w:val="single" w:sz="4" w:space="0" w:color="auto"/>
                              <w:right w:val="single" w:sz="4" w:space="0" w:color="auto"/>
                            </w:tcBorders>
                            <w:shd w:val="clear" w:color="auto" w:fill="auto"/>
                            <w:vAlign w:val="center"/>
                            <w:hideMark/>
                          </w:tcPr>
                          <w:p w14:paraId="3B35EB2C"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51,454 </w:t>
                            </w:r>
                          </w:p>
                        </w:tc>
                        <w:tc>
                          <w:tcPr>
                            <w:tcW w:w="656" w:type="dxa"/>
                            <w:tcBorders>
                              <w:top w:val="nil"/>
                              <w:left w:val="nil"/>
                              <w:bottom w:val="single" w:sz="4" w:space="0" w:color="auto"/>
                              <w:right w:val="single" w:sz="4" w:space="0" w:color="auto"/>
                            </w:tcBorders>
                            <w:shd w:val="clear" w:color="auto" w:fill="auto"/>
                            <w:vAlign w:val="center"/>
                            <w:hideMark/>
                          </w:tcPr>
                          <w:p w14:paraId="1E8BBE78"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 </w:t>
                            </w:r>
                          </w:p>
                        </w:tc>
                        <w:tc>
                          <w:tcPr>
                            <w:tcW w:w="896" w:type="dxa"/>
                            <w:tcBorders>
                              <w:top w:val="nil"/>
                              <w:left w:val="nil"/>
                              <w:bottom w:val="single" w:sz="4" w:space="0" w:color="auto"/>
                              <w:right w:val="single" w:sz="4" w:space="0" w:color="auto"/>
                            </w:tcBorders>
                            <w:shd w:val="clear" w:color="auto" w:fill="auto"/>
                            <w:vAlign w:val="center"/>
                            <w:hideMark/>
                          </w:tcPr>
                          <w:p w14:paraId="7216C002"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0.05 </w:t>
                            </w:r>
                          </w:p>
                        </w:tc>
                        <w:tc>
                          <w:tcPr>
                            <w:tcW w:w="756" w:type="dxa"/>
                            <w:tcBorders>
                              <w:top w:val="nil"/>
                              <w:left w:val="nil"/>
                              <w:bottom w:val="single" w:sz="4" w:space="0" w:color="auto"/>
                              <w:right w:val="single" w:sz="4" w:space="0" w:color="auto"/>
                            </w:tcBorders>
                            <w:shd w:val="clear" w:color="auto" w:fill="auto"/>
                            <w:vAlign w:val="center"/>
                            <w:hideMark/>
                          </w:tcPr>
                          <w:p w14:paraId="6DD0F25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51,430 </w:t>
                            </w:r>
                          </w:p>
                        </w:tc>
                      </w:tr>
                      <w:tr w:rsidR="00A0212B" w:rsidRPr="00FE4B26" w14:paraId="399788BE" w14:textId="77777777" w:rsidTr="001633EC">
                        <w:trPr>
                          <w:trHeight w:val="20"/>
                          <w:jc w:val="center"/>
                        </w:trPr>
                        <w:tc>
                          <w:tcPr>
                            <w:tcW w:w="681" w:type="dxa"/>
                            <w:vMerge w:val="restart"/>
                            <w:tcBorders>
                              <w:top w:val="nil"/>
                              <w:left w:val="single" w:sz="4" w:space="0" w:color="auto"/>
                              <w:right w:val="single" w:sz="4" w:space="0" w:color="auto"/>
                            </w:tcBorders>
                            <w:shd w:val="clear" w:color="auto" w:fill="auto"/>
                            <w:vAlign w:val="center"/>
                            <w:hideMark/>
                          </w:tcPr>
                          <w:p w14:paraId="457092A1"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465" w:type="dxa"/>
                            <w:tcBorders>
                              <w:top w:val="nil"/>
                              <w:left w:val="nil"/>
                              <w:bottom w:val="single" w:sz="4" w:space="0" w:color="auto"/>
                              <w:right w:val="single" w:sz="4" w:space="0" w:color="auto"/>
                            </w:tcBorders>
                            <w:shd w:val="clear" w:color="auto" w:fill="auto"/>
                            <w:vAlign w:val="center"/>
                            <w:hideMark/>
                          </w:tcPr>
                          <w:p w14:paraId="0AB61424"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交通部</w:t>
                            </w:r>
                          </w:p>
                        </w:tc>
                        <w:tc>
                          <w:tcPr>
                            <w:tcW w:w="1077" w:type="dxa"/>
                            <w:tcBorders>
                              <w:top w:val="nil"/>
                              <w:left w:val="nil"/>
                              <w:bottom w:val="single" w:sz="4" w:space="0" w:color="auto"/>
                              <w:right w:val="single" w:sz="4" w:space="0" w:color="auto"/>
                            </w:tcBorders>
                            <w:shd w:val="clear" w:color="auto" w:fill="auto"/>
                            <w:vAlign w:val="center"/>
                            <w:hideMark/>
                          </w:tcPr>
                          <w:p w14:paraId="062F60E7"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62A53DC1"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臺鐵升級及改善東部服務</w:t>
                            </w:r>
                          </w:p>
                        </w:tc>
                        <w:tc>
                          <w:tcPr>
                            <w:tcW w:w="958" w:type="dxa"/>
                            <w:tcBorders>
                              <w:top w:val="nil"/>
                              <w:left w:val="nil"/>
                              <w:bottom w:val="single" w:sz="4" w:space="0" w:color="auto"/>
                              <w:right w:val="single" w:sz="4" w:space="0" w:color="auto"/>
                            </w:tcBorders>
                            <w:shd w:val="clear" w:color="auto" w:fill="auto"/>
                            <w:vAlign w:val="center"/>
                            <w:hideMark/>
                          </w:tcPr>
                          <w:p w14:paraId="783F0C05"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5,891,168 </w:t>
                            </w:r>
                          </w:p>
                        </w:tc>
                        <w:tc>
                          <w:tcPr>
                            <w:tcW w:w="956" w:type="dxa"/>
                            <w:tcBorders>
                              <w:top w:val="nil"/>
                              <w:left w:val="nil"/>
                              <w:bottom w:val="single" w:sz="4" w:space="0" w:color="auto"/>
                              <w:right w:val="single" w:sz="4" w:space="0" w:color="auto"/>
                            </w:tcBorders>
                            <w:shd w:val="clear" w:color="auto" w:fill="auto"/>
                            <w:vAlign w:val="center"/>
                            <w:hideMark/>
                          </w:tcPr>
                          <w:p w14:paraId="25BD2623"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2,000,000 </w:t>
                            </w:r>
                          </w:p>
                        </w:tc>
                        <w:tc>
                          <w:tcPr>
                            <w:tcW w:w="758" w:type="dxa"/>
                            <w:tcBorders>
                              <w:top w:val="nil"/>
                              <w:left w:val="nil"/>
                              <w:bottom w:val="single" w:sz="4" w:space="0" w:color="auto"/>
                              <w:right w:val="single" w:sz="4" w:space="0" w:color="auto"/>
                            </w:tcBorders>
                            <w:shd w:val="clear" w:color="auto" w:fill="auto"/>
                            <w:vAlign w:val="center"/>
                            <w:hideMark/>
                          </w:tcPr>
                          <w:p w14:paraId="646CCC2D"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34,106 </w:t>
                            </w:r>
                          </w:p>
                        </w:tc>
                        <w:tc>
                          <w:tcPr>
                            <w:tcW w:w="656" w:type="dxa"/>
                            <w:tcBorders>
                              <w:top w:val="nil"/>
                              <w:left w:val="nil"/>
                              <w:bottom w:val="single" w:sz="4" w:space="0" w:color="auto"/>
                              <w:right w:val="single" w:sz="4" w:space="0" w:color="auto"/>
                            </w:tcBorders>
                            <w:shd w:val="clear" w:color="auto" w:fill="auto"/>
                            <w:vAlign w:val="center"/>
                            <w:hideMark/>
                          </w:tcPr>
                          <w:p w14:paraId="3CE1D4C8"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34,106 </w:t>
                            </w:r>
                          </w:p>
                        </w:tc>
                        <w:tc>
                          <w:tcPr>
                            <w:tcW w:w="896" w:type="dxa"/>
                            <w:tcBorders>
                              <w:top w:val="nil"/>
                              <w:left w:val="nil"/>
                              <w:bottom w:val="single" w:sz="4" w:space="0" w:color="auto"/>
                              <w:right w:val="single" w:sz="4" w:space="0" w:color="auto"/>
                            </w:tcBorders>
                            <w:shd w:val="clear" w:color="auto" w:fill="auto"/>
                            <w:vAlign w:val="center"/>
                            <w:hideMark/>
                          </w:tcPr>
                          <w:p w14:paraId="3EACCEDA"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1.71 </w:t>
                            </w:r>
                          </w:p>
                        </w:tc>
                        <w:tc>
                          <w:tcPr>
                            <w:tcW w:w="756" w:type="dxa"/>
                            <w:tcBorders>
                              <w:top w:val="nil"/>
                              <w:left w:val="nil"/>
                              <w:bottom w:val="single" w:sz="4" w:space="0" w:color="auto"/>
                              <w:right w:val="single" w:sz="4" w:space="0" w:color="auto"/>
                            </w:tcBorders>
                            <w:shd w:val="clear" w:color="auto" w:fill="auto"/>
                            <w:vAlign w:val="center"/>
                            <w:hideMark/>
                          </w:tcPr>
                          <w:p w14:paraId="06886501"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4C2D195E" w14:textId="77777777" w:rsidTr="001633EC">
                        <w:trPr>
                          <w:trHeight w:val="20"/>
                          <w:jc w:val="center"/>
                        </w:trPr>
                        <w:tc>
                          <w:tcPr>
                            <w:tcW w:w="681" w:type="dxa"/>
                            <w:vMerge/>
                            <w:tcBorders>
                              <w:left w:val="single" w:sz="4" w:space="0" w:color="auto"/>
                              <w:right w:val="single" w:sz="4" w:space="0" w:color="auto"/>
                            </w:tcBorders>
                            <w:shd w:val="clear" w:color="auto" w:fill="auto"/>
                            <w:vAlign w:val="center"/>
                            <w:hideMark/>
                          </w:tcPr>
                          <w:p w14:paraId="0565AF67" w14:textId="77777777" w:rsidR="00A0212B" w:rsidRPr="00FE4B26" w:rsidRDefault="00A0212B" w:rsidP="001633EC">
                            <w:pPr>
                              <w:spacing w:line="240" w:lineRule="exact"/>
                              <w:ind w:left="480" w:firstLine="400"/>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2906B5BF"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公路局及所屬</w:t>
                            </w:r>
                          </w:p>
                        </w:tc>
                        <w:tc>
                          <w:tcPr>
                            <w:tcW w:w="1077" w:type="dxa"/>
                            <w:tcBorders>
                              <w:top w:val="nil"/>
                              <w:left w:val="nil"/>
                              <w:bottom w:val="single" w:sz="4" w:space="0" w:color="auto"/>
                              <w:right w:val="single" w:sz="4" w:space="0" w:color="auto"/>
                            </w:tcBorders>
                            <w:shd w:val="clear" w:color="auto" w:fill="auto"/>
                            <w:vAlign w:val="center"/>
                            <w:hideMark/>
                          </w:tcPr>
                          <w:p w14:paraId="01772420"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綠能建設</w:t>
                            </w:r>
                          </w:p>
                        </w:tc>
                        <w:tc>
                          <w:tcPr>
                            <w:tcW w:w="1389" w:type="dxa"/>
                            <w:tcBorders>
                              <w:top w:val="nil"/>
                              <w:left w:val="nil"/>
                              <w:bottom w:val="single" w:sz="4" w:space="0" w:color="auto"/>
                              <w:right w:val="single" w:sz="4" w:space="0" w:color="auto"/>
                            </w:tcBorders>
                            <w:shd w:val="clear" w:color="auto" w:fill="auto"/>
                            <w:vAlign w:val="center"/>
                            <w:hideMark/>
                          </w:tcPr>
                          <w:p w14:paraId="52B19AE4"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公共充電樁設置及區域充電需求評估計畫</w:t>
                            </w:r>
                          </w:p>
                        </w:tc>
                        <w:tc>
                          <w:tcPr>
                            <w:tcW w:w="958" w:type="dxa"/>
                            <w:tcBorders>
                              <w:top w:val="nil"/>
                              <w:left w:val="nil"/>
                              <w:bottom w:val="single" w:sz="4" w:space="0" w:color="auto"/>
                              <w:right w:val="single" w:sz="4" w:space="0" w:color="auto"/>
                            </w:tcBorders>
                            <w:shd w:val="clear" w:color="auto" w:fill="auto"/>
                            <w:vAlign w:val="center"/>
                            <w:hideMark/>
                          </w:tcPr>
                          <w:p w14:paraId="029010AC"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970,000 </w:t>
                            </w:r>
                          </w:p>
                        </w:tc>
                        <w:tc>
                          <w:tcPr>
                            <w:tcW w:w="956" w:type="dxa"/>
                            <w:tcBorders>
                              <w:top w:val="nil"/>
                              <w:left w:val="nil"/>
                              <w:bottom w:val="single" w:sz="4" w:space="0" w:color="auto"/>
                              <w:right w:val="single" w:sz="4" w:space="0" w:color="auto"/>
                            </w:tcBorders>
                            <w:shd w:val="clear" w:color="auto" w:fill="auto"/>
                            <w:vAlign w:val="center"/>
                            <w:hideMark/>
                          </w:tcPr>
                          <w:p w14:paraId="6BDC4E61"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323,000 </w:t>
                            </w:r>
                          </w:p>
                        </w:tc>
                        <w:tc>
                          <w:tcPr>
                            <w:tcW w:w="758" w:type="dxa"/>
                            <w:tcBorders>
                              <w:top w:val="nil"/>
                              <w:left w:val="nil"/>
                              <w:bottom w:val="single" w:sz="4" w:space="0" w:color="auto"/>
                              <w:right w:val="single" w:sz="4" w:space="0" w:color="auto"/>
                            </w:tcBorders>
                            <w:shd w:val="clear" w:color="auto" w:fill="auto"/>
                            <w:vAlign w:val="center"/>
                            <w:hideMark/>
                          </w:tcPr>
                          <w:p w14:paraId="7DB7CC68"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189,644 </w:t>
                            </w:r>
                          </w:p>
                        </w:tc>
                        <w:tc>
                          <w:tcPr>
                            <w:tcW w:w="656" w:type="dxa"/>
                            <w:tcBorders>
                              <w:top w:val="nil"/>
                              <w:left w:val="nil"/>
                              <w:bottom w:val="single" w:sz="4" w:space="0" w:color="auto"/>
                              <w:right w:val="single" w:sz="4" w:space="0" w:color="auto"/>
                            </w:tcBorders>
                            <w:shd w:val="clear" w:color="auto" w:fill="auto"/>
                            <w:vAlign w:val="center"/>
                            <w:hideMark/>
                          </w:tcPr>
                          <w:p w14:paraId="0F29BB9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25,029 </w:t>
                            </w:r>
                          </w:p>
                        </w:tc>
                        <w:tc>
                          <w:tcPr>
                            <w:tcW w:w="896" w:type="dxa"/>
                            <w:tcBorders>
                              <w:top w:val="nil"/>
                              <w:left w:val="nil"/>
                              <w:bottom w:val="single" w:sz="4" w:space="0" w:color="auto"/>
                              <w:right w:val="single" w:sz="4" w:space="0" w:color="auto"/>
                            </w:tcBorders>
                            <w:shd w:val="clear" w:color="auto" w:fill="auto"/>
                            <w:vAlign w:val="center"/>
                            <w:hideMark/>
                          </w:tcPr>
                          <w:p w14:paraId="4F0DD1BD"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7.75 </w:t>
                            </w:r>
                          </w:p>
                        </w:tc>
                        <w:tc>
                          <w:tcPr>
                            <w:tcW w:w="756" w:type="dxa"/>
                            <w:tcBorders>
                              <w:top w:val="nil"/>
                              <w:left w:val="nil"/>
                              <w:bottom w:val="single" w:sz="4" w:space="0" w:color="auto"/>
                              <w:right w:val="single" w:sz="4" w:space="0" w:color="auto"/>
                            </w:tcBorders>
                            <w:shd w:val="clear" w:color="auto" w:fill="auto"/>
                            <w:vAlign w:val="center"/>
                            <w:hideMark/>
                          </w:tcPr>
                          <w:p w14:paraId="6034299B"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164,615 </w:t>
                            </w:r>
                          </w:p>
                        </w:tc>
                      </w:tr>
                      <w:tr w:rsidR="00A0212B" w:rsidRPr="00FE4B26" w14:paraId="7DD94410" w14:textId="77777777" w:rsidTr="001633EC">
                        <w:trPr>
                          <w:trHeight w:val="20"/>
                          <w:jc w:val="center"/>
                        </w:trPr>
                        <w:tc>
                          <w:tcPr>
                            <w:tcW w:w="681" w:type="dxa"/>
                            <w:vMerge/>
                            <w:tcBorders>
                              <w:left w:val="single" w:sz="4" w:space="0" w:color="auto"/>
                              <w:bottom w:val="single" w:sz="4" w:space="0" w:color="auto"/>
                              <w:right w:val="single" w:sz="4" w:space="0" w:color="auto"/>
                            </w:tcBorders>
                            <w:shd w:val="clear" w:color="auto" w:fill="auto"/>
                            <w:vAlign w:val="center"/>
                            <w:hideMark/>
                          </w:tcPr>
                          <w:p w14:paraId="793300DD" w14:textId="77777777" w:rsidR="00A0212B" w:rsidRPr="00FE4B26" w:rsidRDefault="00A0212B" w:rsidP="001633EC">
                            <w:pPr>
                              <w:widowControl/>
                              <w:spacing w:line="240" w:lineRule="exact"/>
                              <w:rPr>
                                <w:rFonts w:ascii="標楷體" w:eastAsia="標楷體" w:hAnsi="標楷體" w:cs="新細明體"/>
                                <w:color w:val="000000"/>
                                <w:kern w:val="0"/>
                                <w:sz w:val="20"/>
                              </w:rPr>
                            </w:pPr>
                          </w:p>
                        </w:tc>
                        <w:tc>
                          <w:tcPr>
                            <w:tcW w:w="1465" w:type="dxa"/>
                            <w:tcBorders>
                              <w:top w:val="nil"/>
                              <w:left w:val="nil"/>
                              <w:bottom w:val="single" w:sz="4" w:space="0" w:color="auto"/>
                              <w:right w:val="single" w:sz="4" w:space="0" w:color="auto"/>
                            </w:tcBorders>
                            <w:shd w:val="clear" w:color="auto" w:fill="auto"/>
                            <w:vAlign w:val="center"/>
                            <w:hideMark/>
                          </w:tcPr>
                          <w:p w14:paraId="34B516B2"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鐵道局及所屬</w:t>
                            </w:r>
                          </w:p>
                        </w:tc>
                        <w:tc>
                          <w:tcPr>
                            <w:tcW w:w="1077" w:type="dxa"/>
                            <w:tcBorders>
                              <w:top w:val="nil"/>
                              <w:left w:val="nil"/>
                              <w:bottom w:val="single" w:sz="4" w:space="0" w:color="auto"/>
                              <w:right w:val="single" w:sz="4" w:space="0" w:color="auto"/>
                            </w:tcBorders>
                            <w:shd w:val="clear" w:color="auto" w:fill="auto"/>
                            <w:vAlign w:val="center"/>
                            <w:hideMark/>
                          </w:tcPr>
                          <w:p w14:paraId="2234809C"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軌道建設</w:t>
                            </w:r>
                          </w:p>
                        </w:tc>
                        <w:tc>
                          <w:tcPr>
                            <w:tcW w:w="1389" w:type="dxa"/>
                            <w:tcBorders>
                              <w:top w:val="nil"/>
                              <w:left w:val="nil"/>
                              <w:bottom w:val="single" w:sz="4" w:space="0" w:color="auto"/>
                              <w:right w:val="single" w:sz="4" w:space="0" w:color="auto"/>
                            </w:tcBorders>
                            <w:shd w:val="clear" w:color="auto" w:fill="auto"/>
                            <w:vAlign w:val="center"/>
                            <w:hideMark/>
                          </w:tcPr>
                          <w:p w14:paraId="5336A142"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都市推動捷運</w:t>
                            </w:r>
                          </w:p>
                        </w:tc>
                        <w:tc>
                          <w:tcPr>
                            <w:tcW w:w="958" w:type="dxa"/>
                            <w:tcBorders>
                              <w:top w:val="nil"/>
                              <w:left w:val="nil"/>
                              <w:bottom w:val="single" w:sz="4" w:space="0" w:color="auto"/>
                              <w:right w:val="single" w:sz="4" w:space="0" w:color="auto"/>
                            </w:tcBorders>
                            <w:shd w:val="clear" w:color="auto" w:fill="auto"/>
                            <w:vAlign w:val="center"/>
                            <w:hideMark/>
                          </w:tcPr>
                          <w:p w14:paraId="71D550D7"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977,900 </w:t>
                            </w:r>
                          </w:p>
                        </w:tc>
                        <w:tc>
                          <w:tcPr>
                            <w:tcW w:w="956" w:type="dxa"/>
                            <w:tcBorders>
                              <w:top w:val="nil"/>
                              <w:left w:val="nil"/>
                              <w:bottom w:val="single" w:sz="4" w:space="0" w:color="auto"/>
                              <w:right w:val="single" w:sz="4" w:space="0" w:color="auto"/>
                            </w:tcBorders>
                            <w:shd w:val="clear" w:color="auto" w:fill="auto"/>
                            <w:vAlign w:val="center"/>
                            <w:hideMark/>
                          </w:tcPr>
                          <w:p w14:paraId="1F8B4F9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292,900 </w:t>
                            </w:r>
                          </w:p>
                        </w:tc>
                        <w:tc>
                          <w:tcPr>
                            <w:tcW w:w="758" w:type="dxa"/>
                            <w:tcBorders>
                              <w:top w:val="nil"/>
                              <w:left w:val="nil"/>
                              <w:bottom w:val="single" w:sz="4" w:space="0" w:color="auto"/>
                              <w:right w:val="single" w:sz="4" w:space="0" w:color="auto"/>
                            </w:tcBorders>
                            <w:shd w:val="clear" w:color="auto" w:fill="auto"/>
                            <w:vAlign w:val="center"/>
                            <w:hideMark/>
                          </w:tcPr>
                          <w:p w14:paraId="3E78A3D4"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193,899 </w:t>
                            </w:r>
                          </w:p>
                        </w:tc>
                        <w:tc>
                          <w:tcPr>
                            <w:tcW w:w="656" w:type="dxa"/>
                            <w:tcBorders>
                              <w:top w:val="nil"/>
                              <w:left w:val="nil"/>
                              <w:bottom w:val="single" w:sz="4" w:space="0" w:color="auto"/>
                              <w:right w:val="single" w:sz="4" w:space="0" w:color="auto"/>
                            </w:tcBorders>
                            <w:shd w:val="clear" w:color="auto" w:fill="auto"/>
                            <w:vAlign w:val="center"/>
                            <w:hideMark/>
                          </w:tcPr>
                          <w:p w14:paraId="3531C54C"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21,304 </w:t>
                            </w:r>
                          </w:p>
                        </w:tc>
                        <w:tc>
                          <w:tcPr>
                            <w:tcW w:w="896" w:type="dxa"/>
                            <w:tcBorders>
                              <w:top w:val="nil"/>
                              <w:left w:val="nil"/>
                              <w:bottom w:val="single" w:sz="4" w:space="0" w:color="auto"/>
                              <w:right w:val="single" w:sz="4" w:space="0" w:color="auto"/>
                            </w:tcBorders>
                            <w:shd w:val="clear" w:color="auto" w:fill="auto"/>
                            <w:vAlign w:val="center"/>
                            <w:hideMark/>
                          </w:tcPr>
                          <w:p w14:paraId="516AC0D0"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7.27 </w:t>
                            </w:r>
                          </w:p>
                        </w:tc>
                        <w:tc>
                          <w:tcPr>
                            <w:tcW w:w="756" w:type="dxa"/>
                            <w:tcBorders>
                              <w:top w:val="nil"/>
                              <w:left w:val="nil"/>
                              <w:bottom w:val="single" w:sz="4" w:space="0" w:color="auto"/>
                              <w:right w:val="single" w:sz="4" w:space="0" w:color="auto"/>
                            </w:tcBorders>
                            <w:shd w:val="clear" w:color="auto" w:fill="auto"/>
                            <w:vAlign w:val="center"/>
                            <w:hideMark/>
                          </w:tcPr>
                          <w:p w14:paraId="0773BAFE"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172,595 </w:t>
                            </w:r>
                          </w:p>
                        </w:tc>
                      </w:tr>
                      <w:tr w:rsidR="00A0212B" w:rsidRPr="00FE4B26" w14:paraId="06DB1A41" w14:textId="77777777" w:rsidTr="001633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131516F2"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465" w:type="dxa"/>
                            <w:tcBorders>
                              <w:top w:val="nil"/>
                              <w:left w:val="nil"/>
                              <w:bottom w:val="single" w:sz="4" w:space="0" w:color="auto"/>
                              <w:right w:val="single" w:sz="4" w:space="0" w:color="auto"/>
                            </w:tcBorders>
                            <w:shd w:val="clear" w:color="auto" w:fill="auto"/>
                            <w:vAlign w:val="center"/>
                            <w:hideMark/>
                          </w:tcPr>
                          <w:p w14:paraId="2B1E0294"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衛生福利部</w:t>
                            </w:r>
                          </w:p>
                        </w:tc>
                        <w:tc>
                          <w:tcPr>
                            <w:tcW w:w="1077" w:type="dxa"/>
                            <w:tcBorders>
                              <w:top w:val="nil"/>
                              <w:left w:val="nil"/>
                              <w:bottom w:val="single" w:sz="4" w:space="0" w:color="auto"/>
                              <w:right w:val="single" w:sz="4" w:space="0" w:color="auto"/>
                            </w:tcBorders>
                            <w:shd w:val="clear" w:color="auto" w:fill="auto"/>
                            <w:vAlign w:val="center"/>
                            <w:hideMark/>
                          </w:tcPr>
                          <w:p w14:paraId="3955B83D"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城鄉建設</w:t>
                            </w:r>
                          </w:p>
                        </w:tc>
                        <w:tc>
                          <w:tcPr>
                            <w:tcW w:w="1389" w:type="dxa"/>
                            <w:tcBorders>
                              <w:top w:val="nil"/>
                              <w:left w:val="nil"/>
                              <w:bottom w:val="single" w:sz="4" w:space="0" w:color="auto"/>
                              <w:right w:val="single" w:sz="4" w:space="0" w:color="auto"/>
                            </w:tcBorders>
                            <w:shd w:val="clear" w:color="auto" w:fill="auto"/>
                            <w:vAlign w:val="center"/>
                            <w:hideMark/>
                          </w:tcPr>
                          <w:p w14:paraId="2889D926"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加速推動地方創生</w:t>
                            </w:r>
                          </w:p>
                        </w:tc>
                        <w:tc>
                          <w:tcPr>
                            <w:tcW w:w="958" w:type="dxa"/>
                            <w:tcBorders>
                              <w:top w:val="nil"/>
                              <w:left w:val="nil"/>
                              <w:bottom w:val="single" w:sz="4" w:space="0" w:color="auto"/>
                              <w:right w:val="single" w:sz="4" w:space="0" w:color="auto"/>
                            </w:tcBorders>
                            <w:shd w:val="clear" w:color="auto" w:fill="auto"/>
                            <w:vAlign w:val="center"/>
                            <w:hideMark/>
                          </w:tcPr>
                          <w:p w14:paraId="4B5C4A3D"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60,400 </w:t>
                            </w:r>
                          </w:p>
                        </w:tc>
                        <w:tc>
                          <w:tcPr>
                            <w:tcW w:w="956" w:type="dxa"/>
                            <w:tcBorders>
                              <w:top w:val="nil"/>
                              <w:left w:val="nil"/>
                              <w:bottom w:val="single" w:sz="4" w:space="0" w:color="auto"/>
                              <w:right w:val="single" w:sz="4" w:space="0" w:color="auto"/>
                            </w:tcBorders>
                            <w:shd w:val="clear" w:color="auto" w:fill="auto"/>
                            <w:vAlign w:val="center"/>
                            <w:hideMark/>
                          </w:tcPr>
                          <w:p w14:paraId="2E98F248"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40,000 </w:t>
                            </w:r>
                          </w:p>
                        </w:tc>
                        <w:tc>
                          <w:tcPr>
                            <w:tcW w:w="758" w:type="dxa"/>
                            <w:tcBorders>
                              <w:top w:val="nil"/>
                              <w:left w:val="nil"/>
                              <w:bottom w:val="single" w:sz="4" w:space="0" w:color="auto"/>
                              <w:right w:val="single" w:sz="4" w:space="0" w:color="auto"/>
                            </w:tcBorders>
                            <w:shd w:val="clear" w:color="auto" w:fill="auto"/>
                            <w:vAlign w:val="center"/>
                            <w:hideMark/>
                          </w:tcPr>
                          <w:p w14:paraId="3C93921E"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1,567 </w:t>
                            </w:r>
                          </w:p>
                        </w:tc>
                        <w:tc>
                          <w:tcPr>
                            <w:tcW w:w="656" w:type="dxa"/>
                            <w:tcBorders>
                              <w:top w:val="nil"/>
                              <w:left w:val="nil"/>
                              <w:bottom w:val="single" w:sz="4" w:space="0" w:color="auto"/>
                              <w:right w:val="single" w:sz="4" w:space="0" w:color="auto"/>
                            </w:tcBorders>
                            <w:shd w:val="clear" w:color="auto" w:fill="auto"/>
                            <w:vAlign w:val="center"/>
                            <w:hideMark/>
                          </w:tcPr>
                          <w:p w14:paraId="04595A33"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1,567 </w:t>
                            </w:r>
                          </w:p>
                        </w:tc>
                        <w:tc>
                          <w:tcPr>
                            <w:tcW w:w="896" w:type="dxa"/>
                            <w:tcBorders>
                              <w:top w:val="nil"/>
                              <w:left w:val="nil"/>
                              <w:bottom w:val="single" w:sz="4" w:space="0" w:color="auto"/>
                              <w:right w:val="single" w:sz="4" w:space="0" w:color="auto"/>
                            </w:tcBorders>
                            <w:shd w:val="clear" w:color="auto" w:fill="auto"/>
                            <w:vAlign w:val="center"/>
                            <w:hideMark/>
                          </w:tcPr>
                          <w:p w14:paraId="72E60D13"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3.92 </w:t>
                            </w:r>
                          </w:p>
                        </w:tc>
                        <w:tc>
                          <w:tcPr>
                            <w:tcW w:w="756" w:type="dxa"/>
                            <w:tcBorders>
                              <w:top w:val="nil"/>
                              <w:left w:val="nil"/>
                              <w:bottom w:val="single" w:sz="4" w:space="0" w:color="auto"/>
                              <w:right w:val="single" w:sz="4" w:space="0" w:color="auto"/>
                            </w:tcBorders>
                            <w:shd w:val="clear" w:color="auto" w:fill="auto"/>
                            <w:vAlign w:val="center"/>
                            <w:hideMark/>
                          </w:tcPr>
                          <w:p w14:paraId="7E9074BB"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 </w:t>
                            </w:r>
                          </w:p>
                        </w:tc>
                      </w:tr>
                      <w:tr w:rsidR="00A0212B" w:rsidRPr="00FE4B26" w14:paraId="0CB35528" w14:textId="77777777" w:rsidTr="001633EC">
                        <w:trPr>
                          <w:trHeight w:val="20"/>
                          <w:jc w:val="center"/>
                        </w:trPr>
                        <w:tc>
                          <w:tcPr>
                            <w:tcW w:w="681" w:type="dxa"/>
                            <w:tcBorders>
                              <w:top w:val="nil"/>
                              <w:left w:val="single" w:sz="4" w:space="0" w:color="auto"/>
                              <w:bottom w:val="single" w:sz="4" w:space="0" w:color="auto"/>
                              <w:right w:val="single" w:sz="4" w:space="0" w:color="auto"/>
                            </w:tcBorders>
                            <w:shd w:val="clear" w:color="auto" w:fill="auto"/>
                            <w:vAlign w:val="center"/>
                            <w:hideMark/>
                          </w:tcPr>
                          <w:p w14:paraId="1E8AEDE2"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465" w:type="dxa"/>
                            <w:tcBorders>
                              <w:top w:val="nil"/>
                              <w:left w:val="nil"/>
                              <w:bottom w:val="single" w:sz="4" w:space="0" w:color="auto"/>
                              <w:right w:val="single" w:sz="4" w:space="0" w:color="auto"/>
                            </w:tcBorders>
                            <w:shd w:val="clear" w:color="auto" w:fill="auto"/>
                            <w:vAlign w:val="center"/>
                            <w:hideMark/>
                          </w:tcPr>
                          <w:p w14:paraId="52D4A867"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數位發展部</w:t>
                            </w:r>
                          </w:p>
                        </w:tc>
                        <w:tc>
                          <w:tcPr>
                            <w:tcW w:w="1077" w:type="dxa"/>
                            <w:tcBorders>
                              <w:top w:val="nil"/>
                              <w:left w:val="nil"/>
                              <w:bottom w:val="single" w:sz="4" w:space="0" w:color="auto"/>
                              <w:right w:val="single" w:sz="4" w:space="0" w:color="auto"/>
                            </w:tcBorders>
                            <w:shd w:val="clear" w:color="auto" w:fill="auto"/>
                            <w:vAlign w:val="center"/>
                            <w:hideMark/>
                          </w:tcPr>
                          <w:p w14:paraId="434D6530" w14:textId="77777777" w:rsidR="00A0212B" w:rsidRPr="00FE4B26" w:rsidRDefault="00A0212B" w:rsidP="001633EC">
                            <w:pPr>
                              <w:widowControl/>
                              <w:spacing w:line="240" w:lineRule="exac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數位建設</w:t>
                            </w:r>
                          </w:p>
                        </w:tc>
                        <w:tc>
                          <w:tcPr>
                            <w:tcW w:w="1389" w:type="dxa"/>
                            <w:tcBorders>
                              <w:top w:val="nil"/>
                              <w:left w:val="nil"/>
                              <w:bottom w:val="single" w:sz="4" w:space="0" w:color="auto"/>
                              <w:right w:val="single" w:sz="4" w:space="0" w:color="auto"/>
                            </w:tcBorders>
                            <w:shd w:val="clear" w:color="auto" w:fill="auto"/>
                            <w:vAlign w:val="center"/>
                            <w:hideMark/>
                          </w:tcPr>
                          <w:p w14:paraId="0B2FC040" w14:textId="77777777" w:rsidR="00A0212B" w:rsidRPr="00FE4B26" w:rsidRDefault="00A0212B" w:rsidP="001633EC">
                            <w:pPr>
                              <w:widowControl/>
                              <w:spacing w:line="240" w:lineRule="exact"/>
                              <w:jc w:val="both"/>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基礎建設環境</w:t>
                            </w:r>
                          </w:p>
                        </w:tc>
                        <w:tc>
                          <w:tcPr>
                            <w:tcW w:w="958" w:type="dxa"/>
                            <w:tcBorders>
                              <w:top w:val="nil"/>
                              <w:left w:val="nil"/>
                              <w:bottom w:val="single" w:sz="4" w:space="0" w:color="auto"/>
                              <w:right w:val="single" w:sz="4" w:space="0" w:color="auto"/>
                            </w:tcBorders>
                            <w:shd w:val="clear" w:color="auto" w:fill="auto"/>
                            <w:vAlign w:val="center"/>
                            <w:hideMark/>
                          </w:tcPr>
                          <w:p w14:paraId="41EF1A9C"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597,380 </w:t>
                            </w:r>
                          </w:p>
                        </w:tc>
                        <w:tc>
                          <w:tcPr>
                            <w:tcW w:w="956" w:type="dxa"/>
                            <w:tcBorders>
                              <w:top w:val="nil"/>
                              <w:left w:val="nil"/>
                              <w:bottom w:val="single" w:sz="4" w:space="0" w:color="auto"/>
                              <w:right w:val="single" w:sz="4" w:space="0" w:color="auto"/>
                            </w:tcBorders>
                            <w:shd w:val="clear" w:color="auto" w:fill="auto"/>
                            <w:vAlign w:val="center"/>
                            <w:hideMark/>
                          </w:tcPr>
                          <w:p w14:paraId="0CDCB7D4"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320,370 </w:t>
                            </w:r>
                          </w:p>
                        </w:tc>
                        <w:tc>
                          <w:tcPr>
                            <w:tcW w:w="758" w:type="dxa"/>
                            <w:tcBorders>
                              <w:top w:val="nil"/>
                              <w:left w:val="nil"/>
                              <w:bottom w:val="single" w:sz="4" w:space="0" w:color="auto"/>
                              <w:right w:val="single" w:sz="4" w:space="0" w:color="auto"/>
                            </w:tcBorders>
                            <w:shd w:val="clear" w:color="auto" w:fill="auto"/>
                            <w:vAlign w:val="center"/>
                            <w:hideMark/>
                          </w:tcPr>
                          <w:p w14:paraId="0A84FBBD" w14:textId="77777777" w:rsidR="00A0212B" w:rsidRPr="00FE4B26" w:rsidRDefault="00A0212B" w:rsidP="001633EC">
                            <w:pPr>
                              <w:widowControl/>
                              <w:spacing w:line="240" w:lineRule="exact"/>
                              <w:jc w:val="right"/>
                              <w:rPr>
                                <w:rFonts w:ascii="標楷體" w:eastAsia="標楷體" w:hAnsi="標楷體" w:cs="新細明體"/>
                                <w:b/>
                                <w:bCs/>
                                <w:color w:val="000000"/>
                                <w:kern w:val="0"/>
                                <w:sz w:val="20"/>
                              </w:rPr>
                            </w:pPr>
                            <w:r w:rsidRPr="00FE4B26">
                              <w:rPr>
                                <w:rFonts w:ascii="標楷體" w:eastAsia="標楷體" w:hAnsi="標楷體" w:cs="新細明體" w:hint="eastAsia"/>
                                <w:b/>
                                <w:bCs/>
                                <w:color w:val="000000"/>
                                <w:kern w:val="0"/>
                                <w:sz w:val="20"/>
                              </w:rPr>
                              <w:t xml:space="preserve">69,933 </w:t>
                            </w:r>
                          </w:p>
                        </w:tc>
                        <w:tc>
                          <w:tcPr>
                            <w:tcW w:w="656" w:type="dxa"/>
                            <w:tcBorders>
                              <w:top w:val="nil"/>
                              <w:left w:val="nil"/>
                              <w:bottom w:val="single" w:sz="4" w:space="0" w:color="auto"/>
                              <w:right w:val="single" w:sz="4" w:space="0" w:color="auto"/>
                            </w:tcBorders>
                            <w:shd w:val="clear" w:color="auto" w:fill="auto"/>
                            <w:vAlign w:val="center"/>
                            <w:hideMark/>
                          </w:tcPr>
                          <w:p w14:paraId="2ABA2C39"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24,933 </w:t>
                            </w:r>
                          </w:p>
                        </w:tc>
                        <w:tc>
                          <w:tcPr>
                            <w:tcW w:w="896" w:type="dxa"/>
                            <w:tcBorders>
                              <w:top w:val="nil"/>
                              <w:left w:val="nil"/>
                              <w:bottom w:val="single" w:sz="4" w:space="0" w:color="auto"/>
                              <w:right w:val="single" w:sz="4" w:space="0" w:color="auto"/>
                            </w:tcBorders>
                            <w:shd w:val="clear" w:color="auto" w:fill="auto"/>
                            <w:vAlign w:val="center"/>
                            <w:hideMark/>
                          </w:tcPr>
                          <w:p w14:paraId="433F40C7"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color w:val="000000"/>
                                <w:kern w:val="0"/>
                                <w:sz w:val="20"/>
                              </w:rPr>
                              <w:t xml:space="preserve">7.78 </w:t>
                            </w:r>
                          </w:p>
                        </w:tc>
                        <w:tc>
                          <w:tcPr>
                            <w:tcW w:w="756" w:type="dxa"/>
                            <w:tcBorders>
                              <w:top w:val="nil"/>
                              <w:left w:val="nil"/>
                              <w:bottom w:val="single" w:sz="4" w:space="0" w:color="auto"/>
                              <w:right w:val="single" w:sz="4" w:space="0" w:color="auto"/>
                            </w:tcBorders>
                            <w:shd w:val="clear" w:color="auto" w:fill="auto"/>
                            <w:vAlign w:val="center"/>
                            <w:hideMark/>
                          </w:tcPr>
                          <w:p w14:paraId="6CA4E35D" w14:textId="77777777" w:rsidR="00A0212B" w:rsidRPr="00FE4B26" w:rsidRDefault="00A0212B" w:rsidP="001633EC">
                            <w:pPr>
                              <w:widowControl/>
                              <w:spacing w:line="240" w:lineRule="exact"/>
                              <w:jc w:val="right"/>
                              <w:rPr>
                                <w:rFonts w:ascii="標楷體" w:eastAsia="標楷體" w:hAnsi="標楷體" w:cs="新細明體"/>
                                <w:color w:val="000000"/>
                                <w:kern w:val="0"/>
                                <w:sz w:val="20"/>
                              </w:rPr>
                            </w:pPr>
                            <w:r w:rsidRPr="00FE4B26">
                              <w:rPr>
                                <w:rFonts w:ascii="標楷體" w:eastAsia="標楷體" w:hAnsi="標楷體" w:cs="新細明體" w:hint="eastAsia"/>
                                <w:color w:val="000000"/>
                                <w:kern w:val="0"/>
                                <w:sz w:val="20"/>
                              </w:rPr>
                              <w:t xml:space="preserve">45,000 </w:t>
                            </w:r>
                          </w:p>
                        </w:tc>
                      </w:tr>
                      <w:tr w:rsidR="00A0212B" w:rsidRPr="00FE4B26" w14:paraId="1D1F44A2" w14:textId="77777777" w:rsidTr="001633EC">
                        <w:trPr>
                          <w:trHeight w:val="20"/>
                          <w:jc w:val="center"/>
                        </w:trPr>
                        <w:tc>
                          <w:tcPr>
                            <w:tcW w:w="9592" w:type="dxa"/>
                            <w:gridSpan w:val="10"/>
                            <w:tcBorders>
                              <w:top w:val="single" w:sz="4" w:space="0" w:color="auto"/>
                            </w:tcBorders>
                            <w:shd w:val="clear" w:color="auto" w:fill="auto"/>
                          </w:tcPr>
                          <w:p w14:paraId="56D6A86F" w14:textId="77777777" w:rsidR="00A0212B" w:rsidRPr="0081537A" w:rsidRDefault="00A0212B" w:rsidP="001633EC">
                            <w:pPr>
                              <w:spacing w:line="240" w:lineRule="exact"/>
                              <w:rPr>
                                <w:rFonts w:ascii="標楷體" w:eastAsia="標楷體" w:hAnsi="標楷體" w:cs="新細明體"/>
                                <w:color w:val="000000"/>
                                <w:kern w:val="0"/>
                                <w:sz w:val="18"/>
                                <w:szCs w:val="18"/>
                              </w:rPr>
                            </w:pPr>
                            <w:r w:rsidRPr="0081537A">
                              <w:rPr>
                                <w:rFonts w:ascii="標楷體" w:eastAsia="標楷體" w:hAnsi="標楷體" w:cstheme="minorBidi" w:hint="eastAsia"/>
                                <w:sz w:val="18"/>
                                <w:szCs w:val="18"/>
                              </w:rPr>
                              <w:t>註：1</w:t>
                            </w:r>
                            <w:r w:rsidRPr="0081537A">
                              <w:rPr>
                                <w:rFonts w:ascii="標楷體" w:eastAsia="標楷體" w:hAnsi="標楷體" w:cstheme="minorBidi"/>
                                <w:sz w:val="18"/>
                                <w:szCs w:val="18"/>
                              </w:rPr>
                              <w:t>.</w:t>
                            </w:r>
                            <w:r w:rsidRPr="0081537A">
                              <w:rPr>
                                <w:rFonts w:ascii="標楷體" w:eastAsia="標楷體" w:hAnsi="標楷體" w:cstheme="minorBidi" w:hint="eastAsia"/>
                                <w:sz w:val="18"/>
                                <w:szCs w:val="18"/>
                              </w:rPr>
                              <w:t>實現率=實現數/</w:t>
                            </w:r>
                            <w:r w:rsidRPr="0081537A">
                              <w:rPr>
                                <w:rFonts w:ascii="標楷體" w:eastAsia="標楷體" w:hAnsi="標楷體" w:cs="新細明體" w:hint="eastAsia"/>
                                <w:color w:val="000000"/>
                                <w:kern w:val="0"/>
                                <w:sz w:val="18"/>
                                <w:szCs w:val="18"/>
                              </w:rPr>
                              <w:t>112年度分配預算數</w:t>
                            </w:r>
                            <w:r w:rsidRPr="0081537A">
                              <w:rPr>
                                <w:rFonts w:ascii="標楷體" w:eastAsia="標楷體" w:hAnsi="標楷體" w:cs="新細明體"/>
                                <w:color w:val="000000"/>
                                <w:kern w:val="0"/>
                                <w:sz w:val="18"/>
                                <w:szCs w:val="18"/>
                              </w:rPr>
                              <w:t>×100</w:t>
                            </w:r>
                            <w:r w:rsidRPr="0081537A">
                              <w:rPr>
                                <w:rFonts w:ascii="標楷體" w:eastAsia="標楷體" w:hAnsi="標楷體" w:cs="新細明體" w:hint="eastAsia"/>
                                <w:color w:val="000000"/>
                                <w:kern w:val="0"/>
                                <w:sz w:val="18"/>
                                <w:szCs w:val="18"/>
                              </w:rPr>
                              <w:t>。</w:t>
                            </w:r>
                          </w:p>
                          <w:p w14:paraId="0408A06A" w14:textId="77777777" w:rsidR="00A0212B" w:rsidRPr="00FE4B26" w:rsidRDefault="00A0212B" w:rsidP="001633EC">
                            <w:pPr>
                              <w:spacing w:line="240" w:lineRule="exact"/>
                              <w:ind w:firstLineChars="200" w:firstLine="360"/>
                              <w:rPr>
                                <w:rFonts w:ascii="標楷體" w:eastAsia="標楷體" w:hAnsi="標楷體" w:cstheme="minorBidi"/>
                                <w:kern w:val="0"/>
                                <w:sz w:val="18"/>
                                <w:szCs w:val="18"/>
                              </w:rPr>
                            </w:pPr>
                            <w:r>
                              <w:rPr>
                                <w:rFonts w:ascii="標楷體" w:eastAsia="標楷體" w:hAnsi="標楷體" w:cstheme="minorBidi"/>
                                <w:sz w:val="18"/>
                                <w:szCs w:val="18"/>
                              </w:rPr>
                              <w:t>2.</w:t>
                            </w:r>
                            <w:r w:rsidRPr="00FE4B26">
                              <w:rPr>
                                <w:rFonts w:ascii="標楷體" w:eastAsia="標楷體" w:hAnsi="標楷體" w:cstheme="minorBidi" w:hint="eastAsia"/>
                                <w:sz w:val="18"/>
                                <w:szCs w:val="18"/>
                              </w:rPr>
                              <w:t>資料來源：整理自</w:t>
                            </w:r>
                            <w:r w:rsidRPr="00FE4B26">
                              <w:rPr>
                                <w:rFonts w:ascii="標楷體" w:eastAsia="標楷體" w:hAnsi="標楷體" w:cs="新細明體" w:hint="eastAsia"/>
                                <w:kern w:val="0"/>
                                <w:sz w:val="18"/>
                                <w:szCs w:val="18"/>
                              </w:rPr>
                              <w:t>行政院</w:t>
                            </w:r>
                            <w:r w:rsidRPr="00FE4B26">
                              <w:rPr>
                                <w:rFonts w:ascii="標楷體" w:eastAsia="標楷體" w:hAnsi="標楷體" w:cstheme="minorBidi" w:hint="eastAsia"/>
                                <w:sz w:val="18"/>
                                <w:szCs w:val="18"/>
                              </w:rPr>
                              <w:t>112年度中央政府總決算總說明、主要表及相關附屬表（第1冊）。</w:t>
                            </w:r>
                          </w:p>
                          <w:p w14:paraId="59FEC02C" w14:textId="77777777" w:rsidR="00A0212B" w:rsidRPr="00FE4B26" w:rsidRDefault="00A0212B" w:rsidP="001633EC">
                            <w:pPr>
                              <w:widowControl/>
                              <w:spacing w:line="240" w:lineRule="exact"/>
                              <w:rPr>
                                <w:rFonts w:ascii="標楷體" w:eastAsia="標楷體" w:hAnsi="標楷體" w:cs="新細明體"/>
                                <w:color w:val="000000"/>
                                <w:kern w:val="0"/>
                                <w:sz w:val="20"/>
                              </w:rPr>
                            </w:pPr>
                          </w:p>
                        </w:tc>
                      </w:tr>
                      <w:bookmarkEnd w:id="20"/>
                    </w:tbl>
                    <w:p w14:paraId="5398BCDD" w14:textId="77777777" w:rsidR="00A0212B" w:rsidRPr="00CC045A" w:rsidRDefault="00A0212B" w:rsidP="001633EC">
                      <w:pPr>
                        <w:spacing w:line="220" w:lineRule="exact"/>
                        <w:ind w:leftChars="155" w:left="552" w:hangingChars="100" w:hanging="180"/>
                        <w:jc w:val="center"/>
                        <w:rPr>
                          <w:rFonts w:ascii="標楷體" w:eastAsia="標楷體" w:hAnsi="標楷體"/>
                          <w:sz w:val="18"/>
                        </w:rPr>
                      </w:pPr>
                    </w:p>
                  </w:txbxContent>
                </v:textbox>
                <w10:wrap type="square" anchorx="page" anchory="margin"/>
              </v:shape>
            </w:pict>
          </mc:Fallback>
        </mc:AlternateContent>
      </w:r>
      <w:r w:rsidR="00A15E84">
        <w:rPr>
          <w:rFonts w:hAnsi="標楷體"/>
          <w:color w:val="000000" w:themeColor="text1"/>
          <w:szCs w:val="24"/>
        </w:rPr>
        <w:br w:type="page"/>
      </w:r>
    </w:p>
    <w:p w14:paraId="3E4DCD86" w14:textId="19D27264" w:rsidR="0071716B" w:rsidRDefault="0071716B" w:rsidP="0071716B">
      <w:pPr>
        <w:overflowPunct w:val="0"/>
        <w:spacing w:beforeLines="20" w:before="72" w:afterLines="20" w:after="72" w:line="430" w:lineRule="exact"/>
        <w:ind w:firstLineChars="200" w:firstLine="561"/>
        <w:jc w:val="both"/>
        <w:outlineLvl w:val="1"/>
        <w:rPr>
          <w:rFonts w:ascii="標楷體" w:eastAsia="標楷體" w:hAnsi="標楷體"/>
          <w:b/>
          <w:bCs/>
          <w:snapToGrid w:val="0"/>
          <w:color w:val="0D0D0D" w:themeColor="text1" w:themeTint="F2"/>
          <w:kern w:val="0"/>
          <w:sz w:val="28"/>
          <w:szCs w:val="28"/>
        </w:rPr>
      </w:pPr>
      <w:r w:rsidRPr="00C30430">
        <w:rPr>
          <w:rFonts w:ascii="標楷體" w:eastAsia="標楷體" w:hAnsi="標楷體" w:hint="eastAsia"/>
          <w:b/>
          <w:color w:val="000000" w:themeColor="text1"/>
          <w:sz w:val="28"/>
          <w:szCs w:val="28"/>
        </w:rPr>
        <w:lastRenderedPageBreak/>
        <w:t>（</w:t>
      </w:r>
      <w:r>
        <w:rPr>
          <w:rFonts w:ascii="標楷體" w:eastAsia="標楷體" w:hAnsi="標楷體" w:hint="eastAsia"/>
          <w:b/>
          <w:color w:val="000000" w:themeColor="text1"/>
          <w:sz w:val="28"/>
          <w:szCs w:val="28"/>
        </w:rPr>
        <w:t>三十</w:t>
      </w:r>
      <w:r w:rsidR="00781889">
        <w:rPr>
          <w:rFonts w:ascii="標楷體" w:eastAsia="標楷體" w:hAnsi="標楷體" w:hint="eastAsia"/>
          <w:b/>
          <w:color w:val="000000" w:themeColor="text1"/>
          <w:sz w:val="28"/>
          <w:szCs w:val="28"/>
        </w:rPr>
        <w:t>三</w:t>
      </w:r>
      <w:r w:rsidRPr="00C30430">
        <w:rPr>
          <w:rFonts w:ascii="標楷體" w:eastAsia="標楷體" w:hAnsi="標楷體" w:hint="eastAsia"/>
          <w:b/>
          <w:color w:val="000000" w:themeColor="text1"/>
          <w:sz w:val="28"/>
          <w:szCs w:val="28"/>
        </w:rPr>
        <w:t>）</w:t>
      </w:r>
      <w:r w:rsidRPr="0011694F">
        <w:rPr>
          <w:rFonts w:ascii="標楷體" w:eastAsia="標楷體" w:hAnsi="標楷體" w:hint="eastAsia"/>
          <w:b/>
          <w:bCs/>
          <w:snapToGrid w:val="0"/>
          <w:color w:val="0D0D0D" w:themeColor="text1" w:themeTint="F2"/>
          <w:kern w:val="0"/>
          <w:sz w:val="28"/>
          <w:szCs w:val="28"/>
        </w:rPr>
        <w:t xml:space="preserve">　</w:t>
      </w:r>
      <w:r w:rsidRPr="00A53261">
        <w:rPr>
          <w:rFonts w:ascii="標楷體" w:eastAsia="標楷體" w:hAnsi="標楷體" w:hint="eastAsia"/>
          <w:b/>
          <w:bCs/>
          <w:snapToGrid w:val="0"/>
          <w:color w:val="0D0D0D" w:themeColor="text1" w:themeTint="F2"/>
          <w:kern w:val="0"/>
          <w:sz w:val="28"/>
          <w:szCs w:val="28"/>
        </w:rPr>
        <w:t>國家運輸安全調查委員會規劃建置運安工程研究中心，有助提升整體運輸安全，惟因計畫先期作業未盡周延、基地選址及申請用地進度落後等情，暫緩計畫推動，允宜研謀改善，俾達原規劃避免重大運輸事故再發生之政策目的。</w:t>
      </w:r>
    </w:p>
    <w:p w14:paraId="49D26FE9" w14:textId="397B3202" w:rsidR="0071716B" w:rsidRPr="000432F8" w:rsidRDefault="0071716B" w:rsidP="004D7C92">
      <w:pPr>
        <w:overflowPunct w:val="0"/>
        <w:spacing w:line="460" w:lineRule="exact"/>
        <w:ind w:firstLineChars="150" w:firstLine="480"/>
        <w:jc w:val="both"/>
        <w:rPr>
          <w:rFonts w:ascii="標楷體" w:eastAsia="標楷體" w:hAnsi="標楷體"/>
          <w:color w:val="FF0000"/>
          <w:u w:val="single"/>
        </w:rPr>
      </w:pPr>
      <w:r w:rsidRPr="001C3963">
        <w:rPr>
          <w:rFonts w:ascii="標楷體" w:eastAsia="標楷體" w:hAnsi="標楷體"/>
          <w:bCs/>
          <w:noProof/>
          <w:sz w:val="32"/>
          <w:szCs w:val="32"/>
        </w:rPr>
        <mc:AlternateContent>
          <mc:Choice Requires="wps">
            <w:drawing>
              <wp:anchor distT="36195" distB="36195" distL="90170" distR="71755" simplePos="0" relativeHeight="251681792" behindDoc="1" locked="0" layoutInCell="1" allowOverlap="1" wp14:anchorId="224B4722" wp14:editId="38743B61">
                <wp:simplePos x="0" y="0"/>
                <wp:positionH relativeFrom="column">
                  <wp:posOffset>3832860</wp:posOffset>
                </wp:positionH>
                <wp:positionV relativeFrom="paragraph">
                  <wp:posOffset>2550795</wp:posOffset>
                </wp:positionV>
                <wp:extent cx="2478405" cy="3434080"/>
                <wp:effectExtent l="0" t="0" r="0" b="0"/>
                <wp:wrapTight wrapText="bothSides">
                  <wp:wrapPolygon edited="0">
                    <wp:start x="0" y="0"/>
                    <wp:lineTo x="0" y="21448"/>
                    <wp:lineTo x="21417" y="21448"/>
                    <wp:lineTo x="21417" y="0"/>
                    <wp:lineTo x="0" y="0"/>
                  </wp:wrapPolygon>
                </wp:wrapTight>
                <wp:docPr id="7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8405" cy="3434080"/>
                        </a:xfrm>
                        <a:prstGeom prst="rect">
                          <a:avLst/>
                        </a:prstGeom>
                        <a:solidFill>
                          <a:srgbClr val="FFFFFF"/>
                        </a:solidFill>
                        <a:ln w="9525">
                          <a:noFill/>
                          <a:miter lim="800000"/>
                          <a:headEnd/>
                          <a:tailEnd/>
                        </a:ln>
                      </wps:spPr>
                      <wps:txbx>
                        <w:txbxContent>
                          <w:tbl>
                            <w:tblPr>
                              <w:tblStyle w:val="1f2"/>
                              <w:tblW w:w="3660" w:type="dxa"/>
                              <w:jc w:val="center"/>
                              <w:tblLayout w:type="fixed"/>
                              <w:tblLook w:val="04A0" w:firstRow="1" w:lastRow="0" w:firstColumn="1" w:lastColumn="0" w:noHBand="0" w:noVBand="1"/>
                            </w:tblPr>
                            <w:tblGrid>
                              <w:gridCol w:w="967"/>
                              <w:gridCol w:w="2693"/>
                            </w:tblGrid>
                            <w:tr w:rsidR="00A0212B" w14:paraId="26373A70" w14:textId="77777777" w:rsidTr="0071716B">
                              <w:trPr>
                                <w:cantSplit/>
                                <w:trHeight w:val="340"/>
                                <w:jc w:val="center"/>
                              </w:trPr>
                              <w:tc>
                                <w:tcPr>
                                  <w:tcW w:w="3660" w:type="dxa"/>
                                  <w:gridSpan w:val="2"/>
                                  <w:tcBorders>
                                    <w:top w:val="nil"/>
                                    <w:left w:val="nil"/>
                                    <w:right w:val="nil"/>
                                  </w:tcBorders>
                                  <w:vAlign w:val="center"/>
                                </w:tcPr>
                                <w:p w14:paraId="74E23C7B" w14:textId="5C55B7DE" w:rsidR="00A0212B" w:rsidRPr="00682A64" w:rsidRDefault="00A0212B">
                                  <w:pPr>
                                    <w:tabs>
                                      <w:tab w:val="left" w:pos="480"/>
                                      <w:tab w:val="left" w:pos="960"/>
                                      <w:tab w:val="left" w:pos="1320"/>
                                      <w:tab w:val="left" w:pos="1680"/>
                                      <w:tab w:val="left" w:pos="2040"/>
                                      <w:tab w:val="left" w:pos="2520"/>
                                    </w:tabs>
                                    <w:overflowPunct w:val="0"/>
                                    <w:autoSpaceDE w:val="0"/>
                                    <w:autoSpaceDN w:val="0"/>
                                    <w:snapToGrid w:val="0"/>
                                    <w:spacing w:afterLines="20" w:after="72" w:line="260" w:lineRule="exact"/>
                                    <w:ind w:leftChars="-50" w:left="623" w:hangingChars="320" w:hanging="743"/>
                                    <w:jc w:val="both"/>
                                    <w:outlineLvl w:val="0"/>
                                    <w:rPr>
                                      <w:rFonts w:ascii="標楷體" w:eastAsia="標楷體" w:hAnsi="標楷體"/>
                                      <w:b/>
                                      <w:bCs/>
                                      <w:snapToGrid w:val="0"/>
                                      <w:spacing w:val="-4"/>
                                      <w:kern w:val="0"/>
                                    </w:rPr>
                                  </w:pPr>
                                  <w:r w:rsidRPr="00682A64">
                                    <w:rPr>
                                      <w:rFonts w:ascii="標楷體" w:eastAsia="標楷體" w:hAnsi="標楷體" w:hint="eastAsia"/>
                                      <w:b/>
                                      <w:bCs/>
                                      <w:snapToGrid w:val="0"/>
                                      <w:spacing w:val="-4"/>
                                      <w:kern w:val="0"/>
                                    </w:rPr>
                                    <w:t>表</w:t>
                                  </w:r>
                                  <w:r>
                                    <w:rPr>
                                      <w:rFonts w:ascii="標楷體" w:eastAsia="標楷體" w:hAnsi="標楷體"/>
                                      <w:b/>
                                      <w:bCs/>
                                      <w:snapToGrid w:val="0"/>
                                      <w:spacing w:val="-4"/>
                                      <w:kern w:val="0"/>
                                    </w:rPr>
                                    <w:t>40</w:t>
                                  </w:r>
                                  <w:r w:rsidRPr="00682A64">
                                    <w:rPr>
                                      <w:rFonts w:ascii="標楷體" w:eastAsia="標楷體" w:hAnsi="標楷體" w:hint="eastAsia"/>
                                      <w:b/>
                                      <w:bCs/>
                                      <w:snapToGrid w:val="0"/>
                                      <w:spacing w:val="-4"/>
                                      <w:kern w:val="0"/>
                                    </w:rPr>
                                    <w:t xml:space="preserve">　國家運安工程研究中心建置計畫報送行政院審查情形</w:t>
                                  </w:r>
                                </w:p>
                              </w:tc>
                            </w:tr>
                            <w:tr w:rsidR="00A0212B" w14:paraId="42D842B5" w14:textId="77777777" w:rsidTr="0071716B">
                              <w:trPr>
                                <w:cantSplit/>
                                <w:trHeight w:val="369"/>
                                <w:jc w:val="center"/>
                              </w:trPr>
                              <w:tc>
                                <w:tcPr>
                                  <w:tcW w:w="967" w:type="dxa"/>
                                  <w:vAlign w:val="center"/>
                                </w:tcPr>
                                <w:p w14:paraId="2FC9A8FD"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center"/>
                                    <w:outlineLvl w:val="0"/>
                                    <w:rPr>
                                      <w:rFonts w:ascii="標楷體" w:eastAsia="標楷體" w:hAnsi="標楷體"/>
                                      <w:bCs/>
                                      <w:snapToGrid w:val="0"/>
                                      <w:kern w:val="0"/>
                                      <w:sz w:val="20"/>
                                    </w:rPr>
                                  </w:pPr>
                                  <w:r w:rsidRPr="00897709">
                                    <w:rPr>
                                      <w:rFonts w:ascii="標楷體" w:eastAsia="標楷體" w:hAnsi="標楷體"/>
                                      <w:bCs/>
                                      <w:snapToGrid w:val="0"/>
                                      <w:kern w:val="0"/>
                                      <w:sz w:val="20"/>
                                    </w:rPr>
                                    <w:t>日期</w:t>
                                  </w:r>
                                </w:p>
                              </w:tc>
                              <w:tc>
                                <w:tcPr>
                                  <w:tcW w:w="2693" w:type="dxa"/>
                                  <w:vAlign w:val="center"/>
                                </w:tcPr>
                                <w:p w14:paraId="6664C4A1"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center"/>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計畫</w:t>
                                  </w:r>
                                  <w:r w:rsidRPr="00897709">
                                    <w:rPr>
                                      <w:rFonts w:ascii="標楷體" w:eastAsia="標楷體" w:hAnsi="標楷體"/>
                                      <w:bCs/>
                                      <w:snapToGrid w:val="0"/>
                                      <w:kern w:val="0"/>
                                      <w:sz w:val="20"/>
                                    </w:rPr>
                                    <w:t>提報</w:t>
                                  </w:r>
                                  <w:r w:rsidRPr="00897709">
                                    <w:rPr>
                                      <w:rFonts w:ascii="標楷體" w:eastAsia="標楷體" w:hAnsi="標楷體" w:hint="eastAsia"/>
                                      <w:bCs/>
                                      <w:snapToGrid w:val="0"/>
                                      <w:kern w:val="0"/>
                                      <w:sz w:val="20"/>
                                    </w:rPr>
                                    <w:t>及審查情形</w:t>
                                  </w:r>
                                </w:p>
                              </w:tc>
                            </w:tr>
                            <w:tr w:rsidR="00A0212B" w14:paraId="28E8FA78" w14:textId="77777777" w:rsidTr="0071716B">
                              <w:trPr>
                                <w:cantSplit/>
                                <w:trHeight w:val="369"/>
                                <w:jc w:val="center"/>
                              </w:trPr>
                              <w:tc>
                                <w:tcPr>
                                  <w:tcW w:w="967" w:type="dxa"/>
                                  <w:vAlign w:val="center"/>
                                </w:tcPr>
                                <w:p w14:paraId="7D83FB02"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108.05.08</w:t>
                                  </w:r>
                                </w:p>
                              </w:tc>
                              <w:tc>
                                <w:tcPr>
                                  <w:tcW w:w="2693" w:type="dxa"/>
                                  <w:vAlign w:val="center"/>
                                </w:tcPr>
                                <w:p w14:paraId="4B417316"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Pr>
                                      <w:rFonts w:ascii="標楷體" w:eastAsia="標楷體" w:hAnsi="標楷體" w:hint="eastAsia"/>
                                      <w:bCs/>
                                      <w:snapToGrid w:val="0"/>
                                      <w:kern w:val="0"/>
                                      <w:sz w:val="20"/>
                                    </w:rPr>
                                    <w:t>第1次</w:t>
                                  </w:r>
                                  <w:r w:rsidRPr="00897709">
                                    <w:rPr>
                                      <w:rFonts w:ascii="標楷體" w:eastAsia="標楷體" w:hAnsi="標楷體" w:hint="eastAsia"/>
                                      <w:bCs/>
                                      <w:snapToGrid w:val="0"/>
                                      <w:kern w:val="0"/>
                                      <w:sz w:val="20"/>
                                    </w:rPr>
                                    <w:t>提報計畫</w:t>
                                  </w:r>
                                </w:p>
                              </w:tc>
                            </w:tr>
                            <w:tr w:rsidR="00A0212B" w14:paraId="239048AA" w14:textId="77777777" w:rsidTr="0071716B">
                              <w:trPr>
                                <w:cantSplit/>
                                <w:trHeight w:val="369"/>
                                <w:jc w:val="center"/>
                              </w:trPr>
                              <w:tc>
                                <w:tcPr>
                                  <w:tcW w:w="967" w:type="dxa"/>
                                  <w:vAlign w:val="center"/>
                                </w:tcPr>
                                <w:p w14:paraId="0CDDA184"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108.05.29</w:t>
                                  </w:r>
                                </w:p>
                              </w:tc>
                              <w:tc>
                                <w:tcPr>
                                  <w:tcW w:w="2693" w:type="dxa"/>
                                  <w:vAlign w:val="center"/>
                                </w:tcPr>
                                <w:p w14:paraId="2D8A0937"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w:t>
                                  </w:r>
                                  <w:r>
                                    <w:rPr>
                                      <w:rFonts w:ascii="標楷體" w:eastAsia="標楷體" w:hAnsi="標楷體" w:hint="eastAsia"/>
                                      <w:bCs/>
                                      <w:snapToGrid w:val="0"/>
                                      <w:kern w:val="0"/>
                                      <w:sz w:val="20"/>
                                    </w:rPr>
                                    <w:t>秘書長</w:t>
                                  </w:r>
                                  <w:r w:rsidRPr="00897709">
                                    <w:rPr>
                                      <w:rFonts w:ascii="標楷體" w:eastAsia="標楷體" w:hAnsi="標楷體" w:hint="eastAsia"/>
                                      <w:bCs/>
                                      <w:snapToGrid w:val="0"/>
                                      <w:kern w:val="0"/>
                                      <w:sz w:val="20"/>
                                    </w:rPr>
                                    <w:t>函請修正計畫</w:t>
                                  </w:r>
                                </w:p>
                              </w:tc>
                            </w:tr>
                            <w:tr w:rsidR="00A0212B" w14:paraId="3268D529" w14:textId="77777777" w:rsidTr="0071716B">
                              <w:trPr>
                                <w:cantSplit/>
                                <w:trHeight w:val="369"/>
                                <w:jc w:val="center"/>
                              </w:trPr>
                              <w:tc>
                                <w:tcPr>
                                  <w:tcW w:w="967" w:type="dxa"/>
                                  <w:vAlign w:val="center"/>
                                </w:tcPr>
                                <w:p w14:paraId="714078BF"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108.05.30</w:t>
                                  </w:r>
                                </w:p>
                              </w:tc>
                              <w:tc>
                                <w:tcPr>
                                  <w:tcW w:w="2693" w:type="dxa"/>
                                  <w:vAlign w:val="center"/>
                                </w:tcPr>
                                <w:p w14:paraId="5165332B"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Pr>
                                      <w:rFonts w:ascii="標楷體" w:eastAsia="標楷體" w:hAnsi="標楷體" w:hint="eastAsia"/>
                                      <w:bCs/>
                                      <w:snapToGrid w:val="0"/>
                                      <w:kern w:val="0"/>
                                      <w:sz w:val="20"/>
                                    </w:rPr>
                                    <w:t>第</w:t>
                                  </w:r>
                                  <w:r>
                                    <w:rPr>
                                      <w:rFonts w:ascii="標楷體" w:eastAsia="標楷體" w:hAnsi="標楷體"/>
                                      <w:bCs/>
                                      <w:snapToGrid w:val="0"/>
                                      <w:kern w:val="0"/>
                                      <w:sz w:val="20"/>
                                    </w:rPr>
                                    <w:t>2</w:t>
                                  </w:r>
                                  <w:r>
                                    <w:rPr>
                                      <w:rFonts w:ascii="標楷體" w:eastAsia="標楷體" w:hAnsi="標楷體" w:hint="eastAsia"/>
                                      <w:bCs/>
                                      <w:snapToGrid w:val="0"/>
                                      <w:kern w:val="0"/>
                                      <w:sz w:val="20"/>
                                    </w:rPr>
                                    <w:t>次</w:t>
                                  </w:r>
                                  <w:r w:rsidRPr="00897709">
                                    <w:rPr>
                                      <w:rFonts w:ascii="標楷體" w:eastAsia="標楷體" w:hAnsi="標楷體" w:hint="eastAsia"/>
                                      <w:bCs/>
                                      <w:snapToGrid w:val="0"/>
                                      <w:kern w:val="0"/>
                                      <w:sz w:val="20"/>
                                    </w:rPr>
                                    <w:t>提報計畫</w:t>
                                  </w:r>
                                </w:p>
                              </w:tc>
                            </w:tr>
                            <w:tr w:rsidR="00A0212B" w14:paraId="2CA2CF48" w14:textId="77777777" w:rsidTr="0071716B">
                              <w:trPr>
                                <w:cantSplit/>
                                <w:trHeight w:val="369"/>
                                <w:jc w:val="center"/>
                              </w:trPr>
                              <w:tc>
                                <w:tcPr>
                                  <w:tcW w:w="967" w:type="dxa"/>
                                  <w:vAlign w:val="center"/>
                                </w:tcPr>
                                <w:p w14:paraId="7AC645E1"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108.07.26</w:t>
                                  </w:r>
                                </w:p>
                              </w:tc>
                              <w:tc>
                                <w:tcPr>
                                  <w:tcW w:w="2693" w:type="dxa"/>
                                  <w:vAlign w:val="center"/>
                                </w:tcPr>
                                <w:p w14:paraId="2373CD97"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w:t>
                                  </w:r>
                                  <w:r w:rsidRPr="00B075B2">
                                    <w:rPr>
                                      <w:rFonts w:ascii="標楷體" w:eastAsia="標楷體" w:hAnsi="標楷體" w:hint="eastAsia"/>
                                      <w:bCs/>
                                      <w:snapToGrid w:val="0"/>
                                      <w:kern w:val="0"/>
                                      <w:sz w:val="20"/>
                                    </w:rPr>
                                    <w:t>秘書長</w:t>
                                  </w:r>
                                  <w:r w:rsidRPr="00897709">
                                    <w:rPr>
                                      <w:rFonts w:ascii="標楷體" w:eastAsia="標楷體" w:hAnsi="標楷體" w:hint="eastAsia"/>
                                      <w:bCs/>
                                      <w:snapToGrid w:val="0"/>
                                      <w:kern w:val="0"/>
                                      <w:sz w:val="20"/>
                                    </w:rPr>
                                    <w:t>函請修正計畫</w:t>
                                  </w:r>
                                </w:p>
                              </w:tc>
                            </w:tr>
                            <w:tr w:rsidR="00A0212B" w14:paraId="7494CB9B" w14:textId="77777777" w:rsidTr="0071716B">
                              <w:trPr>
                                <w:cantSplit/>
                                <w:trHeight w:val="369"/>
                                <w:jc w:val="center"/>
                              </w:trPr>
                              <w:tc>
                                <w:tcPr>
                                  <w:tcW w:w="967" w:type="dxa"/>
                                  <w:vAlign w:val="center"/>
                                </w:tcPr>
                                <w:p w14:paraId="7CF6C42F"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109.06.18</w:t>
                                  </w:r>
                                </w:p>
                              </w:tc>
                              <w:tc>
                                <w:tcPr>
                                  <w:tcW w:w="2693" w:type="dxa"/>
                                  <w:vAlign w:val="center"/>
                                </w:tcPr>
                                <w:p w14:paraId="21D146C6"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Pr>
                                      <w:rFonts w:ascii="標楷體" w:eastAsia="標楷體" w:hAnsi="標楷體" w:hint="eastAsia"/>
                                      <w:bCs/>
                                      <w:snapToGrid w:val="0"/>
                                      <w:kern w:val="0"/>
                                      <w:sz w:val="20"/>
                                    </w:rPr>
                                    <w:t>第</w:t>
                                  </w:r>
                                  <w:r>
                                    <w:rPr>
                                      <w:rFonts w:ascii="標楷體" w:eastAsia="標楷體" w:hAnsi="標楷體"/>
                                      <w:bCs/>
                                      <w:snapToGrid w:val="0"/>
                                      <w:kern w:val="0"/>
                                      <w:sz w:val="20"/>
                                    </w:rPr>
                                    <w:t>3</w:t>
                                  </w:r>
                                  <w:r>
                                    <w:rPr>
                                      <w:rFonts w:ascii="標楷體" w:eastAsia="標楷體" w:hAnsi="標楷體" w:hint="eastAsia"/>
                                      <w:bCs/>
                                      <w:snapToGrid w:val="0"/>
                                      <w:kern w:val="0"/>
                                      <w:sz w:val="20"/>
                                    </w:rPr>
                                    <w:t>次</w:t>
                                  </w:r>
                                  <w:r w:rsidRPr="00897709">
                                    <w:rPr>
                                      <w:rFonts w:ascii="標楷體" w:eastAsia="標楷體" w:hAnsi="標楷體" w:hint="eastAsia"/>
                                      <w:bCs/>
                                      <w:snapToGrid w:val="0"/>
                                      <w:kern w:val="0"/>
                                      <w:sz w:val="20"/>
                                    </w:rPr>
                                    <w:t>提報計畫</w:t>
                                  </w:r>
                                </w:p>
                              </w:tc>
                            </w:tr>
                            <w:tr w:rsidR="00A0212B" w14:paraId="3B24B982" w14:textId="77777777" w:rsidTr="0071716B">
                              <w:trPr>
                                <w:cantSplit/>
                                <w:trHeight w:val="369"/>
                                <w:jc w:val="center"/>
                              </w:trPr>
                              <w:tc>
                                <w:tcPr>
                                  <w:tcW w:w="967" w:type="dxa"/>
                                  <w:vAlign w:val="center"/>
                                </w:tcPr>
                                <w:p w14:paraId="0B53E38F"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109.10.12</w:t>
                                  </w:r>
                                </w:p>
                              </w:tc>
                              <w:tc>
                                <w:tcPr>
                                  <w:tcW w:w="2693" w:type="dxa"/>
                                  <w:vAlign w:val="center"/>
                                </w:tcPr>
                                <w:p w14:paraId="2C4DAE4E"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w:t>
                                  </w:r>
                                  <w:r w:rsidRPr="00B075B2">
                                    <w:rPr>
                                      <w:rFonts w:ascii="標楷體" w:eastAsia="標楷體" w:hAnsi="標楷體" w:hint="eastAsia"/>
                                      <w:bCs/>
                                      <w:snapToGrid w:val="0"/>
                                      <w:kern w:val="0"/>
                                      <w:sz w:val="20"/>
                                    </w:rPr>
                                    <w:t>秘書長</w:t>
                                  </w:r>
                                  <w:r w:rsidRPr="00897709">
                                    <w:rPr>
                                      <w:rFonts w:ascii="標楷體" w:eastAsia="標楷體" w:hAnsi="標楷體" w:hint="eastAsia"/>
                                      <w:bCs/>
                                      <w:snapToGrid w:val="0"/>
                                      <w:kern w:val="0"/>
                                      <w:sz w:val="20"/>
                                    </w:rPr>
                                    <w:t>函請修正計畫</w:t>
                                  </w:r>
                                </w:p>
                              </w:tc>
                            </w:tr>
                            <w:tr w:rsidR="00A0212B" w:rsidRPr="00E15123" w14:paraId="0F974270" w14:textId="77777777" w:rsidTr="0071716B">
                              <w:trPr>
                                <w:cantSplit/>
                                <w:trHeight w:val="369"/>
                                <w:jc w:val="center"/>
                              </w:trPr>
                              <w:tc>
                                <w:tcPr>
                                  <w:tcW w:w="967" w:type="dxa"/>
                                  <w:vAlign w:val="center"/>
                                </w:tcPr>
                                <w:p w14:paraId="0AED7B88"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110.03.19</w:t>
                                  </w:r>
                                </w:p>
                              </w:tc>
                              <w:tc>
                                <w:tcPr>
                                  <w:tcW w:w="2693" w:type="dxa"/>
                                  <w:vAlign w:val="center"/>
                                </w:tcPr>
                                <w:p w14:paraId="53A8D8F0"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Pr>
                                      <w:rFonts w:ascii="標楷體" w:eastAsia="標楷體" w:hAnsi="標楷體" w:hint="eastAsia"/>
                                      <w:bCs/>
                                      <w:snapToGrid w:val="0"/>
                                      <w:kern w:val="0"/>
                                      <w:sz w:val="20"/>
                                    </w:rPr>
                                    <w:t>第</w:t>
                                  </w:r>
                                  <w:r>
                                    <w:rPr>
                                      <w:rFonts w:ascii="標楷體" w:eastAsia="標楷體" w:hAnsi="標楷體"/>
                                      <w:bCs/>
                                      <w:snapToGrid w:val="0"/>
                                      <w:kern w:val="0"/>
                                      <w:sz w:val="20"/>
                                    </w:rPr>
                                    <w:t>4</w:t>
                                  </w:r>
                                  <w:r>
                                    <w:rPr>
                                      <w:rFonts w:ascii="標楷體" w:eastAsia="標楷體" w:hAnsi="標楷體" w:hint="eastAsia"/>
                                      <w:bCs/>
                                      <w:snapToGrid w:val="0"/>
                                      <w:kern w:val="0"/>
                                      <w:sz w:val="20"/>
                                    </w:rPr>
                                    <w:t>次</w:t>
                                  </w:r>
                                  <w:r w:rsidRPr="00897709">
                                    <w:rPr>
                                      <w:rFonts w:ascii="標楷體" w:eastAsia="標楷體" w:hAnsi="標楷體" w:hint="eastAsia"/>
                                      <w:bCs/>
                                      <w:snapToGrid w:val="0"/>
                                      <w:kern w:val="0"/>
                                      <w:sz w:val="20"/>
                                    </w:rPr>
                                    <w:t>提報計畫</w:t>
                                  </w:r>
                                </w:p>
                              </w:tc>
                            </w:tr>
                            <w:tr w:rsidR="00A0212B" w:rsidRPr="00E15123" w14:paraId="37B88EE5" w14:textId="77777777" w:rsidTr="0071716B">
                              <w:trPr>
                                <w:cantSplit/>
                                <w:trHeight w:val="369"/>
                                <w:jc w:val="center"/>
                              </w:trPr>
                              <w:tc>
                                <w:tcPr>
                                  <w:tcW w:w="967" w:type="dxa"/>
                                  <w:vAlign w:val="center"/>
                                </w:tcPr>
                                <w:p w14:paraId="38DC6E99"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112.01.04</w:t>
                                  </w:r>
                                </w:p>
                              </w:tc>
                              <w:tc>
                                <w:tcPr>
                                  <w:tcW w:w="2693" w:type="dxa"/>
                                  <w:vAlign w:val="center"/>
                                </w:tcPr>
                                <w:p w14:paraId="7B8BA7FD"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w:t>
                                  </w:r>
                                  <w:r w:rsidRPr="00B075B2">
                                    <w:rPr>
                                      <w:rFonts w:ascii="標楷體" w:eastAsia="標楷體" w:hAnsi="標楷體" w:hint="eastAsia"/>
                                      <w:bCs/>
                                      <w:snapToGrid w:val="0"/>
                                      <w:kern w:val="0"/>
                                      <w:sz w:val="20"/>
                                    </w:rPr>
                                    <w:t>秘書長</w:t>
                                  </w:r>
                                  <w:r w:rsidRPr="00897709">
                                    <w:rPr>
                                      <w:rFonts w:ascii="標楷體" w:eastAsia="標楷體" w:hAnsi="標楷體" w:hint="eastAsia"/>
                                      <w:bCs/>
                                      <w:snapToGrid w:val="0"/>
                                      <w:kern w:val="0"/>
                                      <w:sz w:val="20"/>
                                    </w:rPr>
                                    <w:t>函請修正計畫</w:t>
                                  </w:r>
                                </w:p>
                              </w:tc>
                            </w:tr>
                            <w:tr w:rsidR="00A0212B" w14:paraId="526FCC56" w14:textId="77777777" w:rsidTr="0071716B">
                              <w:trPr>
                                <w:cantSplit/>
                                <w:trHeight w:val="369"/>
                                <w:jc w:val="center"/>
                              </w:trPr>
                              <w:tc>
                                <w:tcPr>
                                  <w:tcW w:w="967" w:type="dxa"/>
                                  <w:tcBorders>
                                    <w:bottom w:val="single" w:sz="4" w:space="0" w:color="auto"/>
                                  </w:tcBorders>
                                  <w:vAlign w:val="center"/>
                                </w:tcPr>
                                <w:p w14:paraId="3E4EB5F1"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112.08.25</w:t>
                                  </w:r>
                                </w:p>
                              </w:tc>
                              <w:tc>
                                <w:tcPr>
                                  <w:tcW w:w="2693" w:type="dxa"/>
                                  <w:tcBorders>
                                    <w:bottom w:val="single" w:sz="4" w:space="0" w:color="auto"/>
                                  </w:tcBorders>
                                  <w:vAlign w:val="center"/>
                                </w:tcPr>
                                <w:p w14:paraId="6CA6B4B7"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函報行政院暫緩計畫推動</w:t>
                                  </w:r>
                                </w:p>
                              </w:tc>
                            </w:tr>
                            <w:tr w:rsidR="00A0212B" w14:paraId="309E4526" w14:textId="77777777" w:rsidTr="0071716B">
                              <w:trPr>
                                <w:cantSplit/>
                                <w:trHeight w:val="369"/>
                                <w:jc w:val="center"/>
                              </w:trPr>
                              <w:tc>
                                <w:tcPr>
                                  <w:tcW w:w="967" w:type="dxa"/>
                                  <w:tcBorders>
                                    <w:bottom w:val="single" w:sz="4" w:space="0" w:color="auto"/>
                                  </w:tcBorders>
                                  <w:vAlign w:val="center"/>
                                </w:tcPr>
                                <w:p w14:paraId="25FEE2D3"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hint="eastAsia"/>
                                      <w:bCs/>
                                      <w:snapToGrid w:val="0"/>
                                      <w:spacing w:val="-10"/>
                                      <w:kern w:val="0"/>
                                      <w:sz w:val="20"/>
                                    </w:rPr>
                                    <w:t>1</w:t>
                                  </w:r>
                                  <w:r w:rsidRPr="000432F8">
                                    <w:rPr>
                                      <w:rFonts w:ascii="標楷體" w:eastAsia="標楷體" w:hAnsi="標楷體"/>
                                      <w:bCs/>
                                      <w:snapToGrid w:val="0"/>
                                      <w:spacing w:val="-10"/>
                                      <w:kern w:val="0"/>
                                      <w:sz w:val="20"/>
                                    </w:rPr>
                                    <w:t>12.10.20</w:t>
                                  </w:r>
                                </w:p>
                              </w:tc>
                              <w:tc>
                                <w:tcPr>
                                  <w:tcW w:w="2693" w:type="dxa"/>
                                  <w:tcBorders>
                                    <w:bottom w:val="single" w:sz="4" w:space="0" w:color="auto"/>
                                  </w:tcBorders>
                                  <w:vAlign w:val="center"/>
                                </w:tcPr>
                                <w:p w14:paraId="3E507B7D"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行政院同意暫緩計畫推動</w:t>
                                  </w:r>
                                </w:p>
                              </w:tc>
                            </w:tr>
                            <w:tr w:rsidR="00A0212B" w14:paraId="318859D0" w14:textId="77777777" w:rsidTr="0071716B">
                              <w:trPr>
                                <w:cantSplit/>
                                <w:trHeight w:val="177"/>
                                <w:jc w:val="center"/>
                              </w:trPr>
                              <w:tc>
                                <w:tcPr>
                                  <w:tcW w:w="3660" w:type="dxa"/>
                                  <w:gridSpan w:val="2"/>
                                  <w:tcBorders>
                                    <w:left w:val="nil"/>
                                    <w:bottom w:val="nil"/>
                                    <w:right w:val="nil"/>
                                  </w:tcBorders>
                                  <w:vAlign w:val="center"/>
                                </w:tcPr>
                                <w:p w14:paraId="42CF9B5F" w14:textId="77777777" w:rsidR="00A0212B" w:rsidRPr="0005527C"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50" w:left="735" w:hangingChars="475" w:hanging="855"/>
                                    <w:jc w:val="both"/>
                                    <w:outlineLvl w:val="0"/>
                                    <w:rPr>
                                      <w:rFonts w:ascii="標楷體" w:eastAsia="標楷體" w:hAnsi="標楷體"/>
                                      <w:bCs/>
                                      <w:snapToGrid w:val="0"/>
                                      <w:sz w:val="18"/>
                                      <w:szCs w:val="18"/>
                                    </w:rPr>
                                  </w:pPr>
                                  <w:r w:rsidRPr="0005527C">
                                    <w:rPr>
                                      <w:rFonts w:ascii="標楷體" w:eastAsia="標楷體" w:hAnsi="標楷體" w:hint="eastAsia"/>
                                      <w:bCs/>
                                      <w:snapToGrid w:val="0"/>
                                      <w:sz w:val="18"/>
                                      <w:szCs w:val="18"/>
                                    </w:rPr>
                                    <w:t>資料來源：整理自</w:t>
                                  </w:r>
                                  <w:r w:rsidRPr="009B7EC1">
                                    <w:rPr>
                                      <w:rFonts w:ascii="標楷體" w:eastAsia="標楷體" w:hAnsi="標楷體" w:hint="eastAsia"/>
                                      <w:bCs/>
                                      <w:snapToGrid w:val="0"/>
                                      <w:sz w:val="18"/>
                                      <w:szCs w:val="18"/>
                                    </w:rPr>
                                    <w:t>國家運輸安全調查委員會</w:t>
                                  </w:r>
                                  <w:r w:rsidRPr="0005527C">
                                    <w:rPr>
                                      <w:rFonts w:ascii="標楷體" w:eastAsia="標楷體" w:hAnsi="標楷體" w:hint="eastAsia"/>
                                      <w:bCs/>
                                      <w:snapToGrid w:val="0"/>
                                      <w:sz w:val="18"/>
                                      <w:szCs w:val="18"/>
                                    </w:rPr>
                                    <w:t>提供資料。</w:t>
                                  </w:r>
                                </w:p>
                              </w:tc>
                            </w:tr>
                          </w:tbl>
                          <w:p w14:paraId="56EA5348" w14:textId="77777777" w:rsidR="00A0212B" w:rsidRPr="000432F8" w:rsidRDefault="00A0212B" w:rsidP="0071716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4B4722" id="_x0000_s1126" type="#_x0000_t202" style="position:absolute;left:0;text-align:left;margin-left:301.8pt;margin-top:200.85pt;width:195.15pt;height:270.4pt;z-index:-251634688;visibility:visible;mso-wrap-style:square;mso-width-percent:0;mso-height-percent:0;mso-wrap-distance-left:7.1pt;mso-wrap-distance-top:2.85pt;mso-wrap-distance-right:5.65pt;mso-wrap-distance-bottom:2.85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" stroked="f">
                <v:textbox>
                  <w:txbxContent>
                    <w:tbl>
                      <w:tblPr>
                        <w:tblStyle w:val="1f2"/>
                        <w:tblW w:w="3660" w:type="dxa"/>
                        <w:jc w:val="center"/>
                        <w:tblLayout w:type="fixed"/>
                        <w:tblLook w:val="04A0" w:firstRow="1" w:lastRow="0" w:firstColumn="1" w:lastColumn="0" w:noHBand="0" w:noVBand="1"/>
                      </w:tblPr>
                      <w:tblGrid>
                        <w:gridCol w:w="967"/>
                        <w:gridCol w:w="2693"/>
                      </w:tblGrid>
                      <w:tr w:rsidR="00A0212B" w14:paraId="26373A70" w14:textId="77777777" w:rsidTr="0071716B">
                        <w:trPr>
                          <w:cantSplit/>
                          <w:trHeight w:val="340"/>
                          <w:jc w:val="center"/>
                        </w:trPr>
                        <w:tc>
                          <w:tcPr>
                            <w:tcW w:w="3660" w:type="dxa"/>
                            <w:gridSpan w:val="2"/>
                            <w:tcBorders>
                              <w:top w:val="nil"/>
                              <w:left w:val="nil"/>
                              <w:right w:val="nil"/>
                            </w:tcBorders>
                            <w:vAlign w:val="center"/>
                          </w:tcPr>
                          <w:p w14:paraId="74E23C7B" w14:textId="5C55B7DE" w:rsidR="00A0212B" w:rsidRPr="00682A64" w:rsidRDefault="00A0212B">
                            <w:pPr>
                              <w:tabs>
                                <w:tab w:val="left" w:pos="480"/>
                                <w:tab w:val="left" w:pos="960"/>
                                <w:tab w:val="left" w:pos="1320"/>
                                <w:tab w:val="left" w:pos="1680"/>
                                <w:tab w:val="left" w:pos="2040"/>
                                <w:tab w:val="left" w:pos="2520"/>
                              </w:tabs>
                              <w:overflowPunct w:val="0"/>
                              <w:autoSpaceDE w:val="0"/>
                              <w:autoSpaceDN w:val="0"/>
                              <w:snapToGrid w:val="0"/>
                              <w:spacing w:afterLines="20" w:after="72" w:line="260" w:lineRule="exact"/>
                              <w:ind w:leftChars="-50" w:left="623" w:hangingChars="320" w:hanging="743"/>
                              <w:jc w:val="both"/>
                              <w:outlineLvl w:val="0"/>
                              <w:rPr>
                                <w:rFonts w:ascii="標楷體" w:eastAsia="標楷體" w:hAnsi="標楷體"/>
                                <w:b/>
                                <w:bCs/>
                                <w:snapToGrid w:val="0"/>
                                <w:spacing w:val="-4"/>
                                <w:kern w:val="0"/>
                              </w:rPr>
                            </w:pPr>
                            <w:r w:rsidRPr="00682A64">
                              <w:rPr>
                                <w:rFonts w:ascii="標楷體" w:eastAsia="標楷體" w:hAnsi="標楷體" w:hint="eastAsia"/>
                                <w:b/>
                                <w:bCs/>
                                <w:snapToGrid w:val="0"/>
                                <w:spacing w:val="-4"/>
                                <w:kern w:val="0"/>
                              </w:rPr>
                              <w:t>表</w:t>
                            </w:r>
                            <w:r>
                              <w:rPr>
                                <w:rFonts w:ascii="標楷體" w:eastAsia="標楷體" w:hAnsi="標楷體"/>
                                <w:b/>
                                <w:bCs/>
                                <w:snapToGrid w:val="0"/>
                                <w:spacing w:val="-4"/>
                                <w:kern w:val="0"/>
                              </w:rPr>
                              <w:t>40</w:t>
                            </w:r>
                            <w:r w:rsidRPr="00682A64">
                              <w:rPr>
                                <w:rFonts w:ascii="標楷體" w:eastAsia="標楷體" w:hAnsi="標楷體" w:hint="eastAsia"/>
                                <w:b/>
                                <w:bCs/>
                                <w:snapToGrid w:val="0"/>
                                <w:spacing w:val="-4"/>
                                <w:kern w:val="0"/>
                              </w:rPr>
                              <w:t xml:space="preserve">　國家運安工程研究中心建置計畫報送行政院審查情形</w:t>
                            </w:r>
                          </w:p>
                        </w:tc>
                      </w:tr>
                      <w:tr w:rsidR="00A0212B" w14:paraId="42D842B5" w14:textId="77777777" w:rsidTr="0071716B">
                        <w:trPr>
                          <w:cantSplit/>
                          <w:trHeight w:val="369"/>
                          <w:jc w:val="center"/>
                        </w:trPr>
                        <w:tc>
                          <w:tcPr>
                            <w:tcW w:w="967" w:type="dxa"/>
                            <w:vAlign w:val="center"/>
                          </w:tcPr>
                          <w:p w14:paraId="2FC9A8FD"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center"/>
                              <w:outlineLvl w:val="0"/>
                              <w:rPr>
                                <w:rFonts w:ascii="標楷體" w:eastAsia="標楷體" w:hAnsi="標楷體"/>
                                <w:bCs/>
                                <w:snapToGrid w:val="0"/>
                                <w:kern w:val="0"/>
                                <w:sz w:val="20"/>
                              </w:rPr>
                            </w:pPr>
                            <w:r w:rsidRPr="00897709">
                              <w:rPr>
                                <w:rFonts w:ascii="標楷體" w:eastAsia="標楷體" w:hAnsi="標楷體"/>
                                <w:bCs/>
                                <w:snapToGrid w:val="0"/>
                                <w:kern w:val="0"/>
                                <w:sz w:val="20"/>
                              </w:rPr>
                              <w:t>日期</w:t>
                            </w:r>
                          </w:p>
                        </w:tc>
                        <w:tc>
                          <w:tcPr>
                            <w:tcW w:w="2693" w:type="dxa"/>
                            <w:vAlign w:val="center"/>
                          </w:tcPr>
                          <w:p w14:paraId="6664C4A1"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center"/>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計畫</w:t>
                            </w:r>
                            <w:r w:rsidRPr="00897709">
                              <w:rPr>
                                <w:rFonts w:ascii="標楷體" w:eastAsia="標楷體" w:hAnsi="標楷體"/>
                                <w:bCs/>
                                <w:snapToGrid w:val="0"/>
                                <w:kern w:val="0"/>
                                <w:sz w:val="20"/>
                              </w:rPr>
                              <w:t>提報</w:t>
                            </w:r>
                            <w:r w:rsidRPr="00897709">
                              <w:rPr>
                                <w:rFonts w:ascii="標楷體" w:eastAsia="標楷體" w:hAnsi="標楷體" w:hint="eastAsia"/>
                                <w:bCs/>
                                <w:snapToGrid w:val="0"/>
                                <w:kern w:val="0"/>
                                <w:sz w:val="20"/>
                              </w:rPr>
                              <w:t>及審查情形</w:t>
                            </w:r>
                          </w:p>
                        </w:tc>
                      </w:tr>
                      <w:tr w:rsidR="00A0212B" w14:paraId="28E8FA78" w14:textId="77777777" w:rsidTr="0071716B">
                        <w:trPr>
                          <w:cantSplit/>
                          <w:trHeight w:val="369"/>
                          <w:jc w:val="center"/>
                        </w:trPr>
                        <w:tc>
                          <w:tcPr>
                            <w:tcW w:w="967" w:type="dxa"/>
                            <w:vAlign w:val="center"/>
                          </w:tcPr>
                          <w:p w14:paraId="7D83FB02"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108.05.08</w:t>
                            </w:r>
                          </w:p>
                        </w:tc>
                        <w:tc>
                          <w:tcPr>
                            <w:tcW w:w="2693" w:type="dxa"/>
                            <w:vAlign w:val="center"/>
                          </w:tcPr>
                          <w:p w14:paraId="4B417316"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Pr>
                                <w:rFonts w:ascii="標楷體" w:eastAsia="標楷體" w:hAnsi="標楷體" w:hint="eastAsia"/>
                                <w:bCs/>
                                <w:snapToGrid w:val="0"/>
                                <w:kern w:val="0"/>
                                <w:sz w:val="20"/>
                              </w:rPr>
                              <w:t>第1次</w:t>
                            </w:r>
                            <w:r w:rsidRPr="00897709">
                              <w:rPr>
                                <w:rFonts w:ascii="標楷體" w:eastAsia="標楷體" w:hAnsi="標楷體" w:hint="eastAsia"/>
                                <w:bCs/>
                                <w:snapToGrid w:val="0"/>
                                <w:kern w:val="0"/>
                                <w:sz w:val="20"/>
                              </w:rPr>
                              <w:t>提報計畫</w:t>
                            </w:r>
                          </w:p>
                        </w:tc>
                      </w:tr>
                      <w:tr w:rsidR="00A0212B" w14:paraId="239048AA" w14:textId="77777777" w:rsidTr="0071716B">
                        <w:trPr>
                          <w:cantSplit/>
                          <w:trHeight w:val="369"/>
                          <w:jc w:val="center"/>
                        </w:trPr>
                        <w:tc>
                          <w:tcPr>
                            <w:tcW w:w="967" w:type="dxa"/>
                            <w:vAlign w:val="center"/>
                          </w:tcPr>
                          <w:p w14:paraId="0CDDA184"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108.05.29</w:t>
                            </w:r>
                          </w:p>
                        </w:tc>
                        <w:tc>
                          <w:tcPr>
                            <w:tcW w:w="2693" w:type="dxa"/>
                            <w:vAlign w:val="center"/>
                          </w:tcPr>
                          <w:p w14:paraId="2D8A0937"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w:t>
                            </w:r>
                            <w:r>
                              <w:rPr>
                                <w:rFonts w:ascii="標楷體" w:eastAsia="標楷體" w:hAnsi="標楷體" w:hint="eastAsia"/>
                                <w:bCs/>
                                <w:snapToGrid w:val="0"/>
                                <w:kern w:val="0"/>
                                <w:sz w:val="20"/>
                              </w:rPr>
                              <w:t>秘書長</w:t>
                            </w:r>
                            <w:r w:rsidRPr="00897709">
                              <w:rPr>
                                <w:rFonts w:ascii="標楷體" w:eastAsia="標楷體" w:hAnsi="標楷體" w:hint="eastAsia"/>
                                <w:bCs/>
                                <w:snapToGrid w:val="0"/>
                                <w:kern w:val="0"/>
                                <w:sz w:val="20"/>
                              </w:rPr>
                              <w:t>函請修正計畫</w:t>
                            </w:r>
                          </w:p>
                        </w:tc>
                      </w:tr>
                      <w:tr w:rsidR="00A0212B" w14:paraId="3268D529" w14:textId="77777777" w:rsidTr="0071716B">
                        <w:trPr>
                          <w:cantSplit/>
                          <w:trHeight w:val="369"/>
                          <w:jc w:val="center"/>
                        </w:trPr>
                        <w:tc>
                          <w:tcPr>
                            <w:tcW w:w="967" w:type="dxa"/>
                            <w:vAlign w:val="center"/>
                          </w:tcPr>
                          <w:p w14:paraId="714078BF"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108.05.30</w:t>
                            </w:r>
                          </w:p>
                        </w:tc>
                        <w:tc>
                          <w:tcPr>
                            <w:tcW w:w="2693" w:type="dxa"/>
                            <w:vAlign w:val="center"/>
                          </w:tcPr>
                          <w:p w14:paraId="5165332B"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Pr>
                                <w:rFonts w:ascii="標楷體" w:eastAsia="標楷體" w:hAnsi="標楷體" w:hint="eastAsia"/>
                                <w:bCs/>
                                <w:snapToGrid w:val="0"/>
                                <w:kern w:val="0"/>
                                <w:sz w:val="20"/>
                              </w:rPr>
                              <w:t>第</w:t>
                            </w:r>
                            <w:r>
                              <w:rPr>
                                <w:rFonts w:ascii="標楷體" w:eastAsia="標楷體" w:hAnsi="標楷體"/>
                                <w:bCs/>
                                <w:snapToGrid w:val="0"/>
                                <w:kern w:val="0"/>
                                <w:sz w:val="20"/>
                              </w:rPr>
                              <w:t>2</w:t>
                            </w:r>
                            <w:r>
                              <w:rPr>
                                <w:rFonts w:ascii="標楷體" w:eastAsia="標楷體" w:hAnsi="標楷體" w:hint="eastAsia"/>
                                <w:bCs/>
                                <w:snapToGrid w:val="0"/>
                                <w:kern w:val="0"/>
                                <w:sz w:val="20"/>
                              </w:rPr>
                              <w:t>次</w:t>
                            </w:r>
                            <w:r w:rsidRPr="00897709">
                              <w:rPr>
                                <w:rFonts w:ascii="標楷體" w:eastAsia="標楷體" w:hAnsi="標楷體" w:hint="eastAsia"/>
                                <w:bCs/>
                                <w:snapToGrid w:val="0"/>
                                <w:kern w:val="0"/>
                                <w:sz w:val="20"/>
                              </w:rPr>
                              <w:t>提報計畫</w:t>
                            </w:r>
                          </w:p>
                        </w:tc>
                      </w:tr>
                      <w:tr w:rsidR="00A0212B" w14:paraId="2CA2CF48" w14:textId="77777777" w:rsidTr="0071716B">
                        <w:trPr>
                          <w:cantSplit/>
                          <w:trHeight w:val="369"/>
                          <w:jc w:val="center"/>
                        </w:trPr>
                        <w:tc>
                          <w:tcPr>
                            <w:tcW w:w="967" w:type="dxa"/>
                            <w:vAlign w:val="center"/>
                          </w:tcPr>
                          <w:p w14:paraId="7AC645E1"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108.07.26</w:t>
                            </w:r>
                          </w:p>
                        </w:tc>
                        <w:tc>
                          <w:tcPr>
                            <w:tcW w:w="2693" w:type="dxa"/>
                            <w:vAlign w:val="center"/>
                          </w:tcPr>
                          <w:p w14:paraId="2373CD97"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w:t>
                            </w:r>
                            <w:r w:rsidRPr="00B075B2">
                              <w:rPr>
                                <w:rFonts w:ascii="標楷體" w:eastAsia="標楷體" w:hAnsi="標楷體" w:hint="eastAsia"/>
                                <w:bCs/>
                                <w:snapToGrid w:val="0"/>
                                <w:kern w:val="0"/>
                                <w:sz w:val="20"/>
                              </w:rPr>
                              <w:t>秘書長</w:t>
                            </w:r>
                            <w:r w:rsidRPr="00897709">
                              <w:rPr>
                                <w:rFonts w:ascii="標楷體" w:eastAsia="標楷體" w:hAnsi="標楷體" w:hint="eastAsia"/>
                                <w:bCs/>
                                <w:snapToGrid w:val="0"/>
                                <w:kern w:val="0"/>
                                <w:sz w:val="20"/>
                              </w:rPr>
                              <w:t>函請修正計畫</w:t>
                            </w:r>
                          </w:p>
                        </w:tc>
                      </w:tr>
                      <w:tr w:rsidR="00A0212B" w14:paraId="7494CB9B" w14:textId="77777777" w:rsidTr="0071716B">
                        <w:trPr>
                          <w:cantSplit/>
                          <w:trHeight w:val="369"/>
                          <w:jc w:val="center"/>
                        </w:trPr>
                        <w:tc>
                          <w:tcPr>
                            <w:tcW w:w="967" w:type="dxa"/>
                            <w:vAlign w:val="center"/>
                          </w:tcPr>
                          <w:p w14:paraId="7CF6C42F"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109.06.18</w:t>
                            </w:r>
                          </w:p>
                        </w:tc>
                        <w:tc>
                          <w:tcPr>
                            <w:tcW w:w="2693" w:type="dxa"/>
                            <w:vAlign w:val="center"/>
                          </w:tcPr>
                          <w:p w14:paraId="21D146C6"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Pr>
                                <w:rFonts w:ascii="標楷體" w:eastAsia="標楷體" w:hAnsi="標楷體" w:hint="eastAsia"/>
                                <w:bCs/>
                                <w:snapToGrid w:val="0"/>
                                <w:kern w:val="0"/>
                                <w:sz w:val="20"/>
                              </w:rPr>
                              <w:t>第</w:t>
                            </w:r>
                            <w:r>
                              <w:rPr>
                                <w:rFonts w:ascii="標楷體" w:eastAsia="標楷體" w:hAnsi="標楷體"/>
                                <w:bCs/>
                                <w:snapToGrid w:val="0"/>
                                <w:kern w:val="0"/>
                                <w:sz w:val="20"/>
                              </w:rPr>
                              <w:t>3</w:t>
                            </w:r>
                            <w:r>
                              <w:rPr>
                                <w:rFonts w:ascii="標楷體" w:eastAsia="標楷體" w:hAnsi="標楷體" w:hint="eastAsia"/>
                                <w:bCs/>
                                <w:snapToGrid w:val="0"/>
                                <w:kern w:val="0"/>
                                <w:sz w:val="20"/>
                              </w:rPr>
                              <w:t>次</w:t>
                            </w:r>
                            <w:r w:rsidRPr="00897709">
                              <w:rPr>
                                <w:rFonts w:ascii="標楷體" w:eastAsia="標楷體" w:hAnsi="標楷體" w:hint="eastAsia"/>
                                <w:bCs/>
                                <w:snapToGrid w:val="0"/>
                                <w:kern w:val="0"/>
                                <w:sz w:val="20"/>
                              </w:rPr>
                              <w:t>提報計畫</w:t>
                            </w:r>
                          </w:p>
                        </w:tc>
                      </w:tr>
                      <w:tr w:rsidR="00A0212B" w14:paraId="3B24B982" w14:textId="77777777" w:rsidTr="0071716B">
                        <w:trPr>
                          <w:cantSplit/>
                          <w:trHeight w:val="369"/>
                          <w:jc w:val="center"/>
                        </w:trPr>
                        <w:tc>
                          <w:tcPr>
                            <w:tcW w:w="967" w:type="dxa"/>
                            <w:vAlign w:val="center"/>
                          </w:tcPr>
                          <w:p w14:paraId="0B53E38F"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109.10.12</w:t>
                            </w:r>
                          </w:p>
                        </w:tc>
                        <w:tc>
                          <w:tcPr>
                            <w:tcW w:w="2693" w:type="dxa"/>
                            <w:vAlign w:val="center"/>
                          </w:tcPr>
                          <w:p w14:paraId="2C4DAE4E"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w:t>
                            </w:r>
                            <w:r w:rsidRPr="00B075B2">
                              <w:rPr>
                                <w:rFonts w:ascii="標楷體" w:eastAsia="標楷體" w:hAnsi="標楷體" w:hint="eastAsia"/>
                                <w:bCs/>
                                <w:snapToGrid w:val="0"/>
                                <w:kern w:val="0"/>
                                <w:sz w:val="20"/>
                              </w:rPr>
                              <w:t>秘書長</w:t>
                            </w:r>
                            <w:r w:rsidRPr="00897709">
                              <w:rPr>
                                <w:rFonts w:ascii="標楷體" w:eastAsia="標楷體" w:hAnsi="標楷體" w:hint="eastAsia"/>
                                <w:bCs/>
                                <w:snapToGrid w:val="0"/>
                                <w:kern w:val="0"/>
                                <w:sz w:val="20"/>
                              </w:rPr>
                              <w:t>函請修正計畫</w:t>
                            </w:r>
                          </w:p>
                        </w:tc>
                      </w:tr>
                      <w:tr w:rsidR="00A0212B" w:rsidRPr="00E15123" w14:paraId="0F974270" w14:textId="77777777" w:rsidTr="0071716B">
                        <w:trPr>
                          <w:cantSplit/>
                          <w:trHeight w:val="369"/>
                          <w:jc w:val="center"/>
                        </w:trPr>
                        <w:tc>
                          <w:tcPr>
                            <w:tcW w:w="967" w:type="dxa"/>
                            <w:vAlign w:val="center"/>
                          </w:tcPr>
                          <w:p w14:paraId="0AED7B88"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110.03.19</w:t>
                            </w:r>
                          </w:p>
                        </w:tc>
                        <w:tc>
                          <w:tcPr>
                            <w:tcW w:w="2693" w:type="dxa"/>
                            <w:vAlign w:val="center"/>
                          </w:tcPr>
                          <w:p w14:paraId="53A8D8F0"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Pr>
                                <w:rFonts w:ascii="標楷體" w:eastAsia="標楷體" w:hAnsi="標楷體" w:hint="eastAsia"/>
                                <w:bCs/>
                                <w:snapToGrid w:val="0"/>
                                <w:kern w:val="0"/>
                                <w:sz w:val="20"/>
                              </w:rPr>
                              <w:t>第</w:t>
                            </w:r>
                            <w:r>
                              <w:rPr>
                                <w:rFonts w:ascii="標楷體" w:eastAsia="標楷體" w:hAnsi="標楷體"/>
                                <w:bCs/>
                                <w:snapToGrid w:val="0"/>
                                <w:kern w:val="0"/>
                                <w:sz w:val="20"/>
                              </w:rPr>
                              <w:t>4</w:t>
                            </w:r>
                            <w:r>
                              <w:rPr>
                                <w:rFonts w:ascii="標楷體" w:eastAsia="標楷體" w:hAnsi="標楷體" w:hint="eastAsia"/>
                                <w:bCs/>
                                <w:snapToGrid w:val="0"/>
                                <w:kern w:val="0"/>
                                <w:sz w:val="20"/>
                              </w:rPr>
                              <w:t>次</w:t>
                            </w:r>
                            <w:r w:rsidRPr="00897709">
                              <w:rPr>
                                <w:rFonts w:ascii="標楷體" w:eastAsia="標楷體" w:hAnsi="標楷體" w:hint="eastAsia"/>
                                <w:bCs/>
                                <w:snapToGrid w:val="0"/>
                                <w:kern w:val="0"/>
                                <w:sz w:val="20"/>
                              </w:rPr>
                              <w:t>提報計畫</w:t>
                            </w:r>
                          </w:p>
                        </w:tc>
                      </w:tr>
                      <w:tr w:rsidR="00A0212B" w:rsidRPr="00E15123" w14:paraId="37B88EE5" w14:textId="77777777" w:rsidTr="0071716B">
                        <w:trPr>
                          <w:cantSplit/>
                          <w:trHeight w:val="369"/>
                          <w:jc w:val="center"/>
                        </w:trPr>
                        <w:tc>
                          <w:tcPr>
                            <w:tcW w:w="967" w:type="dxa"/>
                            <w:vAlign w:val="center"/>
                          </w:tcPr>
                          <w:p w14:paraId="38DC6E99"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112.01.04</w:t>
                            </w:r>
                          </w:p>
                        </w:tc>
                        <w:tc>
                          <w:tcPr>
                            <w:tcW w:w="2693" w:type="dxa"/>
                            <w:vAlign w:val="center"/>
                          </w:tcPr>
                          <w:p w14:paraId="7B8BA7FD"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w:t>
                            </w:r>
                            <w:r w:rsidRPr="00B075B2">
                              <w:rPr>
                                <w:rFonts w:ascii="標楷體" w:eastAsia="標楷體" w:hAnsi="標楷體" w:hint="eastAsia"/>
                                <w:bCs/>
                                <w:snapToGrid w:val="0"/>
                                <w:kern w:val="0"/>
                                <w:sz w:val="20"/>
                              </w:rPr>
                              <w:t>秘書長</w:t>
                            </w:r>
                            <w:r w:rsidRPr="00897709">
                              <w:rPr>
                                <w:rFonts w:ascii="標楷體" w:eastAsia="標楷體" w:hAnsi="標楷體" w:hint="eastAsia"/>
                                <w:bCs/>
                                <w:snapToGrid w:val="0"/>
                                <w:kern w:val="0"/>
                                <w:sz w:val="20"/>
                              </w:rPr>
                              <w:t>函請修正計畫</w:t>
                            </w:r>
                          </w:p>
                        </w:tc>
                      </w:tr>
                      <w:tr w:rsidR="00A0212B" w14:paraId="526FCC56" w14:textId="77777777" w:rsidTr="0071716B">
                        <w:trPr>
                          <w:cantSplit/>
                          <w:trHeight w:val="369"/>
                          <w:jc w:val="center"/>
                        </w:trPr>
                        <w:tc>
                          <w:tcPr>
                            <w:tcW w:w="967" w:type="dxa"/>
                            <w:tcBorders>
                              <w:bottom w:val="single" w:sz="4" w:space="0" w:color="auto"/>
                            </w:tcBorders>
                            <w:vAlign w:val="center"/>
                          </w:tcPr>
                          <w:p w14:paraId="3E4EB5F1"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bCs/>
                                <w:snapToGrid w:val="0"/>
                                <w:spacing w:val="-10"/>
                                <w:kern w:val="0"/>
                                <w:sz w:val="20"/>
                              </w:rPr>
                              <w:t>112.08.25</w:t>
                            </w:r>
                          </w:p>
                        </w:tc>
                        <w:tc>
                          <w:tcPr>
                            <w:tcW w:w="2693" w:type="dxa"/>
                            <w:tcBorders>
                              <w:bottom w:val="single" w:sz="4" w:space="0" w:color="auto"/>
                            </w:tcBorders>
                            <w:vAlign w:val="center"/>
                          </w:tcPr>
                          <w:p w14:paraId="6CA6B4B7"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函報行政院暫緩計畫推動</w:t>
                            </w:r>
                          </w:p>
                        </w:tc>
                      </w:tr>
                      <w:tr w:rsidR="00A0212B" w14:paraId="309E4526" w14:textId="77777777" w:rsidTr="0071716B">
                        <w:trPr>
                          <w:cantSplit/>
                          <w:trHeight w:val="369"/>
                          <w:jc w:val="center"/>
                        </w:trPr>
                        <w:tc>
                          <w:tcPr>
                            <w:tcW w:w="967" w:type="dxa"/>
                            <w:tcBorders>
                              <w:bottom w:val="single" w:sz="4" w:space="0" w:color="auto"/>
                            </w:tcBorders>
                            <w:vAlign w:val="center"/>
                          </w:tcPr>
                          <w:p w14:paraId="25FEE2D3" w14:textId="77777777" w:rsidR="00A0212B" w:rsidRPr="000432F8"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30" w:left="-72" w:rightChars="-20" w:right="-48"/>
                              <w:jc w:val="center"/>
                              <w:outlineLvl w:val="0"/>
                              <w:rPr>
                                <w:rFonts w:ascii="標楷體" w:eastAsia="標楷體" w:hAnsi="標楷體"/>
                                <w:bCs/>
                                <w:snapToGrid w:val="0"/>
                                <w:spacing w:val="-10"/>
                                <w:kern w:val="0"/>
                                <w:sz w:val="20"/>
                              </w:rPr>
                            </w:pPr>
                            <w:r w:rsidRPr="000432F8">
                              <w:rPr>
                                <w:rFonts w:ascii="標楷體" w:eastAsia="標楷體" w:hAnsi="標楷體" w:hint="eastAsia"/>
                                <w:bCs/>
                                <w:snapToGrid w:val="0"/>
                                <w:spacing w:val="-10"/>
                                <w:kern w:val="0"/>
                                <w:sz w:val="20"/>
                              </w:rPr>
                              <w:t>1</w:t>
                            </w:r>
                            <w:r w:rsidRPr="000432F8">
                              <w:rPr>
                                <w:rFonts w:ascii="標楷體" w:eastAsia="標楷體" w:hAnsi="標楷體"/>
                                <w:bCs/>
                                <w:snapToGrid w:val="0"/>
                                <w:spacing w:val="-10"/>
                                <w:kern w:val="0"/>
                                <w:sz w:val="20"/>
                              </w:rPr>
                              <w:t>12.10.20</w:t>
                            </w:r>
                          </w:p>
                        </w:tc>
                        <w:tc>
                          <w:tcPr>
                            <w:tcW w:w="2693" w:type="dxa"/>
                            <w:tcBorders>
                              <w:bottom w:val="single" w:sz="4" w:space="0" w:color="auto"/>
                            </w:tcBorders>
                            <w:vAlign w:val="center"/>
                          </w:tcPr>
                          <w:p w14:paraId="3E507B7D" w14:textId="77777777" w:rsidR="00A0212B" w:rsidRPr="00897709"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jc w:val="both"/>
                              <w:outlineLvl w:val="0"/>
                              <w:rPr>
                                <w:rFonts w:ascii="標楷體" w:eastAsia="標楷體" w:hAnsi="標楷體"/>
                                <w:bCs/>
                                <w:snapToGrid w:val="0"/>
                                <w:kern w:val="0"/>
                                <w:sz w:val="20"/>
                              </w:rPr>
                            </w:pPr>
                            <w:r w:rsidRPr="00897709">
                              <w:rPr>
                                <w:rFonts w:ascii="標楷體" w:eastAsia="標楷體" w:hAnsi="標楷體" w:hint="eastAsia"/>
                                <w:bCs/>
                                <w:snapToGrid w:val="0"/>
                                <w:kern w:val="0"/>
                                <w:sz w:val="20"/>
                              </w:rPr>
                              <w:t>行政院同意暫緩計畫推動</w:t>
                            </w:r>
                          </w:p>
                        </w:tc>
                      </w:tr>
                      <w:tr w:rsidR="00A0212B" w14:paraId="318859D0" w14:textId="77777777" w:rsidTr="0071716B">
                        <w:trPr>
                          <w:cantSplit/>
                          <w:trHeight w:val="177"/>
                          <w:jc w:val="center"/>
                        </w:trPr>
                        <w:tc>
                          <w:tcPr>
                            <w:tcW w:w="3660" w:type="dxa"/>
                            <w:gridSpan w:val="2"/>
                            <w:tcBorders>
                              <w:left w:val="nil"/>
                              <w:bottom w:val="nil"/>
                              <w:right w:val="nil"/>
                            </w:tcBorders>
                            <w:vAlign w:val="center"/>
                          </w:tcPr>
                          <w:p w14:paraId="42CF9B5F" w14:textId="77777777" w:rsidR="00A0212B" w:rsidRPr="0005527C" w:rsidRDefault="00A0212B" w:rsidP="0071716B">
                            <w:pPr>
                              <w:tabs>
                                <w:tab w:val="left" w:pos="480"/>
                                <w:tab w:val="left" w:pos="960"/>
                                <w:tab w:val="left" w:pos="1320"/>
                                <w:tab w:val="left" w:pos="1680"/>
                                <w:tab w:val="left" w:pos="2040"/>
                                <w:tab w:val="left" w:pos="2520"/>
                              </w:tabs>
                              <w:overflowPunct w:val="0"/>
                              <w:autoSpaceDE w:val="0"/>
                              <w:autoSpaceDN w:val="0"/>
                              <w:snapToGrid w:val="0"/>
                              <w:spacing w:line="240" w:lineRule="exact"/>
                              <w:ind w:leftChars="-50" w:left="735" w:hangingChars="475" w:hanging="855"/>
                              <w:jc w:val="both"/>
                              <w:outlineLvl w:val="0"/>
                              <w:rPr>
                                <w:rFonts w:ascii="標楷體" w:eastAsia="標楷體" w:hAnsi="標楷體"/>
                                <w:bCs/>
                                <w:snapToGrid w:val="0"/>
                                <w:sz w:val="18"/>
                                <w:szCs w:val="18"/>
                              </w:rPr>
                            </w:pPr>
                            <w:r w:rsidRPr="0005527C">
                              <w:rPr>
                                <w:rFonts w:ascii="標楷體" w:eastAsia="標楷體" w:hAnsi="標楷體" w:hint="eastAsia"/>
                                <w:bCs/>
                                <w:snapToGrid w:val="0"/>
                                <w:sz w:val="18"/>
                                <w:szCs w:val="18"/>
                              </w:rPr>
                              <w:t>資料來源：整理自</w:t>
                            </w:r>
                            <w:r w:rsidRPr="009B7EC1">
                              <w:rPr>
                                <w:rFonts w:ascii="標楷體" w:eastAsia="標楷體" w:hAnsi="標楷體" w:hint="eastAsia"/>
                                <w:bCs/>
                                <w:snapToGrid w:val="0"/>
                                <w:sz w:val="18"/>
                                <w:szCs w:val="18"/>
                              </w:rPr>
                              <w:t>國家運輸安全調查委員會</w:t>
                            </w:r>
                            <w:r w:rsidRPr="0005527C">
                              <w:rPr>
                                <w:rFonts w:ascii="標楷體" w:eastAsia="標楷體" w:hAnsi="標楷體" w:hint="eastAsia"/>
                                <w:bCs/>
                                <w:snapToGrid w:val="0"/>
                                <w:sz w:val="18"/>
                                <w:szCs w:val="18"/>
                              </w:rPr>
                              <w:t>提供資料。</w:t>
                            </w:r>
                          </w:p>
                        </w:tc>
                      </w:tr>
                    </w:tbl>
                    <w:p w14:paraId="56EA5348" w14:textId="77777777" w:rsidR="00A0212B" w:rsidRPr="000432F8" w:rsidRDefault="00A0212B" w:rsidP="0071716B"/>
                  </w:txbxContent>
                </v:textbox>
                <w10:wrap type="tight"/>
              </v:shape>
            </w:pict>
          </mc:Fallback>
        </mc:AlternateContent>
      </w:r>
      <w:r w:rsidRPr="001C3963">
        <w:rPr>
          <w:rFonts w:ascii="標楷體" w:eastAsia="標楷體" w:hAnsi="標楷體" w:hint="eastAsia"/>
          <w:bCs/>
          <w:noProof/>
          <w:color w:val="000000"/>
        </w:rPr>
        <w:t>行政院為強化我國運輸安全機制，避免重大運輸事故發生，前飛航安全調查委員會（下稱前飛安會）於108年8月1日改制成立國家運輸安全調查委員會，調查範圍由航空擴及水路、鐵道及公路，專職負責重大運輸事故調查及肇因鑑定。前飛安會考量現有辦公廳舍空間不足，重大運輸事故關鍵證物檢測僅能於事故現場或現有實驗室辦理，無足夠空間進行具規模或複雜度較高之檢測與鑑定分析，爰於108年5月8日提報「新建國家運安工程中心暨安全教育訓練館實施計畫書」陳請行政院核定，惟未規劃整體計畫所需經費及建物總樓地板面積，又因計畫先期作業未盡周延，且未確依行政院與國家發展委員會等會審機關審議意見檢討，自108年5月至110年3月間歷經4度提報計畫，並修正計畫名稱為「國家運安工程研究中心建置計畫」，均未確實針對囑辦及待釐清事項研修計畫內容，經行政院於</w:t>
      </w:r>
      <w:r w:rsidRPr="001C3963">
        <w:rPr>
          <w:rFonts w:ascii="標楷體" w:eastAsia="標楷體" w:hAnsi="標楷體"/>
          <w:bCs/>
          <w:noProof/>
          <w:color w:val="000000"/>
        </w:rPr>
        <w:t>112</w:t>
      </w:r>
      <w:r w:rsidRPr="001C3963">
        <w:rPr>
          <w:rFonts w:ascii="標楷體" w:eastAsia="標楷體" w:hAnsi="標楷體" w:hint="eastAsia"/>
          <w:bCs/>
          <w:noProof/>
          <w:color w:val="000000"/>
        </w:rPr>
        <w:t>年</w:t>
      </w:r>
      <w:r w:rsidRPr="001C3963">
        <w:rPr>
          <w:rFonts w:ascii="標楷體" w:eastAsia="標楷體" w:hAnsi="標楷體"/>
          <w:bCs/>
          <w:noProof/>
          <w:color w:val="000000"/>
        </w:rPr>
        <w:t>1</w:t>
      </w:r>
      <w:r w:rsidRPr="001C3963">
        <w:rPr>
          <w:rFonts w:ascii="標楷體" w:eastAsia="標楷體" w:hAnsi="標楷體" w:hint="eastAsia"/>
          <w:bCs/>
          <w:noProof/>
          <w:color w:val="000000"/>
        </w:rPr>
        <w:t>月再函請重新檢討，然國家運輸安全調查委員會於</w:t>
      </w:r>
      <w:r w:rsidRPr="001C3963">
        <w:rPr>
          <w:rFonts w:ascii="標楷體" w:eastAsia="標楷體" w:hAnsi="標楷體"/>
          <w:bCs/>
          <w:noProof/>
          <w:color w:val="000000"/>
        </w:rPr>
        <w:t>112</w:t>
      </w:r>
      <w:r w:rsidRPr="001C3963">
        <w:rPr>
          <w:rFonts w:ascii="標楷體" w:eastAsia="標楷體" w:hAnsi="標楷體" w:hint="eastAsia"/>
          <w:bCs/>
          <w:noProof/>
          <w:color w:val="000000"/>
        </w:rPr>
        <w:t>年</w:t>
      </w:r>
      <w:r w:rsidRPr="001C3963">
        <w:rPr>
          <w:rFonts w:ascii="標楷體" w:eastAsia="標楷體" w:hAnsi="標楷體"/>
          <w:bCs/>
          <w:noProof/>
          <w:color w:val="000000"/>
        </w:rPr>
        <w:t>8</w:t>
      </w:r>
      <w:r w:rsidRPr="001C3963">
        <w:rPr>
          <w:rFonts w:ascii="標楷體" w:eastAsia="標楷體" w:hAnsi="標楷體" w:hint="eastAsia"/>
          <w:bCs/>
          <w:noProof/>
          <w:color w:val="000000"/>
        </w:rPr>
        <w:t>月以提報計畫作業已逾</w:t>
      </w:r>
      <w:r w:rsidRPr="001C3963">
        <w:rPr>
          <w:rFonts w:ascii="標楷體" w:eastAsia="標楷體" w:hAnsi="標楷體"/>
          <w:bCs/>
          <w:noProof/>
          <w:color w:val="000000"/>
        </w:rPr>
        <w:t>4</w:t>
      </w:r>
      <w:r w:rsidRPr="001C3963">
        <w:rPr>
          <w:rFonts w:ascii="標楷體" w:eastAsia="標楷體" w:hAnsi="標楷體" w:hint="eastAsia"/>
          <w:bCs/>
          <w:noProof/>
          <w:color w:val="000000"/>
        </w:rPr>
        <w:t>年，國內事故調查技術量能及營建環境變化，原計畫已較不具效益</w:t>
      </w:r>
      <w:r w:rsidR="00A737C4">
        <w:rPr>
          <w:rFonts w:ascii="標楷體" w:eastAsia="標楷體" w:hAnsi="標楷體" w:hint="eastAsia"/>
          <w:bCs/>
          <w:noProof/>
          <w:color w:val="000000"/>
        </w:rPr>
        <w:t>為由</w:t>
      </w:r>
      <w:r w:rsidRPr="001C3963">
        <w:rPr>
          <w:rFonts w:ascii="標楷體" w:eastAsia="標楷體" w:hAnsi="標楷體" w:hint="eastAsia"/>
          <w:bCs/>
          <w:noProof/>
          <w:color w:val="000000"/>
        </w:rPr>
        <w:t>，報請行政院同意暫緩推動，案經行政院於</w:t>
      </w:r>
      <w:r w:rsidRPr="001C3963">
        <w:rPr>
          <w:rFonts w:ascii="標楷體" w:eastAsia="標楷體" w:hAnsi="標楷體"/>
          <w:bCs/>
          <w:noProof/>
          <w:color w:val="000000"/>
        </w:rPr>
        <w:t>112</w:t>
      </w:r>
      <w:r w:rsidRPr="001C3963">
        <w:rPr>
          <w:rFonts w:ascii="標楷體" w:eastAsia="標楷體" w:hAnsi="標楷體" w:hint="eastAsia"/>
          <w:bCs/>
          <w:noProof/>
          <w:color w:val="000000"/>
        </w:rPr>
        <w:t>年</w:t>
      </w:r>
      <w:r w:rsidRPr="001C3963">
        <w:rPr>
          <w:rFonts w:ascii="標楷體" w:eastAsia="標楷體" w:hAnsi="標楷體"/>
          <w:bCs/>
          <w:noProof/>
          <w:color w:val="000000"/>
        </w:rPr>
        <w:t>10</w:t>
      </w:r>
      <w:r w:rsidRPr="001C3963">
        <w:rPr>
          <w:rFonts w:ascii="標楷體" w:eastAsia="標楷體" w:hAnsi="標楷體" w:hint="eastAsia"/>
          <w:bCs/>
          <w:noProof/>
          <w:color w:val="000000"/>
        </w:rPr>
        <w:t>月函復同意暫緩興建（</w:t>
      </w:r>
      <w:r w:rsidRPr="00463203">
        <w:rPr>
          <w:rFonts w:ascii="標楷體" w:eastAsia="標楷體" w:hAnsi="標楷體" w:hint="eastAsia"/>
          <w:bCs/>
          <w:noProof/>
          <w:color w:val="000000"/>
        </w:rPr>
        <w:t>表</w:t>
      </w:r>
      <w:r w:rsidR="00625C99" w:rsidRPr="00463203">
        <w:rPr>
          <w:rFonts w:ascii="標楷體" w:eastAsia="標楷體" w:hAnsi="標楷體" w:hint="eastAsia"/>
          <w:bCs/>
          <w:noProof/>
          <w:color w:val="000000"/>
        </w:rPr>
        <w:t>4</w:t>
      </w:r>
      <w:r w:rsidR="009821F7" w:rsidRPr="00463203">
        <w:rPr>
          <w:rFonts w:ascii="標楷體" w:eastAsia="標楷體" w:hAnsi="標楷體" w:hint="eastAsia"/>
          <w:bCs/>
          <w:noProof/>
          <w:color w:val="000000"/>
        </w:rPr>
        <w:t>0</w:t>
      </w:r>
      <w:r w:rsidRPr="001C3963">
        <w:rPr>
          <w:rFonts w:ascii="標楷體" w:eastAsia="標楷體" w:hAnsi="標楷體" w:hint="eastAsia"/>
          <w:bCs/>
          <w:noProof/>
          <w:color w:val="000000"/>
        </w:rPr>
        <w:t>），原規劃專屬場地進行陸海空多模組運輸事故調查，預防運輸事故再發生等政策目的，因計畫暫緩推動</w:t>
      </w:r>
      <w:r w:rsidR="00A737C4">
        <w:rPr>
          <w:rFonts w:ascii="標楷體" w:eastAsia="標楷體" w:hAnsi="標楷體" w:hint="eastAsia"/>
          <w:bCs/>
          <w:noProof/>
          <w:color w:val="000000"/>
        </w:rPr>
        <w:t>而</w:t>
      </w:r>
      <w:r w:rsidRPr="001C3963">
        <w:rPr>
          <w:rFonts w:ascii="標楷體" w:eastAsia="標楷體" w:hAnsi="標楷體" w:hint="eastAsia"/>
          <w:bCs/>
          <w:noProof/>
          <w:color w:val="000000"/>
        </w:rPr>
        <w:t>無法達成。經查執行情形，核有：1.未審慎參酌機關資源能力，確實辦理計畫先期規劃作業，屢經行政院督促應依規定妥善研修計畫，仍未積極檢討改善及覈實修正計畫內容，影響計畫推展；2.基地選址及申請用地進度延宕，委辦先期作業一再耽延，且未確依行政院函示修正計畫內容，終致計畫暫緩辦理，原規劃計畫效益與功能無法實現等情事，經依審計法第69條第1項前段規定，於113年4月1日函請行政院督促檢討改善，並報告監察院。經行政院秘書長督促國家運輸安全調查委員會研提下列改善措施：1.已將先期規劃作業未盡周延，影響計畫推動期程等事項納入後續檢討，並據以加強計畫籌劃能力；2.已依行政院囑辦事項，規劃替代方案具體措施，將及早辦理實驗室設計規劃及預算經費申請事宜。嗣經監察院於113年6月14日函復准予備查</w:t>
      </w:r>
      <w:r>
        <w:rPr>
          <w:rFonts w:ascii="標楷體" w:eastAsia="標楷體" w:hAnsi="標楷體" w:hint="eastAsia"/>
          <w:bCs/>
          <w:noProof/>
          <w:snapToGrid w:val="0"/>
          <w:color w:val="000000"/>
          <w:kern w:val="0"/>
        </w:rPr>
        <w:t>。</w:t>
      </w:r>
    </w:p>
    <w:p w14:paraId="4D4F0B03" w14:textId="5B2130EC" w:rsidR="0071716B" w:rsidRDefault="0040696D" w:rsidP="0071716B">
      <w:pPr>
        <w:overflowPunct w:val="0"/>
        <w:spacing w:beforeLines="20" w:before="72" w:afterLines="20" w:after="72" w:line="430" w:lineRule="exact"/>
        <w:ind w:firstLineChars="200" w:firstLine="561"/>
        <w:jc w:val="both"/>
        <w:outlineLvl w:val="1"/>
        <w:rPr>
          <w:rFonts w:ascii="標楷體" w:eastAsia="標楷體" w:hAnsi="標楷體"/>
          <w:b/>
          <w:sz w:val="28"/>
          <w:szCs w:val="28"/>
        </w:rPr>
      </w:pPr>
      <w:r>
        <w:rPr>
          <w:rFonts w:ascii="標楷體" w:eastAsia="標楷體" w:hAnsi="標楷體" w:hint="eastAsia"/>
          <w:b/>
          <w:sz w:val="28"/>
          <w:szCs w:val="28"/>
        </w:rPr>
        <w:lastRenderedPageBreak/>
        <w:t>（</w:t>
      </w:r>
      <w:r w:rsidR="0071716B">
        <w:rPr>
          <w:rFonts w:ascii="標楷體" w:eastAsia="標楷體" w:hAnsi="標楷體" w:hint="eastAsia"/>
          <w:b/>
          <w:sz w:val="28"/>
          <w:szCs w:val="28"/>
        </w:rPr>
        <w:t>三十</w:t>
      </w:r>
      <w:r w:rsidR="00781889">
        <w:rPr>
          <w:rFonts w:ascii="標楷體" w:eastAsia="標楷體" w:hAnsi="標楷體" w:hint="eastAsia"/>
          <w:b/>
          <w:sz w:val="28"/>
          <w:szCs w:val="28"/>
        </w:rPr>
        <w:t>四</w:t>
      </w:r>
      <w:r>
        <w:rPr>
          <w:rFonts w:ascii="標楷體" w:eastAsia="標楷體" w:hAnsi="標楷體" w:hint="eastAsia"/>
          <w:b/>
          <w:sz w:val="28"/>
          <w:szCs w:val="28"/>
        </w:rPr>
        <w:t>）</w:t>
      </w:r>
      <w:r w:rsidR="0071716B" w:rsidRPr="00AA7C3C">
        <w:rPr>
          <w:rFonts w:ascii="標楷體" w:eastAsia="標楷體" w:hAnsi="標楷體" w:hint="eastAsia"/>
          <w:b/>
          <w:sz w:val="28"/>
          <w:szCs w:val="28"/>
        </w:rPr>
        <w:t>各市縣鄉鎮區公所</w:t>
      </w:r>
      <w:r w:rsidR="0071716B">
        <w:rPr>
          <w:rFonts w:ascii="標楷體" w:eastAsia="標楷體" w:hAnsi="標楷體" w:hint="eastAsia"/>
          <w:b/>
          <w:sz w:val="28"/>
          <w:szCs w:val="28"/>
        </w:rPr>
        <w:t>受</w:t>
      </w:r>
      <w:r w:rsidR="0071716B" w:rsidRPr="00A34A19">
        <w:rPr>
          <w:rFonts w:ascii="標楷體" w:eastAsia="標楷體" w:hAnsi="標楷體" w:hint="eastAsia"/>
          <w:b/>
          <w:sz w:val="28"/>
          <w:szCs w:val="28"/>
        </w:rPr>
        <w:t>中央</w:t>
      </w:r>
      <w:r w:rsidR="0071716B">
        <w:rPr>
          <w:rFonts w:ascii="標楷體" w:eastAsia="標楷體" w:hAnsi="標楷體" w:hint="eastAsia"/>
          <w:b/>
          <w:sz w:val="28"/>
          <w:szCs w:val="28"/>
        </w:rPr>
        <w:t>機關</w:t>
      </w:r>
      <w:r w:rsidR="0071716B" w:rsidRPr="001E106A">
        <w:rPr>
          <w:rFonts w:ascii="標楷體" w:eastAsia="標楷體" w:hAnsi="標楷體" w:hint="eastAsia"/>
          <w:b/>
          <w:sz w:val="28"/>
          <w:szCs w:val="28"/>
        </w:rPr>
        <w:t>補助</w:t>
      </w:r>
      <w:r w:rsidR="0071716B" w:rsidRPr="00AA7C3C">
        <w:rPr>
          <w:rFonts w:ascii="標楷體" w:eastAsia="標楷體" w:hAnsi="標楷體" w:hint="eastAsia"/>
          <w:b/>
          <w:sz w:val="28"/>
          <w:szCs w:val="28"/>
        </w:rPr>
        <w:t>辦理公告金額以上工程</w:t>
      </w:r>
      <w:r w:rsidR="0071716B" w:rsidRPr="001E106A">
        <w:rPr>
          <w:rFonts w:ascii="標楷體" w:eastAsia="標楷體" w:hAnsi="標楷體" w:hint="eastAsia"/>
          <w:b/>
          <w:sz w:val="28"/>
          <w:szCs w:val="28"/>
        </w:rPr>
        <w:t>，</w:t>
      </w:r>
      <w:r w:rsidR="0071716B">
        <w:rPr>
          <w:rFonts w:ascii="標楷體" w:eastAsia="標楷體" w:hAnsi="標楷體" w:hint="eastAsia"/>
          <w:b/>
          <w:sz w:val="28"/>
          <w:szCs w:val="28"/>
        </w:rPr>
        <w:t>有助地方</w:t>
      </w:r>
      <w:r w:rsidR="0071716B" w:rsidRPr="00A34A19">
        <w:rPr>
          <w:rFonts w:ascii="標楷體" w:eastAsia="標楷體" w:hAnsi="標楷體" w:hint="eastAsia"/>
          <w:b/>
          <w:sz w:val="28"/>
          <w:szCs w:val="28"/>
        </w:rPr>
        <w:t>發展，惟</w:t>
      </w:r>
      <w:r w:rsidR="0071716B">
        <w:rPr>
          <w:rFonts w:ascii="標楷體" w:eastAsia="標楷體" w:hAnsi="標楷體" w:hint="eastAsia"/>
          <w:b/>
          <w:sz w:val="28"/>
          <w:szCs w:val="28"/>
        </w:rPr>
        <w:t>間有部分受補助機關於</w:t>
      </w:r>
      <w:r w:rsidR="0071716B" w:rsidRPr="00AA7C3C">
        <w:rPr>
          <w:rFonts w:ascii="標楷體" w:eastAsia="標楷體" w:hAnsi="標楷體" w:hint="eastAsia"/>
          <w:b/>
          <w:sz w:val="28"/>
          <w:szCs w:val="28"/>
        </w:rPr>
        <w:t>同一工址以不同提案向相同或不同之中央機關申請補助，造成短時間內拆（移）除已興建設施或</w:t>
      </w:r>
      <w:r w:rsidR="0071716B">
        <w:rPr>
          <w:rFonts w:ascii="標楷體" w:eastAsia="標楷體" w:hAnsi="標楷體" w:hint="eastAsia"/>
          <w:b/>
          <w:sz w:val="28"/>
          <w:szCs w:val="28"/>
        </w:rPr>
        <w:t>植栽，且未落實</w:t>
      </w:r>
      <w:r w:rsidR="0071716B" w:rsidRPr="000907D9">
        <w:rPr>
          <w:rFonts w:ascii="標楷體" w:eastAsia="標楷體" w:hAnsi="標楷體" w:hint="eastAsia"/>
          <w:b/>
          <w:sz w:val="28"/>
          <w:szCs w:val="28"/>
        </w:rPr>
        <w:t>財產產籍登記</w:t>
      </w:r>
      <w:r w:rsidR="0071716B" w:rsidRPr="00A34A19">
        <w:rPr>
          <w:rFonts w:ascii="標楷體" w:eastAsia="標楷體" w:hAnsi="標楷體" w:hint="eastAsia"/>
          <w:b/>
          <w:sz w:val="28"/>
          <w:szCs w:val="28"/>
        </w:rPr>
        <w:t>等情事，</w:t>
      </w:r>
      <w:r w:rsidR="00E54764">
        <w:rPr>
          <w:rFonts w:ascii="標楷體" w:eastAsia="標楷體" w:hAnsi="標楷體" w:hint="eastAsia"/>
          <w:b/>
          <w:sz w:val="28"/>
          <w:szCs w:val="28"/>
        </w:rPr>
        <w:t>允宜</w:t>
      </w:r>
      <w:r w:rsidR="0071716B">
        <w:rPr>
          <w:rFonts w:ascii="標楷體" w:eastAsia="標楷體" w:hAnsi="標楷體" w:hint="eastAsia"/>
          <w:b/>
          <w:sz w:val="28"/>
          <w:szCs w:val="28"/>
        </w:rPr>
        <w:t>督促相關機關研謀改善</w:t>
      </w:r>
      <w:r w:rsidR="0071716B" w:rsidRPr="00D0467B">
        <w:rPr>
          <w:rFonts w:ascii="標楷體" w:eastAsia="標楷體" w:hAnsi="標楷體" w:hint="eastAsia"/>
          <w:b/>
          <w:sz w:val="28"/>
          <w:szCs w:val="28"/>
        </w:rPr>
        <w:t>。</w:t>
      </w:r>
    </w:p>
    <w:p w14:paraId="6C664C73" w14:textId="268B444D" w:rsidR="0071716B" w:rsidRDefault="0071716B" w:rsidP="004D7C92">
      <w:pPr>
        <w:widowControl/>
        <w:overflowPunct w:val="0"/>
        <w:spacing w:line="460" w:lineRule="exact"/>
        <w:ind w:firstLineChars="200" w:firstLine="480"/>
        <w:jc w:val="both"/>
        <w:rPr>
          <w:rFonts w:ascii="標楷體" w:eastAsia="標楷體" w:hAnsi="標楷體"/>
          <w:snapToGrid w:val="0"/>
          <w:kern w:val="32"/>
        </w:rPr>
      </w:pPr>
      <w:r>
        <w:rPr>
          <w:rFonts w:ascii="標楷體" w:eastAsia="標楷體" w:hAnsi="標楷體" w:hint="eastAsia"/>
          <w:snapToGrid w:val="0"/>
          <w:kern w:val="32"/>
        </w:rPr>
        <w:t>據</w:t>
      </w:r>
      <w:r>
        <w:rPr>
          <w:noProof/>
        </w:rPr>
        <mc:AlternateContent>
          <mc:Choice Requires="wps">
            <w:drawing>
              <wp:anchor distT="45720" distB="45720" distL="114300" distR="114300" simplePos="0" relativeHeight="251682816" behindDoc="1" locked="0" layoutInCell="1" allowOverlap="1" wp14:anchorId="75F7F2BD" wp14:editId="5E16CBA2">
                <wp:simplePos x="0" y="0"/>
                <wp:positionH relativeFrom="margin">
                  <wp:posOffset>3211195</wp:posOffset>
                </wp:positionH>
                <wp:positionV relativeFrom="paragraph">
                  <wp:posOffset>1344930</wp:posOffset>
                </wp:positionV>
                <wp:extent cx="3041650" cy="3866515"/>
                <wp:effectExtent l="0" t="0" r="6350" b="635"/>
                <wp:wrapTight wrapText="bothSides">
                  <wp:wrapPolygon edited="0">
                    <wp:start x="0" y="0"/>
                    <wp:lineTo x="0" y="21497"/>
                    <wp:lineTo x="21510" y="21497"/>
                    <wp:lineTo x="21510" y="0"/>
                    <wp:lineTo x="0" y="0"/>
                  </wp:wrapPolygon>
                </wp:wrapTight>
                <wp:docPr id="73" name="文字方塊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0" cy="386651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6E499C2" w14:textId="4C595732" w:rsidR="00A0212B" w:rsidRDefault="00A0212B" w:rsidP="00655C95">
                            <w:pPr>
                              <w:adjustRightInd w:val="0"/>
                              <w:snapToGrid w:val="0"/>
                              <w:spacing w:line="320" w:lineRule="exact"/>
                              <w:ind w:left="769" w:rightChars="50" w:right="120" w:hangingChars="320" w:hanging="769"/>
                              <w:jc w:val="both"/>
                              <w:rPr>
                                <w:rFonts w:ascii="標楷體" w:eastAsia="標楷體" w:hAnsi="標楷體"/>
                                <w:b/>
                              </w:rPr>
                            </w:pPr>
                            <w:r w:rsidRPr="00E3746A">
                              <w:rPr>
                                <w:rFonts w:ascii="標楷體" w:eastAsia="標楷體" w:hAnsi="標楷體" w:hint="eastAsia"/>
                                <w:b/>
                              </w:rPr>
                              <w:t>圖</w:t>
                            </w:r>
                            <w:r>
                              <w:rPr>
                                <w:rFonts w:ascii="標楷體" w:eastAsia="標楷體" w:hAnsi="標楷體"/>
                                <w:b/>
                              </w:rPr>
                              <w:t>19</w:t>
                            </w:r>
                            <w:r w:rsidRPr="00E3746A">
                              <w:rPr>
                                <w:rFonts w:ascii="標楷體" w:eastAsia="標楷體" w:hAnsi="標楷體" w:hint="eastAsia"/>
                                <w:b/>
                              </w:rPr>
                              <w:t xml:space="preserve">　</w:t>
                            </w:r>
                            <w:r>
                              <w:rPr>
                                <w:rFonts w:ascii="標楷體" w:eastAsia="標楷體" w:hAnsi="標楷體" w:hint="eastAsia"/>
                                <w:b/>
                              </w:rPr>
                              <w:t>運用地理資訊系統分析各市縣鄉鎮區</w:t>
                            </w:r>
                            <w:r w:rsidRPr="00AC72E6">
                              <w:rPr>
                                <w:rFonts w:ascii="標楷體" w:eastAsia="標楷體" w:hAnsi="標楷體" w:hint="eastAsia"/>
                                <w:b/>
                              </w:rPr>
                              <w:t>公所50</w:t>
                            </w:r>
                            <w:r>
                              <w:rPr>
                                <w:rFonts w:ascii="標楷體" w:eastAsia="標楷體" w:hAnsi="標楷體" w:hint="eastAsia"/>
                                <w:b/>
                              </w:rPr>
                              <w:t>公尺內</w:t>
                            </w:r>
                            <w:r w:rsidRPr="00AC72E6">
                              <w:rPr>
                                <w:rFonts w:ascii="標楷體" w:eastAsia="標楷體" w:hAnsi="標楷體" w:hint="eastAsia"/>
                                <w:b/>
                              </w:rPr>
                              <w:t>工程</w:t>
                            </w:r>
                            <w:r>
                              <w:rPr>
                                <w:rFonts w:ascii="標楷體" w:eastAsia="標楷體" w:hAnsi="標楷體" w:hint="eastAsia"/>
                                <w:b/>
                              </w:rPr>
                              <w:t>之熱力圖</w:t>
                            </w:r>
                          </w:p>
                          <w:p w14:paraId="1AEB878A" w14:textId="5FAF2CE3" w:rsidR="00A0212B" w:rsidRDefault="00A0212B" w:rsidP="0071716B">
                            <w:pPr>
                              <w:adjustRightInd w:val="0"/>
                              <w:snapToGrid w:val="0"/>
                              <w:ind w:left="708" w:hangingChars="295" w:hanging="708"/>
                              <w:jc w:val="center"/>
                              <w:rPr>
                                <w:rFonts w:ascii="標楷體" w:eastAsia="標楷體" w:hAnsi="標楷體"/>
                                <w:b/>
                              </w:rPr>
                            </w:pPr>
                            <w:r w:rsidRPr="006163BD">
                              <w:rPr>
                                <w:noProof/>
                              </w:rPr>
                              <w:drawing>
                                <wp:inline distT="0" distB="0" distL="0" distR="0" wp14:anchorId="44283E23" wp14:editId="29D15B7A">
                                  <wp:extent cx="2854325" cy="3165475"/>
                                  <wp:effectExtent l="0" t="0" r="0" b="0"/>
                                  <wp:docPr id="72" name="圖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4325" cy="3165475"/>
                                          </a:xfrm>
                                          <a:prstGeom prst="rect">
                                            <a:avLst/>
                                          </a:prstGeom>
                                          <a:noFill/>
                                          <a:ln>
                                            <a:noFill/>
                                          </a:ln>
                                        </pic:spPr>
                                      </pic:pic>
                                    </a:graphicData>
                                  </a:graphic>
                                </wp:inline>
                              </w:drawing>
                            </w:r>
                          </w:p>
                          <w:p w14:paraId="58BB675D" w14:textId="77777777" w:rsidR="00A0212B" w:rsidRDefault="00A0212B" w:rsidP="0071716B">
                            <w:pPr>
                              <w:adjustRightInd w:val="0"/>
                              <w:snapToGrid w:val="0"/>
                              <w:ind w:left="531" w:hangingChars="295" w:hanging="531"/>
                            </w:pPr>
                            <w:r w:rsidRPr="00841F95">
                              <w:rPr>
                                <w:rFonts w:ascii="標楷體" w:eastAsia="標楷體" w:hAnsi="標楷體" w:hint="eastAsia"/>
                                <w:sz w:val="18"/>
                                <w:szCs w:val="18"/>
                              </w:rPr>
                              <w:t>資料來源：本部自行繪製。</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5F7F2BD" id="文字方塊 73" o:spid="_x0000_s1127" type="#_x0000_t202" style="position:absolute;left:0;text-align:left;margin-left:252.85pt;margin-top:105.9pt;width:239.5pt;height:304.45pt;z-index:-251633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" stroked="f">
                <v:textbox>
                  <w:txbxContent>
                    <w:p w14:paraId="56E499C2" w14:textId="4C595732" w:rsidR="00A0212B" w:rsidRDefault="00A0212B" w:rsidP="00655C95">
                      <w:pPr>
                        <w:adjustRightInd w:val="0"/>
                        <w:snapToGrid w:val="0"/>
                        <w:spacing w:line="320" w:lineRule="exact"/>
                        <w:ind w:left="769" w:rightChars="50" w:right="120" w:hangingChars="320" w:hanging="769"/>
                        <w:jc w:val="both"/>
                        <w:rPr>
                          <w:rFonts w:ascii="標楷體" w:eastAsia="標楷體" w:hAnsi="標楷體"/>
                          <w:b/>
                        </w:rPr>
                      </w:pPr>
                      <w:r w:rsidRPr="00E3746A">
                        <w:rPr>
                          <w:rFonts w:ascii="標楷體" w:eastAsia="標楷體" w:hAnsi="標楷體" w:hint="eastAsia"/>
                          <w:b/>
                        </w:rPr>
                        <w:t>圖</w:t>
                      </w:r>
                      <w:r>
                        <w:rPr>
                          <w:rFonts w:ascii="標楷體" w:eastAsia="標楷體" w:hAnsi="標楷體"/>
                          <w:b/>
                        </w:rPr>
                        <w:t>19</w:t>
                      </w:r>
                      <w:r w:rsidRPr="00E3746A">
                        <w:rPr>
                          <w:rFonts w:ascii="標楷體" w:eastAsia="標楷體" w:hAnsi="標楷體" w:hint="eastAsia"/>
                          <w:b/>
                        </w:rPr>
                        <w:t xml:space="preserve">　</w:t>
                      </w:r>
                      <w:r>
                        <w:rPr>
                          <w:rFonts w:ascii="標楷體" w:eastAsia="標楷體" w:hAnsi="標楷體" w:hint="eastAsia"/>
                          <w:b/>
                        </w:rPr>
                        <w:t>運用地理資訊系統分析各市縣鄉鎮區</w:t>
                      </w:r>
                      <w:r w:rsidRPr="00AC72E6">
                        <w:rPr>
                          <w:rFonts w:ascii="標楷體" w:eastAsia="標楷體" w:hAnsi="標楷體" w:hint="eastAsia"/>
                          <w:b/>
                        </w:rPr>
                        <w:t>公所50</w:t>
                      </w:r>
                      <w:r>
                        <w:rPr>
                          <w:rFonts w:ascii="標楷體" w:eastAsia="標楷體" w:hAnsi="標楷體" w:hint="eastAsia"/>
                          <w:b/>
                        </w:rPr>
                        <w:t>公尺內</w:t>
                      </w:r>
                      <w:r w:rsidRPr="00AC72E6">
                        <w:rPr>
                          <w:rFonts w:ascii="標楷體" w:eastAsia="標楷體" w:hAnsi="標楷體" w:hint="eastAsia"/>
                          <w:b/>
                        </w:rPr>
                        <w:t>工程</w:t>
                      </w:r>
                      <w:r>
                        <w:rPr>
                          <w:rFonts w:ascii="標楷體" w:eastAsia="標楷體" w:hAnsi="標楷體" w:hint="eastAsia"/>
                          <w:b/>
                        </w:rPr>
                        <w:t>之熱力圖</w:t>
                      </w:r>
                    </w:p>
                    <w:p w14:paraId="1AEB878A" w14:textId="5FAF2CE3" w:rsidR="00A0212B" w:rsidRDefault="00A0212B" w:rsidP="0071716B">
                      <w:pPr>
                        <w:adjustRightInd w:val="0"/>
                        <w:snapToGrid w:val="0"/>
                        <w:ind w:left="708" w:hangingChars="295" w:hanging="708"/>
                        <w:jc w:val="center"/>
                        <w:rPr>
                          <w:rFonts w:ascii="標楷體" w:eastAsia="標楷體" w:hAnsi="標楷體"/>
                          <w:b/>
                        </w:rPr>
                      </w:pPr>
                      <w:r w:rsidRPr="006163BD">
                        <w:rPr>
                          <w:noProof/>
                        </w:rPr>
                        <w:drawing>
                          <wp:inline distT="0" distB="0" distL="0" distR="0" wp14:anchorId="44283E23" wp14:editId="29D15B7A">
                            <wp:extent cx="2854325" cy="3165475"/>
                            <wp:effectExtent l="0" t="0" r="0" b="0"/>
                            <wp:docPr id="72" name="圖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4325" cy="3165475"/>
                                    </a:xfrm>
                                    <a:prstGeom prst="rect">
                                      <a:avLst/>
                                    </a:prstGeom>
                                    <a:noFill/>
                                    <a:ln>
                                      <a:noFill/>
                                    </a:ln>
                                  </pic:spPr>
                                </pic:pic>
                              </a:graphicData>
                            </a:graphic>
                          </wp:inline>
                        </w:drawing>
                      </w:r>
                    </w:p>
                    <w:p w14:paraId="58BB675D" w14:textId="77777777" w:rsidR="00A0212B" w:rsidRDefault="00A0212B" w:rsidP="0071716B">
                      <w:pPr>
                        <w:adjustRightInd w:val="0"/>
                        <w:snapToGrid w:val="0"/>
                        <w:ind w:left="531" w:hangingChars="295" w:hanging="531"/>
                      </w:pPr>
                      <w:r w:rsidRPr="00841F95">
                        <w:rPr>
                          <w:rFonts w:ascii="標楷體" w:eastAsia="標楷體" w:hAnsi="標楷體" w:hint="eastAsia"/>
                          <w:sz w:val="18"/>
                          <w:szCs w:val="18"/>
                        </w:rPr>
                        <w:t>資料來源：本部自行繪製。</w:t>
                      </w:r>
                    </w:p>
                  </w:txbxContent>
                </v:textbox>
                <w10:wrap type="tight" anchorx="margin"/>
              </v:shape>
            </w:pict>
          </mc:Fallback>
        </mc:AlternateContent>
      </w:r>
      <w:r>
        <w:rPr>
          <w:rFonts w:ascii="標楷體" w:eastAsia="標楷體" w:hAnsi="標楷體" w:hint="eastAsia"/>
          <w:snapToGrid w:val="0"/>
          <w:kern w:val="32"/>
        </w:rPr>
        <w:t>行政院公共工程委員會</w:t>
      </w:r>
      <w:r w:rsidRPr="00107322">
        <w:rPr>
          <w:rFonts w:ascii="標楷體" w:eastAsia="標楷體" w:hAnsi="標楷體" w:hint="eastAsia"/>
          <w:snapToGrid w:val="0"/>
          <w:kern w:val="32"/>
        </w:rPr>
        <w:t>公共工程雲端服務網</w:t>
      </w:r>
      <w:r>
        <w:rPr>
          <w:rFonts w:ascii="標楷體" w:eastAsia="標楷體" w:hAnsi="標楷體" w:hint="eastAsia"/>
          <w:snapToGrid w:val="0"/>
          <w:kern w:val="32"/>
        </w:rPr>
        <w:t>資料</w:t>
      </w:r>
      <w:r w:rsidRPr="00107322">
        <w:rPr>
          <w:rFonts w:ascii="標楷體" w:eastAsia="標楷體" w:hAnsi="標楷體" w:hint="eastAsia"/>
          <w:snapToGrid w:val="0"/>
          <w:kern w:val="32"/>
        </w:rPr>
        <w:t>，各機關於100年</w:t>
      </w:r>
      <w:r>
        <w:rPr>
          <w:rFonts w:ascii="標楷體" w:eastAsia="標楷體" w:hAnsi="標楷體" w:hint="eastAsia"/>
          <w:snapToGrid w:val="0"/>
          <w:kern w:val="32"/>
        </w:rPr>
        <w:t>度</w:t>
      </w:r>
      <w:r w:rsidRPr="00107322">
        <w:rPr>
          <w:rFonts w:ascii="標楷體" w:eastAsia="標楷體" w:hAnsi="標楷體" w:hint="eastAsia"/>
          <w:snapToGrid w:val="0"/>
          <w:kern w:val="32"/>
        </w:rPr>
        <w:t>至112年8月</w:t>
      </w:r>
      <w:r>
        <w:rPr>
          <w:rFonts w:ascii="標楷體" w:eastAsia="標楷體" w:hAnsi="標楷體" w:hint="eastAsia"/>
          <w:snapToGrid w:val="0"/>
          <w:kern w:val="32"/>
        </w:rPr>
        <w:t>底</w:t>
      </w:r>
      <w:r w:rsidRPr="00107322">
        <w:rPr>
          <w:rFonts w:ascii="標楷體" w:eastAsia="標楷體" w:hAnsi="標楷體" w:hint="eastAsia"/>
          <w:snapToGrid w:val="0"/>
          <w:kern w:val="32"/>
        </w:rPr>
        <w:t>公告金額以上工程</w:t>
      </w:r>
      <w:r>
        <w:rPr>
          <w:rFonts w:ascii="標楷體" w:eastAsia="標楷體" w:hAnsi="標楷體" w:hint="eastAsia"/>
          <w:snapToGrid w:val="0"/>
          <w:kern w:val="32"/>
        </w:rPr>
        <w:t>採購案，</w:t>
      </w:r>
      <w:r w:rsidRPr="00107322">
        <w:rPr>
          <w:rFonts w:ascii="標楷體" w:eastAsia="標楷體" w:hAnsi="標楷體" w:hint="eastAsia"/>
          <w:snapToGrid w:val="0"/>
          <w:kern w:val="32"/>
        </w:rPr>
        <w:t>計32萬餘件</w:t>
      </w:r>
      <w:r>
        <w:rPr>
          <w:rFonts w:ascii="標楷體" w:eastAsia="標楷體" w:hAnsi="標楷體" w:hint="eastAsia"/>
          <w:snapToGrid w:val="0"/>
          <w:kern w:val="32"/>
        </w:rPr>
        <w:t>，其中</w:t>
      </w:r>
      <w:r w:rsidRPr="002409FB">
        <w:rPr>
          <w:rFonts w:ascii="標楷體" w:eastAsia="標楷體" w:hAnsi="標楷體" w:hint="eastAsia"/>
          <w:snapToGrid w:val="0"/>
          <w:kern w:val="32"/>
        </w:rPr>
        <w:t>各市縣鄉鎮區公所</w:t>
      </w:r>
      <w:r>
        <w:rPr>
          <w:rFonts w:ascii="標楷體" w:eastAsia="標楷體" w:hAnsi="標楷體" w:hint="eastAsia"/>
          <w:snapToGrid w:val="0"/>
          <w:kern w:val="32"/>
        </w:rPr>
        <w:t>辦理之部分工程，預算來源屬中央補助經費。經查</w:t>
      </w:r>
      <w:r w:rsidRPr="00F5540A">
        <w:rPr>
          <w:rFonts w:ascii="標楷體" w:eastAsia="標楷體" w:hAnsi="標楷體" w:hint="eastAsia"/>
          <w:snapToGrid w:val="0"/>
          <w:kern w:val="32"/>
        </w:rPr>
        <w:t>各市縣鄉鎮區公所受中央機關補助辦理公告金額以上工程</w:t>
      </w:r>
      <w:r>
        <w:rPr>
          <w:rFonts w:ascii="標楷體" w:eastAsia="標楷體" w:hAnsi="標楷體" w:hint="eastAsia"/>
          <w:snapToGrid w:val="0"/>
          <w:kern w:val="32"/>
        </w:rPr>
        <w:t>執行情形，核有：1.經運用</w:t>
      </w:r>
      <w:r w:rsidRPr="00107322">
        <w:rPr>
          <w:rFonts w:ascii="標楷體" w:eastAsia="標楷體" w:hAnsi="標楷體" w:hint="eastAsia"/>
          <w:snapToGrid w:val="0"/>
          <w:kern w:val="32"/>
        </w:rPr>
        <w:t>地理資訊系統</w:t>
      </w:r>
      <w:r>
        <w:rPr>
          <w:rFonts w:ascii="標楷體" w:eastAsia="標楷體" w:hAnsi="標楷體" w:hint="eastAsia"/>
          <w:snapToGrid w:val="0"/>
          <w:kern w:val="32"/>
        </w:rPr>
        <w:t>等</w:t>
      </w:r>
      <w:r w:rsidRPr="00107322">
        <w:rPr>
          <w:rFonts w:ascii="標楷體" w:eastAsia="標楷體" w:hAnsi="標楷體" w:hint="eastAsia"/>
          <w:snapToGrid w:val="0"/>
          <w:kern w:val="32"/>
        </w:rPr>
        <w:t>軟體，篩選各市縣鄉鎮區公所辦理工程之經度及緯度座標相近，工址差距約50公尺以內案件</w:t>
      </w:r>
      <w:r>
        <w:rPr>
          <w:rFonts w:ascii="標楷體" w:eastAsia="標楷體" w:hAnsi="標楷體" w:hint="eastAsia"/>
          <w:snapToGrid w:val="0"/>
          <w:kern w:val="32"/>
        </w:rPr>
        <w:t>（</w:t>
      </w:r>
      <w:r w:rsidRPr="00DD3956">
        <w:rPr>
          <w:rFonts w:ascii="標楷體" w:eastAsia="標楷體" w:hAnsi="標楷體" w:hint="eastAsia"/>
          <w:snapToGrid w:val="0"/>
          <w:kern w:val="32"/>
        </w:rPr>
        <w:t>圖</w:t>
      </w:r>
      <w:r w:rsidR="00F72187" w:rsidRPr="00DD3956">
        <w:rPr>
          <w:rFonts w:ascii="標楷體" w:eastAsia="標楷體" w:hAnsi="標楷體" w:hint="eastAsia"/>
          <w:snapToGrid w:val="0"/>
          <w:kern w:val="32"/>
        </w:rPr>
        <w:t>19</w:t>
      </w:r>
      <w:r>
        <w:rPr>
          <w:rFonts w:ascii="標楷體" w:eastAsia="標楷體" w:hAnsi="標楷體" w:hint="eastAsia"/>
          <w:snapToGrid w:val="0"/>
          <w:kern w:val="32"/>
        </w:rPr>
        <w:t>）</w:t>
      </w:r>
      <w:r w:rsidRPr="00107322">
        <w:rPr>
          <w:rFonts w:ascii="標楷體" w:eastAsia="標楷體" w:hAnsi="標楷體" w:hint="eastAsia"/>
          <w:snapToGrid w:val="0"/>
          <w:kern w:val="32"/>
        </w:rPr>
        <w:t>，</w:t>
      </w:r>
      <w:r>
        <w:rPr>
          <w:rFonts w:ascii="標楷體" w:eastAsia="標楷體" w:hAnsi="標楷體" w:hint="eastAsia"/>
          <w:snapToGrid w:val="0"/>
          <w:kern w:val="32"/>
        </w:rPr>
        <w:t>並</w:t>
      </w:r>
      <w:r w:rsidRPr="00107322">
        <w:rPr>
          <w:rFonts w:ascii="標楷體" w:eastAsia="標楷體" w:hAnsi="標楷體" w:hint="eastAsia"/>
          <w:snapToGrid w:val="0"/>
          <w:kern w:val="32"/>
        </w:rPr>
        <w:t>運用政府電子採購網下載個案採購招標文件及圖說分析結果，發現</w:t>
      </w:r>
      <w:r>
        <w:rPr>
          <w:rFonts w:ascii="標楷體" w:eastAsia="標楷體" w:hAnsi="標楷體" w:hint="eastAsia"/>
          <w:snapToGrid w:val="0"/>
          <w:kern w:val="32"/>
        </w:rPr>
        <w:t>部分市縣鄉鎮區公所之工程</w:t>
      </w:r>
      <w:r w:rsidRPr="00107322">
        <w:rPr>
          <w:rFonts w:ascii="標楷體" w:eastAsia="標楷體" w:hAnsi="標楷體" w:hint="eastAsia"/>
          <w:snapToGrid w:val="0"/>
          <w:kern w:val="32"/>
        </w:rPr>
        <w:t>採購案涉有同工址重複施工</w:t>
      </w:r>
      <w:r>
        <w:rPr>
          <w:rFonts w:ascii="標楷體" w:eastAsia="標楷體" w:hAnsi="標楷體" w:hint="eastAsia"/>
          <w:snapToGrid w:val="0"/>
          <w:kern w:val="32"/>
        </w:rPr>
        <w:t>。惟</w:t>
      </w:r>
      <w:r w:rsidRPr="009D5957">
        <w:rPr>
          <w:rFonts w:ascii="標楷體" w:eastAsia="標楷體" w:hAnsi="標楷體" w:hint="eastAsia"/>
          <w:snapToGrid w:val="0"/>
          <w:kern w:val="32"/>
        </w:rPr>
        <w:t>部分補助機關未將申請補助案件是否涉有於同一工址重複施作情事，納入審查重點，致補助機關於審查作業時，未能及時發現申請補助案件存有於同一工址以不同提案，在短期間內向相同或不同之中央機關申請補助情事，即逕行同意補助，部分補助案件</w:t>
      </w:r>
      <w:r w:rsidR="00533D36">
        <w:rPr>
          <w:rFonts w:ascii="標楷體" w:eastAsia="標楷體" w:hAnsi="標楷體" w:hint="eastAsia"/>
          <w:snapToGrid w:val="0"/>
          <w:kern w:val="32"/>
        </w:rPr>
        <w:t>之</w:t>
      </w:r>
      <w:r w:rsidRPr="009D5957">
        <w:rPr>
          <w:rFonts w:ascii="標楷體" w:eastAsia="標楷體" w:hAnsi="標楷體" w:hint="eastAsia"/>
          <w:snapToGrid w:val="0"/>
          <w:kern w:val="32"/>
        </w:rPr>
        <w:t>執行，拆（移）除興建不久之石板步道、花臺、階梯</w:t>
      </w:r>
      <w:r>
        <w:rPr>
          <w:rFonts w:ascii="標楷體" w:eastAsia="標楷體" w:hAnsi="標楷體" w:hint="eastAsia"/>
          <w:snapToGrid w:val="0"/>
          <w:kern w:val="32"/>
        </w:rPr>
        <w:t>、</w:t>
      </w:r>
      <w:r w:rsidRPr="009D5957">
        <w:rPr>
          <w:rFonts w:ascii="標楷體" w:eastAsia="標楷體" w:hAnsi="標楷體" w:hint="eastAsia"/>
          <w:snapToGrid w:val="0"/>
          <w:kern w:val="32"/>
        </w:rPr>
        <w:t>解說牌等設施或種植</w:t>
      </w:r>
      <w:r>
        <w:rPr>
          <w:rFonts w:ascii="標楷體" w:eastAsia="標楷體" w:hAnsi="標楷體" w:hint="eastAsia"/>
          <w:snapToGrid w:val="0"/>
          <w:kern w:val="32"/>
        </w:rPr>
        <w:t>之植栽</w:t>
      </w:r>
      <w:r w:rsidRPr="009D5957">
        <w:rPr>
          <w:rFonts w:ascii="標楷體" w:eastAsia="標楷體" w:hAnsi="標楷體" w:hint="eastAsia"/>
          <w:snapToGrid w:val="0"/>
          <w:kern w:val="32"/>
        </w:rPr>
        <w:t>，造成公帑不經濟支出</w:t>
      </w:r>
      <w:r w:rsidR="003241A6">
        <w:rPr>
          <w:rFonts w:ascii="標楷體" w:eastAsia="標楷體" w:hAnsi="標楷體" w:hint="eastAsia"/>
          <w:snapToGrid w:val="0"/>
          <w:kern w:val="32"/>
        </w:rPr>
        <w:t>；</w:t>
      </w:r>
      <w:r>
        <w:rPr>
          <w:rFonts w:ascii="標楷體" w:eastAsia="標楷體" w:hAnsi="標楷體" w:hint="eastAsia"/>
          <w:snapToGrid w:val="0"/>
          <w:kern w:val="32"/>
        </w:rPr>
        <w:t>2.</w:t>
      </w:r>
      <w:r w:rsidRPr="00537778">
        <w:rPr>
          <w:rFonts w:ascii="標楷體" w:eastAsia="標楷體" w:hAnsi="標楷體" w:hint="eastAsia"/>
          <w:snapToGrid w:val="0"/>
          <w:kern w:val="32"/>
        </w:rPr>
        <w:t>國有財產法及審計法等相關法規，明定國有財產產籍登記、維護保養、檢查、報廢及報損規定，完備國有財產之管理</w:t>
      </w:r>
      <w:r w:rsidR="00533D36">
        <w:rPr>
          <w:rFonts w:ascii="標楷體" w:eastAsia="標楷體" w:hAnsi="標楷體" w:hint="eastAsia"/>
          <w:snapToGrid w:val="0"/>
          <w:kern w:val="32"/>
        </w:rPr>
        <w:t>；</w:t>
      </w:r>
      <w:r w:rsidRPr="00A4744D">
        <w:rPr>
          <w:rFonts w:ascii="標楷體" w:eastAsia="標楷體" w:hAnsi="標楷體" w:hint="eastAsia"/>
          <w:snapToGrid w:val="0"/>
          <w:kern w:val="32"/>
        </w:rPr>
        <w:t>又各直轄市及縣（市）政府辦理地方制度法所定地方財產經營事項，已參照國有財產法等相關法規精神，制定市有或縣有財產管理自治條例，於條例中明定相關財產管理規定，其中多數縣有財產管理自治條例規定，鄉（鎮、市）公所得比照自治條例規定辦理。</w:t>
      </w:r>
      <w:r>
        <w:rPr>
          <w:rFonts w:ascii="標楷體" w:eastAsia="標楷體" w:hAnsi="標楷體" w:hint="eastAsia"/>
          <w:snapToGrid w:val="0"/>
          <w:kern w:val="32"/>
        </w:rPr>
        <w:t>惟</w:t>
      </w:r>
      <w:r w:rsidRPr="00EF6759">
        <w:rPr>
          <w:rFonts w:ascii="標楷體" w:eastAsia="標楷體" w:hAnsi="標楷體" w:hint="eastAsia"/>
          <w:snapToGrid w:val="0"/>
          <w:kern w:val="32"/>
        </w:rPr>
        <w:t>部分鄉鎮區公所經辦受補助採購案，於採購完成驗收後，未依國有財產法等相關規定，辦理財產產籍登記，及後續之財產維護保養</w:t>
      </w:r>
      <w:r>
        <w:rPr>
          <w:rFonts w:ascii="標楷體" w:eastAsia="標楷體" w:hAnsi="標楷體" w:hint="eastAsia"/>
          <w:snapToGrid w:val="0"/>
          <w:kern w:val="32"/>
        </w:rPr>
        <w:t>與</w:t>
      </w:r>
      <w:r w:rsidRPr="00EF6759">
        <w:rPr>
          <w:rFonts w:ascii="標楷體" w:eastAsia="標楷體" w:hAnsi="標楷體" w:hint="eastAsia"/>
          <w:snapToGrid w:val="0"/>
          <w:kern w:val="32"/>
        </w:rPr>
        <w:t>檢查工作，衍生部分土地改良物未達使用年限，在未報經審計機關審核前，即先行拆除，或設備遺失卻未辦理報損程序</w:t>
      </w:r>
      <w:r>
        <w:rPr>
          <w:rFonts w:ascii="標楷體" w:eastAsia="標楷體" w:hAnsi="標楷體" w:hint="eastAsia"/>
          <w:snapToGrid w:val="0"/>
          <w:kern w:val="32"/>
        </w:rPr>
        <w:t>等情事，經函請行政院督促相關機關研謀改善</w:t>
      </w:r>
      <w:r w:rsidRPr="00E11503">
        <w:rPr>
          <w:rFonts w:ascii="標楷體" w:eastAsia="標楷體" w:hAnsi="標楷體" w:hint="eastAsia"/>
          <w:snapToGrid w:val="0"/>
          <w:kern w:val="32"/>
        </w:rPr>
        <w:t>。</w:t>
      </w:r>
      <w:r w:rsidRPr="00E11503">
        <w:rPr>
          <w:rFonts w:ascii="標楷體" w:eastAsia="標楷體" w:hAnsi="標楷體" w:cs="細明體" w:hint="eastAsia"/>
        </w:rPr>
        <w:t>據復：行政院主計總處已於113年6月18日函請相關中央主管機關及市縣政府就須檢討改進之處予以積極處理。</w:t>
      </w:r>
    </w:p>
    <w:p w14:paraId="6046B172" w14:textId="4312804D" w:rsidR="005455D1" w:rsidRPr="007123DA" w:rsidRDefault="005455D1" w:rsidP="005455D1">
      <w:pPr>
        <w:overflowPunct w:val="0"/>
        <w:spacing w:beforeLines="20" w:before="72" w:afterLines="20" w:after="72" w:line="430" w:lineRule="exact"/>
        <w:ind w:firstLineChars="200" w:firstLine="561"/>
        <w:jc w:val="both"/>
        <w:outlineLvl w:val="1"/>
        <w:rPr>
          <w:rFonts w:ascii="標楷體" w:eastAsia="標楷體" w:hAnsi="標楷體"/>
          <w:b/>
          <w:bCs/>
          <w:snapToGrid w:val="0"/>
          <w:sz w:val="28"/>
          <w:szCs w:val="28"/>
          <w:lang w:val="x-none"/>
        </w:rPr>
      </w:pPr>
      <w:r w:rsidRPr="007123DA">
        <w:rPr>
          <w:rFonts w:ascii="標楷體" w:eastAsia="標楷體" w:hAnsi="標楷體"/>
          <w:b/>
          <w:bCs/>
          <w:snapToGrid w:val="0"/>
          <w:sz w:val="28"/>
          <w:szCs w:val="28"/>
          <w:lang w:val="x-none"/>
        </w:rPr>
        <w:lastRenderedPageBreak/>
        <w:t>（</w:t>
      </w:r>
      <w:r>
        <w:rPr>
          <w:rFonts w:ascii="標楷體" w:eastAsia="標楷體" w:hAnsi="標楷體" w:hint="eastAsia"/>
          <w:b/>
          <w:bCs/>
          <w:snapToGrid w:val="0"/>
          <w:sz w:val="28"/>
          <w:szCs w:val="28"/>
          <w:lang w:val="x-none"/>
        </w:rPr>
        <w:t>三十</w:t>
      </w:r>
      <w:r w:rsidR="00781889">
        <w:rPr>
          <w:rFonts w:ascii="標楷體" w:eastAsia="標楷體" w:hAnsi="標楷體" w:hint="eastAsia"/>
          <w:b/>
          <w:bCs/>
          <w:snapToGrid w:val="0"/>
          <w:sz w:val="28"/>
          <w:szCs w:val="28"/>
          <w:lang w:val="x-none"/>
        </w:rPr>
        <w:t>五</w:t>
      </w:r>
      <w:r w:rsidRPr="007123DA">
        <w:rPr>
          <w:rFonts w:ascii="標楷體" w:eastAsia="標楷體" w:hAnsi="標楷體"/>
          <w:b/>
          <w:bCs/>
          <w:snapToGrid w:val="0"/>
          <w:sz w:val="28"/>
          <w:szCs w:val="28"/>
          <w:lang w:val="x-none"/>
        </w:rPr>
        <w:t>）</w:t>
      </w:r>
      <w:r w:rsidRPr="007123DA">
        <w:rPr>
          <w:rFonts w:ascii="標楷體" w:eastAsia="標楷體" w:hAnsi="標楷體" w:hint="eastAsia"/>
          <w:b/>
          <w:bCs/>
          <w:snapToGrid w:val="0"/>
          <w:sz w:val="28"/>
          <w:szCs w:val="28"/>
          <w:lang w:val="x-none"/>
        </w:rPr>
        <w:t xml:space="preserve">　</w:t>
      </w:r>
      <w:r>
        <w:rPr>
          <w:rFonts w:ascii="標楷體" w:eastAsia="標楷體" w:hAnsi="標楷體" w:hint="eastAsia"/>
          <w:b/>
          <w:bCs/>
          <w:snapToGrid w:val="0"/>
          <w:sz w:val="28"/>
          <w:szCs w:val="28"/>
          <w:lang w:val="x-none"/>
        </w:rPr>
        <w:t>行政院公共工程委員</w:t>
      </w:r>
      <w:r w:rsidRPr="00E662CE">
        <w:rPr>
          <w:rFonts w:ascii="標楷體" w:eastAsia="標楷體" w:hAnsi="標楷體" w:hint="eastAsia"/>
          <w:b/>
          <w:bCs/>
          <w:snapToGrid w:val="0"/>
          <w:sz w:val="28"/>
          <w:szCs w:val="28"/>
          <w:lang w:val="x-none"/>
        </w:rPr>
        <w:t>會為鼓勵參與政府採購之廠商重視其企業社會責任，請各機關將廠商為員工加薪或提供合理薪資等納入政府採購案評選加分項目，惟部分機關採行情形</w:t>
      </w:r>
      <w:r>
        <w:rPr>
          <w:rFonts w:ascii="標楷體" w:eastAsia="標楷體" w:hAnsi="標楷體" w:hint="eastAsia"/>
          <w:b/>
          <w:bCs/>
          <w:snapToGrid w:val="0"/>
          <w:sz w:val="28"/>
          <w:szCs w:val="28"/>
          <w:lang w:val="x-none"/>
        </w:rPr>
        <w:t>欠佳</w:t>
      </w:r>
      <w:r w:rsidRPr="00E662CE">
        <w:rPr>
          <w:rFonts w:ascii="標楷體" w:eastAsia="標楷體" w:hAnsi="標楷體" w:hint="eastAsia"/>
          <w:b/>
          <w:bCs/>
          <w:snapToGrid w:val="0"/>
          <w:sz w:val="28"/>
          <w:szCs w:val="28"/>
          <w:lang w:val="x-none"/>
        </w:rPr>
        <w:t>，允宜加強宣導辦理，以提升企業加薪意願，帶動薪資水準之提升。</w:t>
      </w:r>
    </w:p>
    <w:p w14:paraId="13124420" w14:textId="37D0DE1E" w:rsidR="005455D1" w:rsidRDefault="005455D1" w:rsidP="005455D1">
      <w:pPr>
        <w:overflowPunct w:val="0"/>
        <w:spacing w:line="430" w:lineRule="exact"/>
        <w:ind w:firstLineChars="200" w:firstLine="480"/>
        <w:jc w:val="both"/>
        <w:rPr>
          <w:rFonts w:ascii="標楷體" w:eastAsia="標楷體" w:hAnsi="標楷體"/>
          <w:snapToGrid w:val="0"/>
        </w:rPr>
      </w:pPr>
      <w:r>
        <w:rPr>
          <w:rFonts w:ascii="標楷體" w:eastAsia="標楷體" w:hAnsi="標楷體"/>
          <w:noProof/>
        </w:rPr>
        <mc:AlternateContent>
          <mc:Choice Requires="wps">
            <w:drawing>
              <wp:anchor distT="0" distB="0" distL="114300" distR="114300" simplePos="0" relativeHeight="251637760" behindDoc="1" locked="0" layoutInCell="1" allowOverlap="1" wp14:anchorId="3ECC2DB5" wp14:editId="2B8EE610">
                <wp:simplePos x="0" y="0"/>
                <wp:positionH relativeFrom="margin">
                  <wp:posOffset>2037715</wp:posOffset>
                </wp:positionH>
                <wp:positionV relativeFrom="paragraph">
                  <wp:posOffset>2095500</wp:posOffset>
                </wp:positionV>
                <wp:extent cx="4247515" cy="3663950"/>
                <wp:effectExtent l="0" t="0" r="635" b="0"/>
                <wp:wrapTight wrapText="bothSides">
                  <wp:wrapPolygon edited="0">
                    <wp:start x="0" y="0"/>
                    <wp:lineTo x="0" y="21450"/>
                    <wp:lineTo x="21506" y="21450"/>
                    <wp:lineTo x="21506" y="0"/>
                    <wp:lineTo x="0" y="0"/>
                  </wp:wrapPolygon>
                </wp:wrapTight>
                <wp:docPr id="74" name="文字方塊 74"/>
                <wp:cNvGraphicFramePr/>
                <a:graphic xmlns:a="http://schemas.openxmlformats.org/drawingml/2006/main">
                  <a:graphicData uri="http://schemas.microsoft.com/office/word/2010/wordprocessingShape">
                    <wps:wsp>
                      <wps:cNvSpPr txBox="1"/>
                      <wps:spPr>
                        <a:xfrm>
                          <a:off x="0" y="0"/>
                          <a:ext cx="4247515" cy="3663950"/>
                        </a:xfrm>
                        <a:prstGeom prst="rect">
                          <a:avLst/>
                        </a:prstGeom>
                        <a:solidFill>
                          <a:schemeClr val="lt1"/>
                        </a:solidFill>
                        <a:ln w="6350">
                          <a:noFill/>
                        </a:ln>
                      </wps:spPr>
                      <wps:txbx>
                        <w:txbxContent>
                          <w:p w14:paraId="0C219BD7" w14:textId="2382A4AC" w:rsidR="00A0212B" w:rsidRPr="0077504F" w:rsidRDefault="00A0212B" w:rsidP="0065120E">
                            <w:pPr>
                              <w:pStyle w:val="affffff"/>
                              <w:spacing w:line="280" w:lineRule="exact"/>
                              <w:ind w:leftChars="0" w:left="841" w:hangingChars="350" w:hanging="841"/>
                              <w:rPr>
                                <w:b/>
                                <w:sz w:val="24"/>
                                <w:szCs w:val="24"/>
                              </w:rPr>
                            </w:pPr>
                            <w:r w:rsidRPr="0077504F">
                              <w:rPr>
                                <w:rFonts w:hint="eastAsia"/>
                                <w:b/>
                                <w:sz w:val="24"/>
                                <w:szCs w:val="24"/>
                              </w:rPr>
                              <w:t>表</w:t>
                            </w:r>
                            <w:r>
                              <w:rPr>
                                <w:b/>
                                <w:sz w:val="24"/>
                                <w:szCs w:val="24"/>
                              </w:rPr>
                              <w:t>41</w:t>
                            </w:r>
                            <w:r>
                              <w:rPr>
                                <w:rFonts w:hint="eastAsia"/>
                                <w:b/>
                                <w:sz w:val="24"/>
                                <w:szCs w:val="24"/>
                              </w:rPr>
                              <w:t xml:space="preserve">　全國</w:t>
                            </w:r>
                            <w:r>
                              <w:rPr>
                                <w:b/>
                                <w:sz w:val="24"/>
                                <w:szCs w:val="24"/>
                              </w:rPr>
                              <w:t>採購機關</w:t>
                            </w:r>
                            <w:r w:rsidRPr="0077504F">
                              <w:rPr>
                                <w:rFonts w:hint="eastAsia"/>
                                <w:b/>
                                <w:sz w:val="24"/>
                                <w:szCs w:val="24"/>
                              </w:rPr>
                              <w:t>將</w:t>
                            </w:r>
                            <w:r w:rsidRPr="00717C29">
                              <w:rPr>
                                <w:rFonts w:hint="eastAsia"/>
                                <w:b/>
                                <w:sz w:val="24"/>
                                <w:szCs w:val="24"/>
                              </w:rPr>
                              <w:t>企業社會責任指標</w:t>
                            </w:r>
                            <w:r>
                              <w:rPr>
                                <w:rFonts w:hint="eastAsia"/>
                                <w:b/>
                                <w:sz w:val="24"/>
                                <w:szCs w:val="24"/>
                              </w:rPr>
                              <w:t>（</w:t>
                            </w:r>
                            <w:r w:rsidRPr="0077504F">
                              <w:rPr>
                                <w:rFonts w:hint="eastAsia"/>
                                <w:b/>
                                <w:sz w:val="24"/>
                                <w:szCs w:val="24"/>
                              </w:rPr>
                              <w:t>CSR指標</w:t>
                            </w:r>
                            <w:r>
                              <w:rPr>
                                <w:rFonts w:hint="eastAsia"/>
                                <w:b/>
                                <w:sz w:val="24"/>
                                <w:szCs w:val="24"/>
                              </w:rPr>
                              <w:t>）</w:t>
                            </w:r>
                            <w:r w:rsidRPr="0077504F">
                              <w:rPr>
                                <w:rFonts w:hint="eastAsia"/>
                                <w:b/>
                                <w:sz w:val="24"/>
                                <w:szCs w:val="24"/>
                              </w:rPr>
                              <w:t>納入評選項目</w:t>
                            </w:r>
                            <w:r w:rsidRPr="004505DE">
                              <w:rPr>
                                <w:rFonts w:hint="eastAsia"/>
                                <w:b/>
                                <w:sz w:val="24"/>
                                <w:szCs w:val="24"/>
                              </w:rPr>
                              <w:t>之採購案件占比</w:t>
                            </w:r>
                          </w:p>
                          <w:p w14:paraId="00643FFB" w14:textId="77777777" w:rsidR="00A0212B" w:rsidRDefault="00A0212B" w:rsidP="005455D1">
                            <w:pPr>
                              <w:pStyle w:val="afffa"/>
                              <w:wordWrap w:val="0"/>
                              <w:overflowPunct w:val="0"/>
                              <w:autoSpaceDE w:val="0"/>
                              <w:autoSpaceDN w:val="0"/>
                              <w:adjustRightInd w:val="0"/>
                              <w:snapToGrid w:val="0"/>
                              <w:spacing w:line="300" w:lineRule="exact"/>
                              <w:ind w:leftChars="0" w:left="737" w:rightChars="20" w:right="48"/>
                              <w:jc w:val="right"/>
                              <w:rPr>
                                <w:rFonts w:ascii="標楷體" w:eastAsia="標楷體" w:hAnsi="標楷體" w:cs="Arial"/>
                                <w:snapToGrid w:val="0"/>
                                <w:kern w:val="0"/>
                                <w:sz w:val="18"/>
                                <w:szCs w:val="18"/>
                              </w:rPr>
                            </w:pPr>
                            <w:r w:rsidRPr="0077504F">
                              <w:rPr>
                                <w:rFonts w:ascii="標楷體" w:eastAsia="標楷體" w:hAnsi="標楷體" w:cs="Arial" w:hint="eastAsia"/>
                                <w:snapToGrid w:val="0"/>
                                <w:kern w:val="0"/>
                                <w:sz w:val="20"/>
                              </w:rPr>
                              <w:t>單位：％</w:t>
                            </w:r>
                          </w:p>
                          <w:tbl>
                            <w:tblPr>
                              <w:tblStyle w:val="afff"/>
                              <w:tblW w:w="0" w:type="auto"/>
                              <w:jc w:val="center"/>
                              <w:tblLook w:val="04A0" w:firstRow="1" w:lastRow="0" w:firstColumn="1" w:lastColumn="0" w:noHBand="0" w:noVBand="1"/>
                            </w:tblPr>
                            <w:tblGrid>
                              <w:gridCol w:w="1087"/>
                              <w:gridCol w:w="1253"/>
                              <w:gridCol w:w="843"/>
                              <w:gridCol w:w="843"/>
                              <w:gridCol w:w="843"/>
                              <w:gridCol w:w="843"/>
                              <w:gridCol w:w="843"/>
                            </w:tblGrid>
                            <w:tr w:rsidR="00A0212B" w:rsidRPr="00717C29" w14:paraId="4E21239C" w14:textId="77777777" w:rsidTr="005455D1">
                              <w:trPr>
                                <w:trHeight w:val="397"/>
                                <w:jc w:val="center"/>
                              </w:trPr>
                              <w:tc>
                                <w:tcPr>
                                  <w:tcW w:w="2340" w:type="dxa"/>
                                  <w:gridSpan w:val="2"/>
                                  <w:tcBorders>
                                    <w:tl2br w:val="single" w:sz="4" w:space="0" w:color="auto"/>
                                  </w:tcBorders>
                                  <w:shd w:val="clear" w:color="auto" w:fill="auto"/>
                                  <w:vAlign w:val="center"/>
                                </w:tcPr>
                                <w:p w14:paraId="20F72E7E" w14:textId="77777777" w:rsidR="00A0212B" w:rsidRDefault="00A0212B" w:rsidP="00416F31">
                                  <w:pPr>
                                    <w:widowControl/>
                                    <w:overflowPunct w:val="0"/>
                                    <w:autoSpaceDE w:val="0"/>
                                    <w:autoSpaceDN w:val="0"/>
                                    <w:adjustRightInd w:val="0"/>
                                    <w:snapToGrid w:val="0"/>
                                    <w:spacing w:line="240" w:lineRule="exact"/>
                                    <w:ind w:firstLine="400"/>
                                    <w:jc w:val="right"/>
                                    <w:rPr>
                                      <w:rFonts w:ascii="標楷體" w:eastAsia="標楷體" w:hAnsi="標楷體" w:cs="Arial"/>
                                      <w:kern w:val="0"/>
                                      <w:sz w:val="20"/>
                                    </w:rPr>
                                  </w:pPr>
                                  <w:r>
                                    <w:rPr>
                                      <w:rFonts w:ascii="標楷體" w:eastAsia="標楷體" w:hAnsi="標楷體" w:cs="Arial" w:hint="eastAsia"/>
                                      <w:kern w:val="0"/>
                                      <w:sz w:val="20"/>
                                    </w:rPr>
                                    <w:t>年度</w:t>
                                  </w:r>
                                </w:p>
                                <w:p w14:paraId="45BF54FE" w14:textId="77777777" w:rsidR="00A0212B" w:rsidRPr="00717C29" w:rsidRDefault="00A0212B" w:rsidP="005455D1">
                                  <w:pPr>
                                    <w:widowControl/>
                                    <w:overflowPunct w:val="0"/>
                                    <w:autoSpaceDE w:val="0"/>
                                    <w:autoSpaceDN w:val="0"/>
                                    <w:adjustRightInd w:val="0"/>
                                    <w:snapToGrid w:val="0"/>
                                    <w:spacing w:line="240" w:lineRule="exact"/>
                                    <w:rPr>
                                      <w:rFonts w:ascii="標楷體" w:eastAsia="標楷體" w:hAnsi="標楷體" w:cs="Arial"/>
                                      <w:kern w:val="0"/>
                                      <w:sz w:val="20"/>
                                    </w:rPr>
                                  </w:pPr>
                                  <w:r w:rsidRPr="00717C29">
                                    <w:rPr>
                                      <w:rFonts w:ascii="標楷體" w:eastAsia="標楷體" w:hAnsi="標楷體" w:cs="Arial" w:hint="eastAsia"/>
                                      <w:kern w:val="0"/>
                                      <w:sz w:val="20"/>
                                    </w:rPr>
                                    <w:t>主管機關</w:t>
                                  </w:r>
                                </w:p>
                              </w:tc>
                              <w:tc>
                                <w:tcPr>
                                  <w:tcW w:w="843" w:type="dxa"/>
                                  <w:vAlign w:val="center"/>
                                </w:tcPr>
                                <w:p w14:paraId="582C657F"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08</w:t>
                                  </w:r>
                                </w:p>
                              </w:tc>
                              <w:tc>
                                <w:tcPr>
                                  <w:tcW w:w="843" w:type="dxa"/>
                                  <w:vAlign w:val="center"/>
                                </w:tcPr>
                                <w:p w14:paraId="3A3E8F15"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09</w:t>
                                  </w:r>
                                </w:p>
                              </w:tc>
                              <w:tc>
                                <w:tcPr>
                                  <w:tcW w:w="843" w:type="dxa"/>
                                  <w:shd w:val="clear" w:color="auto" w:fill="auto"/>
                                  <w:vAlign w:val="center"/>
                                </w:tcPr>
                                <w:p w14:paraId="0D03D938"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10</w:t>
                                  </w:r>
                                </w:p>
                              </w:tc>
                              <w:tc>
                                <w:tcPr>
                                  <w:tcW w:w="843" w:type="dxa"/>
                                  <w:shd w:val="clear" w:color="auto" w:fill="auto"/>
                                  <w:vAlign w:val="center"/>
                                </w:tcPr>
                                <w:p w14:paraId="67B102D9"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11</w:t>
                                  </w:r>
                                </w:p>
                              </w:tc>
                              <w:tc>
                                <w:tcPr>
                                  <w:tcW w:w="843" w:type="dxa"/>
                                  <w:vAlign w:val="center"/>
                                </w:tcPr>
                                <w:p w14:paraId="0CC71FF1"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12</w:t>
                                  </w:r>
                                </w:p>
                              </w:tc>
                            </w:tr>
                            <w:tr w:rsidR="00A0212B" w:rsidRPr="00717C29" w14:paraId="17117AFD" w14:textId="77777777" w:rsidTr="005455D1">
                              <w:trPr>
                                <w:trHeight w:val="397"/>
                                <w:jc w:val="center"/>
                              </w:trPr>
                              <w:tc>
                                <w:tcPr>
                                  <w:tcW w:w="2340" w:type="dxa"/>
                                  <w:gridSpan w:val="2"/>
                                  <w:shd w:val="clear" w:color="auto" w:fill="auto"/>
                                  <w:vAlign w:val="center"/>
                                </w:tcPr>
                                <w:p w14:paraId="68600750"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b/>
                                      <w:sz w:val="20"/>
                                    </w:rPr>
                                  </w:pPr>
                                  <w:r w:rsidRPr="00717C29">
                                    <w:rPr>
                                      <w:rFonts w:ascii="標楷體" w:eastAsia="標楷體" w:hAnsi="標楷體" w:cs="Arial" w:hint="eastAsia"/>
                                      <w:b/>
                                      <w:kern w:val="0"/>
                                      <w:sz w:val="20"/>
                                    </w:rPr>
                                    <w:t>全國平均值</w:t>
                                  </w:r>
                                </w:p>
                              </w:tc>
                              <w:tc>
                                <w:tcPr>
                                  <w:tcW w:w="843" w:type="dxa"/>
                                  <w:shd w:val="clear" w:color="auto" w:fill="auto"/>
                                  <w:vAlign w:val="center"/>
                                </w:tcPr>
                                <w:p w14:paraId="47057AA1"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11.83</w:t>
                                  </w:r>
                                </w:p>
                              </w:tc>
                              <w:tc>
                                <w:tcPr>
                                  <w:tcW w:w="843" w:type="dxa"/>
                                  <w:shd w:val="clear" w:color="auto" w:fill="auto"/>
                                  <w:vAlign w:val="center"/>
                                </w:tcPr>
                                <w:p w14:paraId="383E41EA"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13.40</w:t>
                                  </w:r>
                                </w:p>
                              </w:tc>
                              <w:tc>
                                <w:tcPr>
                                  <w:tcW w:w="843" w:type="dxa"/>
                                  <w:shd w:val="clear" w:color="auto" w:fill="auto"/>
                                  <w:vAlign w:val="center"/>
                                </w:tcPr>
                                <w:p w14:paraId="4773762A"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13.66</w:t>
                                  </w:r>
                                </w:p>
                              </w:tc>
                              <w:tc>
                                <w:tcPr>
                                  <w:tcW w:w="843" w:type="dxa"/>
                                  <w:shd w:val="clear" w:color="auto" w:fill="auto"/>
                                  <w:vAlign w:val="center"/>
                                </w:tcPr>
                                <w:p w14:paraId="33890007"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14.38</w:t>
                                  </w:r>
                                </w:p>
                              </w:tc>
                              <w:tc>
                                <w:tcPr>
                                  <w:tcW w:w="843" w:type="dxa"/>
                                  <w:shd w:val="clear" w:color="auto" w:fill="auto"/>
                                  <w:vAlign w:val="center"/>
                                </w:tcPr>
                                <w:p w14:paraId="29D2CD0F"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17.04</w:t>
                                  </w:r>
                                </w:p>
                              </w:tc>
                            </w:tr>
                            <w:tr w:rsidR="00A0212B" w:rsidRPr="00717C29" w14:paraId="7C6509D6" w14:textId="77777777" w:rsidTr="005455D1">
                              <w:trPr>
                                <w:trHeight w:val="397"/>
                                <w:jc w:val="center"/>
                              </w:trPr>
                              <w:tc>
                                <w:tcPr>
                                  <w:tcW w:w="2340" w:type="dxa"/>
                                  <w:gridSpan w:val="2"/>
                                  <w:shd w:val="clear" w:color="auto" w:fill="auto"/>
                                  <w:vAlign w:val="center"/>
                                </w:tcPr>
                                <w:p w14:paraId="14A7FAC7"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中央</w:t>
                                  </w:r>
                                  <w:r w:rsidRPr="00717C29">
                                    <w:rPr>
                                      <w:rFonts w:ascii="標楷體" w:eastAsia="標楷體" w:hAnsi="標楷體" w:cs="Arial"/>
                                      <w:kern w:val="0"/>
                                      <w:sz w:val="20"/>
                                    </w:rPr>
                                    <w:t>機關</w:t>
                                  </w:r>
                                </w:p>
                                <w:p w14:paraId="0B4C66FC" w14:textId="7C14ECA7" w:rsidR="00A0212B" w:rsidRPr="00717C29" w:rsidRDefault="00A0212B" w:rsidP="005455D1">
                                  <w:pPr>
                                    <w:spacing w:line="240" w:lineRule="exact"/>
                                    <w:jc w:val="center"/>
                                    <w:rPr>
                                      <w:rFonts w:ascii="標楷體" w:eastAsia="標楷體" w:hAnsi="標楷體"/>
                                      <w:sz w:val="20"/>
                                    </w:rPr>
                                  </w:pPr>
                                  <w:r w:rsidRPr="00717C29">
                                    <w:rPr>
                                      <w:rFonts w:ascii="標楷體" w:eastAsia="標楷體" w:hAnsi="標楷體" w:cs="Arial" w:hint="eastAsia"/>
                                      <w:kern w:val="0"/>
                                      <w:sz w:val="20"/>
                                    </w:rPr>
                                    <w:t>（含</w:t>
                                  </w:r>
                                  <w:r>
                                    <w:rPr>
                                      <w:rFonts w:ascii="標楷體" w:eastAsia="標楷體" w:hAnsi="標楷體" w:cs="Arial"/>
                                      <w:kern w:val="0"/>
                                      <w:sz w:val="20"/>
                                    </w:rPr>
                                    <w:t>所屬</w:t>
                                  </w:r>
                                  <w:r>
                                    <w:rPr>
                                      <w:rFonts w:ascii="標楷體" w:eastAsia="標楷體" w:hAnsi="標楷體" w:cs="Arial" w:hint="eastAsia"/>
                                      <w:kern w:val="0"/>
                                      <w:sz w:val="20"/>
                                    </w:rPr>
                                    <w:t>學校</w:t>
                                  </w:r>
                                  <w:r w:rsidRPr="00717C29">
                                    <w:rPr>
                                      <w:rFonts w:ascii="標楷體" w:eastAsia="標楷體" w:hAnsi="標楷體" w:cs="Arial" w:hint="eastAsia"/>
                                      <w:kern w:val="0"/>
                                      <w:sz w:val="20"/>
                                    </w:rPr>
                                    <w:t>）</w:t>
                                  </w:r>
                                </w:p>
                              </w:tc>
                              <w:tc>
                                <w:tcPr>
                                  <w:tcW w:w="843" w:type="dxa"/>
                                  <w:shd w:val="clear" w:color="auto" w:fill="auto"/>
                                  <w:vAlign w:val="center"/>
                                </w:tcPr>
                                <w:p w14:paraId="0D1777FD"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22.37</w:t>
                                  </w:r>
                                </w:p>
                              </w:tc>
                              <w:tc>
                                <w:tcPr>
                                  <w:tcW w:w="843" w:type="dxa"/>
                                  <w:shd w:val="clear" w:color="auto" w:fill="auto"/>
                                  <w:vAlign w:val="center"/>
                                </w:tcPr>
                                <w:p w14:paraId="5862DF5A"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27.76</w:t>
                                  </w:r>
                                </w:p>
                              </w:tc>
                              <w:tc>
                                <w:tcPr>
                                  <w:tcW w:w="843" w:type="dxa"/>
                                  <w:shd w:val="clear" w:color="auto" w:fill="auto"/>
                                  <w:vAlign w:val="center"/>
                                </w:tcPr>
                                <w:p w14:paraId="641F739C"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28.95</w:t>
                                  </w:r>
                                </w:p>
                              </w:tc>
                              <w:tc>
                                <w:tcPr>
                                  <w:tcW w:w="843" w:type="dxa"/>
                                  <w:shd w:val="clear" w:color="auto" w:fill="auto"/>
                                  <w:vAlign w:val="center"/>
                                </w:tcPr>
                                <w:p w14:paraId="25A30170"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29.93</w:t>
                                  </w:r>
                                </w:p>
                              </w:tc>
                              <w:tc>
                                <w:tcPr>
                                  <w:tcW w:w="843" w:type="dxa"/>
                                  <w:shd w:val="clear" w:color="auto" w:fill="auto"/>
                                  <w:vAlign w:val="center"/>
                                </w:tcPr>
                                <w:p w14:paraId="797AF063"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34.37</w:t>
                                  </w:r>
                                </w:p>
                              </w:tc>
                            </w:tr>
                            <w:tr w:rsidR="00A0212B" w:rsidRPr="00717C29" w14:paraId="68E3F9FE" w14:textId="77777777" w:rsidTr="005455D1">
                              <w:trPr>
                                <w:trHeight w:val="397"/>
                                <w:jc w:val="center"/>
                              </w:trPr>
                              <w:tc>
                                <w:tcPr>
                                  <w:tcW w:w="2340" w:type="dxa"/>
                                  <w:gridSpan w:val="2"/>
                                  <w:shd w:val="clear" w:color="auto" w:fill="auto"/>
                                  <w:vAlign w:val="center"/>
                                </w:tcPr>
                                <w:p w14:paraId="4B374AF5"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國營事業</w:t>
                                  </w:r>
                                </w:p>
                                <w:p w14:paraId="2343685B" w14:textId="77777777" w:rsidR="00A0212B" w:rsidRPr="00717C29" w:rsidRDefault="00A0212B" w:rsidP="005455D1">
                                  <w:pPr>
                                    <w:spacing w:line="240" w:lineRule="exact"/>
                                    <w:jc w:val="center"/>
                                    <w:rPr>
                                      <w:rFonts w:ascii="標楷體" w:eastAsia="標楷體" w:hAnsi="標楷體"/>
                                      <w:sz w:val="20"/>
                                    </w:rPr>
                                  </w:pPr>
                                  <w:r w:rsidRPr="00717C29">
                                    <w:rPr>
                                      <w:rFonts w:ascii="標楷體" w:eastAsia="標楷體" w:hAnsi="標楷體" w:cs="Arial" w:hint="eastAsia"/>
                                      <w:kern w:val="0"/>
                                      <w:sz w:val="20"/>
                                    </w:rPr>
                                    <w:t>（公營事業）</w:t>
                                  </w:r>
                                </w:p>
                              </w:tc>
                              <w:tc>
                                <w:tcPr>
                                  <w:tcW w:w="843" w:type="dxa"/>
                                  <w:shd w:val="clear" w:color="auto" w:fill="auto"/>
                                  <w:vAlign w:val="center"/>
                                </w:tcPr>
                                <w:p w14:paraId="6C072C3E"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23.86</w:t>
                                  </w:r>
                                </w:p>
                              </w:tc>
                              <w:tc>
                                <w:tcPr>
                                  <w:tcW w:w="843" w:type="dxa"/>
                                  <w:shd w:val="clear" w:color="auto" w:fill="auto"/>
                                  <w:vAlign w:val="center"/>
                                </w:tcPr>
                                <w:p w14:paraId="6A3947C6"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28.51</w:t>
                                  </w:r>
                                </w:p>
                              </w:tc>
                              <w:tc>
                                <w:tcPr>
                                  <w:tcW w:w="843" w:type="dxa"/>
                                  <w:shd w:val="clear" w:color="auto" w:fill="auto"/>
                                  <w:vAlign w:val="center"/>
                                </w:tcPr>
                                <w:p w14:paraId="32835D82"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29.02</w:t>
                                  </w:r>
                                </w:p>
                              </w:tc>
                              <w:tc>
                                <w:tcPr>
                                  <w:tcW w:w="843" w:type="dxa"/>
                                  <w:shd w:val="clear" w:color="auto" w:fill="auto"/>
                                  <w:vAlign w:val="center"/>
                                </w:tcPr>
                                <w:p w14:paraId="74A71140"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33.64</w:t>
                                  </w:r>
                                </w:p>
                              </w:tc>
                              <w:tc>
                                <w:tcPr>
                                  <w:tcW w:w="843" w:type="dxa"/>
                                  <w:shd w:val="clear" w:color="auto" w:fill="auto"/>
                                  <w:vAlign w:val="center"/>
                                </w:tcPr>
                                <w:p w14:paraId="484DB9F6"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41.52</w:t>
                                  </w:r>
                                </w:p>
                              </w:tc>
                            </w:tr>
                            <w:tr w:rsidR="00A0212B" w:rsidRPr="00717C29" w14:paraId="214AF167" w14:textId="77777777" w:rsidTr="005455D1">
                              <w:trPr>
                                <w:trHeight w:val="397"/>
                                <w:jc w:val="center"/>
                              </w:trPr>
                              <w:tc>
                                <w:tcPr>
                                  <w:tcW w:w="2340" w:type="dxa"/>
                                  <w:gridSpan w:val="2"/>
                                  <w:tcBorders>
                                    <w:bottom w:val="double" w:sz="4" w:space="0" w:color="auto"/>
                                  </w:tcBorders>
                                  <w:shd w:val="clear" w:color="auto" w:fill="auto"/>
                                  <w:vAlign w:val="center"/>
                                </w:tcPr>
                                <w:p w14:paraId="0CFA6722"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地方機關</w:t>
                                  </w:r>
                                </w:p>
                                <w:p w14:paraId="7D533F5E" w14:textId="77777777" w:rsidR="00A0212B" w:rsidRPr="00717C29" w:rsidRDefault="00A0212B" w:rsidP="005455D1">
                                  <w:pPr>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（含</w:t>
                                  </w:r>
                                  <w:r w:rsidRPr="00717C29">
                                    <w:rPr>
                                      <w:rFonts w:ascii="標楷體" w:eastAsia="標楷體" w:hAnsi="標楷體" w:cs="Arial"/>
                                      <w:kern w:val="0"/>
                                      <w:sz w:val="20"/>
                                    </w:rPr>
                                    <w:t>直轄市、縣市政府</w:t>
                                  </w:r>
                                </w:p>
                                <w:p w14:paraId="7DB2E5F1" w14:textId="77777777" w:rsidR="00A0212B" w:rsidRPr="00717C29" w:rsidRDefault="00A0212B" w:rsidP="005455D1">
                                  <w:pPr>
                                    <w:spacing w:line="240" w:lineRule="exact"/>
                                    <w:jc w:val="center"/>
                                    <w:rPr>
                                      <w:rFonts w:ascii="標楷體" w:eastAsia="標楷體" w:hAnsi="標楷體"/>
                                      <w:sz w:val="20"/>
                                    </w:rPr>
                                  </w:pPr>
                                  <w:r w:rsidRPr="00717C29">
                                    <w:rPr>
                                      <w:rFonts w:ascii="標楷體" w:eastAsia="標楷體" w:hAnsi="標楷體" w:cs="Arial"/>
                                      <w:kern w:val="0"/>
                                      <w:sz w:val="20"/>
                                    </w:rPr>
                                    <w:t>及所屬</w:t>
                                  </w:r>
                                  <w:r w:rsidRPr="00717C29">
                                    <w:rPr>
                                      <w:rFonts w:ascii="標楷體" w:eastAsia="標楷體" w:hAnsi="標楷體" w:cs="Arial" w:hint="eastAsia"/>
                                      <w:kern w:val="0"/>
                                      <w:sz w:val="20"/>
                                    </w:rPr>
                                    <w:t>暨</w:t>
                                  </w:r>
                                  <w:r w:rsidRPr="00717C29">
                                    <w:rPr>
                                      <w:rFonts w:ascii="標楷體" w:eastAsia="標楷體" w:hAnsi="標楷體" w:cs="Arial"/>
                                      <w:kern w:val="0"/>
                                      <w:sz w:val="20"/>
                                    </w:rPr>
                                    <w:t>學校</w:t>
                                  </w:r>
                                  <w:r w:rsidRPr="00717C29">
                                    <w:rPr>
                                      <w:rFonts w:ascii="標楷體" w:eastAsia="標楷體" w:hAnsi="標楷體" w:cs="Arial" w:hint="eastAsia"/>
                                      <w:kern w:val="0"/>
                                      <w:sz w:val="20"/>
                                    </w:rPr>
                                    <w:t>）</w:t>
                                  </w:r>
                                </w:p>
                              </w:tc>
                              <w:tc>
                                <w:tcPr>
                                  <w:tcW w:w="843" w:type="dxa"/>
                                  <w:tcBorders>
                                    <w:bottom w:val="double" w:sz="4" w:space="0" w:color="auto"/>
                                  </w:tcBorders>
                                  <w:shd w:val="clear" w:color="auto" w:fill="auto"/>
                                  <w:vAlign w:val="center"/>
                                </w:tcPr>
                                <w:p w14:paraId="532C44DD"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7.62</w:t>
                                  </w:r>
                                </w:p>
                              </w:tc>
                              <w:tc>
                                <w:tcPr>
                                  <w:tcW w:w="843" w:type="dxa"/>
                                  <w:tcBorders>
                                    <w:bottom w:val="double" w:sz="4" w:space="0" w:color="auto"/>
                                  </w:tcBorders>
                                  <w:shd w:val="clear" w:color="auto" w:fill="auto"/>
                                  <w:vAlign w:val="center"/>
                                </w:tcPr>
                                <w:p w14:paraId="645AA4EE"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7.94</w:t>
                                  </w:r>
                                </w:p>
                              </w:tc>
                              <w:tc>
                                <w:tcPr>
                                  <w:tcW w:w="843" w:type="dxa"/>
                                  <w:tcBorders>
                                    <w:bottom w:val="double" w:sz="4" w:space="0" w:color="auto"/>
                                  </w:tcBorders>
                                  <w:shd w:val="clear" w:color="auto" w:fill="auto"/>
                                  <w:vAlign w:val="center"/>
                                </w:tcPr>
                                <w:p w14:paraId="047625B7"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8.00</w:t>
                                  </w:r>
                                </w:p>
                              </w:tc>
                              <w:tc>
                                <w:tcPr>
                                  <w:tcW w:w="843" w:type="dxa"/>
                                  <w:tcBorders>
                                    <w:bottom w:val="double" w:sz="4" w:space="0" w:color="auto"/>
                                  </w:tcBorders>
                                  <w:shd w:val="clear" w:color="auto" w:fill="auto"/>
                                  <w:vAlign w:val="center"/>
                                </w:tcPr>
                                <w:p w14:paraId="43919C7F"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8.</w:t>
                                  </w:r>
                                  <w:r>
                                    <w:rPr>
                                      <w:rFonts w:ascii="標楷體" w:eastAsia="標楷體" w:hAnsi="標楷體" w:hint="eastAsia"/>
                                      <w:sz w:val="20"/>
                                    </w:rPr>
                                    <w:t>60</w:t>
                                  </w:r>
                                </w:p>
                              </w:tc>
                              <w:tc>
                                <w:tcPr>
                                  <w:tcW w:w="843" w:type="dxa"/>
                                  <w:tcBorders>
                                    <w:bottom w:val="double" w:sz="4" w:space="0" w:color="auto"/>
                                  </w:tcBorders>
                                  <w:shd w:val="clear" w:color="auto" w:fill="auto"/>
                                  <w:vAlign w:val="center"/>
                                </w:tcPr>
                                <w:p w14:paraId="442D84C2"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10.10</w:t>
                                  </w:r>
                                </w:p>
                              </w:tc>
                            </w:tr>
                            <w:tr w:rsidR="00A0212B" w:rsidRPr="00717C29" w14:paraId="094BD946" w14:textId="77777777" w:rsidTr="005455D1">
                              <w:trPr>
                                <w:trHeight w:val="397"/>
                                <w:jc w:val="center"/>
                              </w:trPr>
                              <w:tc>
                                <w:tcPr>
                                  <w:tcW w:w="1087" w:type="dxa"/>
                                  <w:vMerge w:val="restart"/>
                                  <w:tcBorders>
                                    <w:top w:val="double" w:sz="4" w:space="0" w:color="auto"/>
                                    <w:left w:val="single" w:sz="4" w:space="0" w:color="auto"/>
                                    <w:right w:val="single" w:sz="4" w:space="0" w:color="auto"/>
                                  </w:tcBorders>
                                  <w:shd w:val="clear" w:color="auto" w:fill="auto"/>
                                  <w:vAlign w:val="center"/>
                                </w:tcPr>
                                <w:p w14:paraId="531BB79C"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8E69A1">
                                    <w:rPr>
                                      <w:rFonts w:ascii="標楷體" w:eastAsia="標楷體" w:hAnsi="標楷體" w:cs="Arial" w:hint="eastAsia"/>
                                      <w:kern w:val="0"/>
                                      <w:sz w:val="20"/>
                                    </w:rPr>
                                    <w:t>評選項目納入CSR指標比率</w:t>
                                  </w:r>
                                  <w:r w:rsidRPr="00717C29">
                                    <w:rPr>
                                      <w:rFonts w:ascii="標楷體" w:eastAsia="標楷體" w:hAnsi="標楷體" w:cs="Arial" w:hint="eastAsia"/>
                                      <w:kern w:val="0"/>
                                      <w:sz w:val="20"/>
                                    </w:rPr>
                                    <w:t>低於全國平均之</w:t>
                                  </w:r>
                                  <w:r w:rsidRPr="00717C29">
                                    <w:rPr>
                                      <w:rFonts w:ascii="標楷體" w:eastAsia="標楷體" w:hAnsi="標楷體" w:cs="Arial"/>
                                      <w:kern w:val="0"/>
                                      <w:sz w:val="20"/>
                                    </w:rPr>
                                    <w:t>中央機關</w:t>
                                  </w:r>
                                </w:p>
                              </w:tc>
                              <w:tc>
                                <w:tcPr>
                                  <w:tcW w:w="1253" w:type="dxa"/>
                                  <w:tcBorders>
                                    <w:top w:val="double" w:sz="4" w:space="0" w:color="auto"/>
                                    <w:left w:val="single" w:sz="4" w:space="0" w:color="auto"/>
                                    <w:bottom w:val="single" w:sz="4" w:space="0" w:color="auto"/>
                                    <w:right w:val="single" w:sz="4" w:space="0" w:color="auto"/>
                                  </w:tcBorders>
                                  <w:vAlign w:val="center"/>
                                </w:tcPr>
                                <w:p w14:paraId="695FC88A"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司法院</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1A9D536A"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0.73</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2095D7F6"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0.36</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2F8AB2AA"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2.02</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76F4E35E"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1.92</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2BC39585"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1.75</w:t>
                                  </w:r>
                                </w:p>
                              </w:tc>
                            </w:tr>
                            <w:tr w:rsidR="00A0212B" w:rsidRPr="00717C29" w14:paraId="0D7BD972" w14:textId="77777777" w:rsidTr="005455D1">
                              <w:trPr>
                                <w:trHeight w:val="397"/>
                                <w:jc w:val="center"/>
                              </w:trPr>
                              <w:tc>
                                <w:tcPr>
                                  <w:tcW w:w="1087" w:type="dxa"/>
                                  <w:vMerge/>
                                  <w:tcBorders>
                                    <w:left w:val="single" w:sz="4" w:space="0" w:color="auto"/>
                                    <w:right w:val="single" w:sz="4" w:space="0" w:color="auto"/>
                                  </w:tcBorders>
                                  <w:shd w:val="clear" w:color="auto" w:fill="auto"/>
                                  <w:vAlign w:val="center"/>
                                </w:tcPr>
                                <w:p w14:paraId="3DDB109F"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p>
                              </w:tc>
                              <w:tc>
                                <w:tcPr>
                                  <w:tcW w:w="1253" w:type="dxa"/>
                                  <w:tcBorders>
                                    <w:top w:val="single" w:sz="4" w:space="0" w:color="auto"/>
                                    <w:left w:val="single" w:sz="4" w:space="0" w:color="auto"/>
                                  </w:tcBorders>
                                  <w:vAlign w:val="center"/>
                                </w:tcPr>
                                <w:p w14:paraId="18197476"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BC0ECA">
                                    <w:rPr>
                                      <w:rFonts w:ascii="標楷體" w:eastAsia="標楷體" w:hAnsi="標楷體" w:cs="Arial" w:hint="eastAsia"/>
                                      <w:kern w:val="0"/>
                                      <w:sz w:val="20"/>
                                    </w:rPr>
                                    <w:t>農業委員會（農業部）</w:t>
                                  </w:r>
                                </w:p>
                              </w:tc>
                              <w:tc>
                                <w:tcPr>
                                  <w:tcW w:w="843" w:type="dxa"/>
                                  <w:tcBorders>
                                    <w:top w:val="single" w:sz="4" w:space="0" w:color="auto"/>
                                  </w:tcBorders>
                                  <w:shd w:val="clear" w:color="auto" w:fill="auto"/>
                                  <w:vAlign w:val="center"/>
                                </w:tcPr>
                                <w:p w14:paraId="23959E66"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4.31</w:t>
                                  </w:r>
                                </w:p>
                              </w:tc>
                              <w:tc>
                                <w:tcPr>
                                  <w:tcW w:w="843" w:type="dxa"/>
                                  <w:tcBorders>
                                    <w:top w:val="single" w:sz="4" w:space="0" w:color="auto"/>
                                  </w:tcBorders>
                                  <w:shd w:val="clear" w:color="auto" w:fill="auto"/>
                                  <w:vAlign w:val="center"/>
                                </w:tcPr>
                                <w:p w14:paraId="3DEA6621"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5.34</w:t>
                                  </w:r>
                                </w:p>
                              </w:tc>
                              <w:tc>
                                <w:tcPr>
                                  <w:tcW w:w="843" w:type="dxa"/>
                                  <w:tcBorders>
                                    <w:top w:val="single" w:sz="4" w:space="0" w:color="auto"/>
                                  </w:tcBorders>
                                  <w:shd w:val="clear" w:color="auto" w:fill="auto"/>
                                  <w:vAlign w:val="center"/>
                                </w:tcPr>
                                <w:p w14:paraId="645CC6DE"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5.71</w:t>
                                  </w:r>
                                </w:p>
                              </w:tc>
                              <w:tc>
                                <w:tcPr>
                                  <w:tcW w:w="843" w:type="dxa"/>
                                  <w:tcBorders>
                                    <w:top w:val="single" w:sz="4" w:space="0" w:color="auto"/>
                                  </w:tcBorders>
                                  <w:shd w:val="clear" w:color="auto" w:fill="auto"/>
                                  <w:vAlign w:val="center"/>
                                </w:tcPr>
                                <w:p w14:paraId="56462C68"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4.97</w:t>
                                  </w:r>
                                </w:p>
                              </w:tc>
                              <w:tc>
                                <w:tcPr>
                                  <w:tcW w:w="843" w:type="dxa"/>
                                  <w:tcBorders>
                                    <w:top w:val="single" w:sz="4" w:space="0" w:color="auto"/>
                                  </w:tcBorders>
                                  <w:shd w:val="clear" w:color="auto" w:fill="auto"/>
                                  <w:vAlign w:val="center"/>
                                </w:tcPr>
                                <w:p w14:paraId="5D2271FD"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11.84</w:t>
                                  </w:r>
                                </w:p>
                              </w:tc>
                            </w:tr>
                            <w:tr w:rsidR="00A0212B" w:rsidRPr="00717C29" w14:paraId="1A700182" w14:textId="77777777" w:rsidTr="005455D1">
                              <w:trPr>
                                <w:trHeight w:val="397"/>
                                <w:jc w:val="center"/>
                              </w:trPr>
                              <w:tc>
                                <w:tcPr>
                                  <w:tcW w:w="1087" w:type="dxa"/>
                                  <w:vMerge/>
                                  <w:tcBorders>
                                    <w:left w:val="single" w:sz="4" w:space="0" w:color="auto"/>
                                    <w:right w:val="single" w:sz="4" w:space="0" w:color="auto"/>
                                  </w:tcBorders>
                                  <w:shd w:val="clear" w:color="auto" w:fill="auto"/>
                                  <w:vAlign w:val="center"/>
                                </w:tcPr>
                                <w:p w14:paraId="6351986B"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p>
                              </w:tc>
                              <w:tc>
                                <w:tcPr>
                                  <w:tcW w:w="1253" w:type="dxa"/>
                                  <w:tcBorders>
                                    <w:left w:val="single" w:sz="4" w:space="0" w:color="auto"/>
                                  </w:tcBorders>
                                  <w:vAlign w:val="center"/>
                                </w:tcPr>
                                <w:p w14:paraId="4C512EF1"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國防部</w:t>
                                  </w:r>
                                </w:p>
                              </w:tc>
                              <w:tc>
                                <w:tcPr>
                                  <w:tcW w:w="843" w:type="dxa"/>
                                  <w:shd w:val="clear" w:color="auto" w:fill="auto"/>
                                  <w:vAlign w:val="center"/>
                                </w:tcPr>
                                <w:p w14:paraId="6182A6DF"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8.84</w:t>
                                  </w:r>
                                </w:p>
                              </w:tc>
                              <w:tc>
                                <w:tcPr>
                                  <w:tcW w:w="843" w:type="dxa"/>
                                  <w:shd w:val="clear" w:color="auto" w:fill="auto"/>
                                  <w:vAlign w:val="center"/>
                                </w:tcPr>
                                <w:p w14:paraId="6C489240"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8.83</w:t>
                                  </w:r>
                                </w:p>
                              </w:tc>
                              <w:tc>
                                <w:tcPr>
                                  <w:tcW w:w="843" w:type="dxa"/>
                                  <w:shd w:val="clear" w:color="auto" w:fill="auto"/>
                                  <w:vAlign w:val="center"/>
                                </w:tcPr>
                                <w:p w14:paraId="371F87E7"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8.45</w:t>
                                  </w:r>
                                </w:p>
                              </w:tc>
                              <w:tc>
                                <w:tcPr>
                                  <w:tcW w:w="843" w:type="dxa"/>
                                  <w:shd w:val="clear" w:color="auto" w:fill="auto"/>
                                  <w:vAlign w:val="center"/>
                                </w:tcPr>
                                <w:p w14:paraId="4FAD7D10"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6.94</w:t>
                                  </w:r>
                                </w:p>
                              </w:tc>
                              <w:tc>
                                <w:tcPr>
                                  <w:tcW w:w="843" w:type="dxa"/>
                                  <w:shd w:val="clear" w:color="auto" w:fill="auto"/>
                                  <w:vAlign w:val="center"/>
                                </w:tcPr>
                                <w:p w14:paraId="4DA3A7FA"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9.18</w:t>
                                  </w:r>
                                </w:p>
                              </w:tc>
                            </w:tr>
                            <w:tr w:rsidR="00A0212B" w:rsidRPr="00717C29" w14:paraId="791F54AD" w14:textId="77777777" w:rsidTr="005455D1">
                              <w:trPr>
                                <w:trHeight w:val="397"/>
                                <w:jc w:val="center"/>
                              </w:trPr>
                              <w:tc>
                                <w:tcPr>
                                  <w:tcW w:w="1087" w:type="dxa"/>
                                  <w:vMerge/>
                                  <w:tcBorders>
                                    <w:left w:val="single" w:sz="4" w:space="0" w:color="auto"/>
                                    <w:right w:val="single" w:sz="4" w:space="0" w:color="auto"/>
                                  </w:tcBorders>
                                  <w:shd w:val="clear" w:color="auto" w:fill="auto"/>
                                  <w:vAlign w:val="center"/>
                                </w:tcPr>
                                <w:p w14:paraId="55F689FA"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p>
                              </w:tc>
                              <w:tc>
                                <w:tcPr>
                                  <w:tcW w:w="1253" w:type="dxa"/>
                                  <w:tcBorders>
                                    <w:left w:val="single" w:sz="4" w:space="0" w:color="auto"/>
                                  </w:tcBorders>
                                  <w:vAlign w:val="center"/>
                                </w:tcPr>
                                <w:p w14:paraId="6E182D09"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交通部</w:t>
                                  </w:r>
                                </w:p>
                              </w:tc>
                              <w:tc>
                                <w:tcPr>
                                  <w:tcW w:w="843" w:type="dxa"/>
                                  <w:shd w:val="clear" w:color="auto" w:fill="auto"/>
                                  <w:vAlign w:val="center"/>
                                </w:tcPr>
                                <w:p w14:paraId="30849DB8"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5.69</w:t>
                                  </w:r>
                                </w:p>
                              </w:tc>
                              <w:tc>
                                <w:tcPr>
                                  <w:tcW w:w="843" w:type="dxa"/>
                                  <w:shd w:val="clear" w:color="auto" w:fill="auto"/>
                                  <w:vAlign w:val="center"/>
                                </w:tcPr>
                                <w:p w14:paraId="6AA3619A"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8.08</w:t>
                                  </w:r>
                                </w:p>
                              </w:tc>
                              <w:tc>
                                <w:tcPr>
                                  <w:tcW w:w="843" w:type="dxa"/>
                                  <w:shd w:val="clear" w:color="auto" w:fill="auto"/>
                                  <w:vAlign w:val="center"/>
                                </w:tcPr>
                                <w:p w14:paraId="18E42EE8"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8.71</w:t>
                                  </w:r>
                                </w:p>
                              </w:tc>
                              <w:tc>
                                <w:tcPr>
                                  <w:tcW w:w="843" w:type="dxa"/>
                                  <w:shd w:val="clear" w:color="auto" w:fill="auto"/>
                                  <w:vAlign w:val="center"/>
                                </w:tcPr>
                                <w:p w14:paraId="04E84B95"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10.09</w:t>
                                  </w:r>
                                </w:p>
                              </w:tc>
                              <w:tc>
                                <w:tcPr>
                                  <w:tcW w:w="843" w:type="dxa"/>
                                  <w:shd w:val="clear" w:color="auto" w:fill="auto"/>
                                  <w:vAlign w:val="center"/>
                                </w:tcPr>
                                <w:p w14:paraId="5EA849AD"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15.44</w:t>
                                  </w:r>
                                </w:p>
                              </w:tc>
                            </w:tr>
                          </w:tbl>
                          <w:p w14:paraId="23998D18" w14:textId="0FBE134D" w:rsidR="00A0212B" w:rsidRPr="00BC0ECA" w:rsidRDefault="00A0212B" w:rsidP="00E31547">
                            <w:pPr>
                              <w:pStyle w:val="afffa"/>
                              <w:overflowPunct w:val="0"/>
                              <w:autoSpaceDE w:val="0"/>
                              <w:autoSpaceDN w:val="0"/>
                              <w:adjustRightInd w:val="0"/>
                              <w:snapToGrid w:val="0"/>
                              <w:spacing w:line="240" w:lineRule="exact"/>
                              <w:ind w:leftChars="0" w:left="0"/>
                              <w:jc w:val="both"/>
                              <w:rPr>
                                <w:rFonts w:ascii="標楷體" w:eastAsia="標楷體" w:hAnsi="標楷體" w:cs="Arial"/>
                                <w:snapToGrid w:val="0"/>
                                <w:kern w:val="0"/>
                                <w:sz w:val="18"/>
                                <w:szCs w:val="18"/>
                              </w:rPr>
                            </w:pPr>
                            <w:r w:rsidRPr="00BC0ECA">
                              <w:rPr>
                                <w:rFonts w:ascii="標楷體" w:eastAsia="標楷體" w:hAnsi="標楷體" w:cs="Arial" w:hint="eastAsia"/>
                                <w:snapToGrid w:val="0"/>
                                <w:kern w:val="0"/>
                                <w:sz w:val="18"/>
                                <w:szCs w:val="18"/>
                              </w:rPr>
                              <w:t>資料來源：整理自</w:t>
                            </w:r>
                            <w:r w:rsidRPr="00252060">
                              <w:rPr>
                                <w:rFonts w:ascii="標楷體" w:eastAsia="標楷體" w:hAnsi="標楷體" w:cs="Arial" w:hint="eastAsia"/>
                                <w:snapToGrid w:val="0"/>
                                <w:kern w:val="0"/>
                                <w:sz w:val="18"/>
                                <w:szCs w:val="18"/>
                              </w:rPr>
                              <w:t>行政院公共工程委員會</w:t>
                            </w:r>
                            <w:r w:rsidRPr="00BC0ECA">
                              <w:rPr>
                                <w:rFonts w:ascii="標楷體" w:eastAsia="標楷體" w:hAnsi="標楷體" w:cs="Arial" w:hint="eastAsia"/>
                                <w:snapToGrid w:val="0"/>
                                <w:kern w:val="0"/>
                                <w:sz w:val="18"/>
                                <w:szCs w:val="18"/>
                              </w:rPr>
                              <w:t>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CC2DB5" id="文字方塊 74" o:spid="_x0000_s1128" type="#_x0000_t202" style="position:absolute;left:0;text-align:left;margin-left:160.45pt;margin-top:165pt;width:334.45pt;height:288.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" fillcolor="white [3201]" stroked="f" strokeweight=".5pt">
                <v:textbox inset="1mm,1mm,1mm,1mm">
                  <w:txbxContent>
                    <w:p w14:paraId="0C219BD7" w14:textId="2382A4AC" w:rsidR="00A0212B" w:rsidRPr="0077504F" w:rsidRDefault="00A0212B" w:rsidP="0065120E">
                      <w:pPr>
                        <w:pStyle w:val="affffff"/>
                        <w:spacing w:line="280" w:lineRule="exact"/>
                        <w:ind w:leftChars="0" w:left="841" w:hangingChars="350" w:hanging="841"/>
                        <w:rPr>
                          <w:b/>
                          <w:sz w:val="24"/>
                          <w:szCs w:val="24"/>
                        </w:rPr>
                      </w:pPr>
                      <w:r w:rsidRPr="0077504F">
                        <w:rPr>
                          <w:rFonts w:hint="eastAsia"/>
                          <w:b/>
                          <w:sz w:val="24"/>
                          <w:szCs w:val="24"/>
                        </w:rPr>
                        <w:t>表</w:t>
                      </w:r>
                      <w:r>
                        <w:rPr>
                          <w:b/>
                          <w:sz w:val="24"/>
                          <w:szCs w:val="24"/>
                        </w:rPr>
                        <w:t>41</w:t>
                      </w:r>
                      <w:r>
                        <w:rPr>
                          <w:rFonts w:hint="eastAsia"/>
                          <w:b/>
                          <w:sz w:val="24"/>
                          <w:szCs w:val="24"/>
                        </w:rPr>
                        <w:t xml:space="preserve">　全國</w:t>
                      </w:r>
                      <w:r>
                        <w:rPr>
                          <w:b/>
                          <w:sz w:val="24"/>
                          <w:szCs w:val="24"/>
                        </w:rPr>
                        <w:t>採購機關</w:t>
                      </w:r>
                      <w:r w:rsidRPr="0077504F">
                        <w:rPr>
                          <w:rFonts w:hint="eastAsia"/>
                          <w:b/>
                          <w:sz w:val="24"/>
                          <w:szCs w:val="24"/>
                        </w:rPr>
                        <w:t>將</w:t>
                      </w:r>
                      <w:r w:rsidRPr="00717C29">
                        <w:rPr>
                          <w:rFonts w:hint="eastAsia"/>
                          <w:b/>
                          <w:sz w:val="24"/>
                          <w:szCs w:val="24"/>
                        </w:rPr>
                        <w:t>企業社會責任指標</w:t>
                      </w:r>
                      <w:r>
                        <w:rPr>
                          <w:rFonts w:hint="eastAsia"/>
                          <w:b/>
                          <w:sz w:val="24"/>
                          <w:szCs w:val="24"/>
                        </w:rPr>
                        <w:t>（</w:t>
                      </w:r>
                      <w:r w:rsidRPr="0077504F">
                        <w:rPr>
                          <w:rFonts w:hint="eastAsia"/>
                          <w:b/>
                          <w:sz w:val="24"/>
                          <w:szCs w:val="24"/>
                        </w:rPr>
                        <w:t>CSR指標</w:t>
                      </w:r>
                      <w:r>
                        <w:rPr>
                          <w:rFonts w:hint="eastAsia"/>
                          <w:b/>
                          <w:sz w:val="24"/>
                          <w:szCs w:val="24"/>
                        </w:rPr>
                        <w:t>）</w:t>
                      </w:r>
                      <w:r w:rsidRPr="0077504F">
                        <w:rPr>
                          <w:rFonts w:hint="eastAsia"/>
                          <w:b/>
                          <w:sz w:val="24"/>
                          <w:szCs w:val="24"/>
                        </w:rPr>
                        <w:t>納入評選項目</w:t>
                      </w:r>
                      <w:r w:rsidRPr="004505DE">
                        <w:rPr>
                          <w:rFonts w:hint="eastAsia"/>
                          <w:b/>
                          <w:sz w:val="24"/>
                          <w:szCs w:val="24"/>
                        </w:rPr>
                        <w:t>之採購案件占比</w:t>
                      </w:r>
                    </w:p>
                    <w:p w14:paraId="00643FFB" w14:textId="77777777" w:rsidR="00A0212B" w:rsidRDefault="00A0212B" w:rsidP="005455D1">
                      <w:pPr>
                        <w:pStyle w:val="afffa"/>
                        <w:wordWrap w:val="0"/>
                        <w:overflowPunct w:val="0"/>
                        <w:autoSpaceDE w:val="0"/>
                        <w:autoSpaceDN w:val="0"/>
                        <w:adjustRightInd w:val="0"/>
                        <w:snapToGrid w:val="0"/>
                        <w:spacing w:line="300" w:lineRule="exact"/>
                        <w:ind w:leftChars="0" w:left="737" w:rightChars="20" w:right="48"/>
                        <w:jc w:val="right"/>
                        <w:rPr>
                          <w:rFonts w:ascii="標楷體" w:eastAsia="標楷體" w:hAnsi="標楷體" w:cs="Arial"/>
                          <w:snapToGrid w:val="0"/>
                          <w:kern w:val="0"/>
                          <w:sz w:val="18"/>
                          <w:szCs w:val="18"/>
                        </w:rPr>
                      </w:pPr>
                      <w:r w:rsidRPr="0077504F">
                        <w:rPr>
                          <w:rFonts w:ascii="標楷體" w:eastAsia="標楷體" w:hAnsi="標楷體" w:cs="Arial" w:hint="eastAsia"/>
                          <w:snapToGrid w:val="0"/>
                          <w:kern w:val="0"/>
                          <w:sz w:val="20"/>
                        </w:rPr>
                        <w:t>單位：％</w:t>
                      </w:r>
                    </w:p>
                    <w:tbl>
                      <w:tblPr>
                        <w:tblStyle w:val="afff"/>
                        <w:tblW w:w="0" w:type="auto"/>
                        <w:jc w:val="center"/>
                        <w:tblLook w:val="04A0" w:firstRow="1" w:lastRow="0" w:firstColumn="1" w:lastColumn="0" w:noHBand="0" w:noVBand="1"/>
                      </w:tblPr>
                      <w:tblGrid>
                        <w:gridCol w:w="1087"/>
                        <w:gridCol w:w="1253"/>
                        <w:gridCol w:w="843"/>
                        <w:gridCol w:w="843"/>
                        <w:gridCol w:w="843"/>
                        <w:gridCol w:w="843"/>
                        <w:gridCol w:w="843"/>
                      </w:tblGrid>
                      <w:tr w:rsidR="00A0212B" w:rsidRPr="00717C29" w14:paraId="4E21239C" w14:textId="77777777" w:rsidTr="005455D1">
                        <w:trPr>
                          <w:trHeight w:val="397"/>
                          <w:jc w:val="center"/>
                        </w:trPr>
                        <w:tc>
                          <w:tcPr>
                            <w:tcW w:w="2340" w:type="dxa"/>
                            <w:gridSpan w:val="2"/>
                            <w:tcBorders>
                              <w:tl2br w:val="single" w:sz="4" w:space="0" w:color="auto"/>
                            </w:tcBorders>
                            <w:shd w:val="clear" w:color="auto" w:fill="auto"/>
                            <w:vAlign w:val="center"/>
                          </w:tcPr>
                          <w:p w14:paraId="20F72E7E" w14:textId="77777777" w:rsidR="00A0212B" w:rsidRDefault="00A0212B" w:rsidP="00416F31">
                            <w:pPr>
                              <w:widowControl/>
                              <w:overflowPunct w:val="0"/>
                              <w:autoSpaceDE w:val="0"/>
                              <w:autoSpaceDN w:val="0"/>
                              <w:adjustRightInd w:val="0"/>
                              <w:snapToGrid w:val="0"/>
                              <w:spacing w:line="240" w:lineRule="exact"/>
                              <w:ind w:firstLine="400"/>
                              <w:jc w:val="right"/>
                              <w:rPr>
                                <w:rFonts w:ascii="標楷體" w:eastAsia="標楷體" w:hAnsi="標楷體" w:cs="Arial"/>
                                <w:kern w:val="0"/>
                                <w:sz w:val="20"/>
                              </w:rPr>
                            </w:pPr>
                            <w:r>
                              <w:rPr>
                                <w:rFonts w:ascii="標楷體" w:eastAsia="標楷體" w:hAnsi="標楷體" w:cs="Arial" w:hint="eastAsia"/>
                                <w:kern w:val="0"/>
                                <w:sz w:val="20"/>
                              </w:rPr>
                              <w:t>年度</w:t>
                            </w:r>
                          </w:p>
                          <w:p w14:paraId="45BF54FE" w14:textId="77777777" w:rsidR="00A0212B" w:rsidRPr="00717C29" w:rsidRDefault="00A0212B" w:rsidP="005455D1">
                            <w:pPr>
                              <w:widowControl/>
                              <w:overflowPunct w:val="0"/>
                              <w:autoSpaceDE w:val="0"/>
                              <w:autoSpaceDN w:val="0"/>
                              <w:adjustRightInd w:val="0"/>
                              <w:snapToGrid w:val="0"/>
                              <w:spacing w:line="240" w:lineRule="exact"/>
                              <w:rPr>
                                <w:rFonts w:ascii="標楷體" w:eastAsia="標楷體" w:hAnsi="標楷體" w:cs="Arial"/>
                                <w:kern w:val="0"/>
                                <w:sz w:val="20"/>
                              </w:rPr>
                            </w:pPr>
                            <w:r w:rsidRPr="00717C29">
                              <w:rPr>
                                <w:rFonts w:ascii="標楷體" w:eastAsia="標楷體" w:hAnsi="標楷體" w:cs="Arial" w:hint="eastAsia"/>
                                <w:kern w:val="0"/>
                                <w:sz w:val="20"/>
                              </w:rPr>
                              <w:t>主管機關</w:t>
                            </w:r>
                          </w:p>
                        </w:tc>
                        <w:tc>
                          <w:tcPr>
                            <w:tcW w:w="843" w:type="dxa"/>
                            <w:vAlign w:val="center"/>
                          </w:tcPr>
                          <w:p w14:paraId="582C657F"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08</w:t>
                            </w:r>
                          </w:p>
                        </w:tc>
                        <w:tc>
                          <w:tcPr>
                            <w:tcW w:w="843" w:type="dxa"/>
                            <w:vAlign w:val="center"/>
                          </w:tcPr>
                          <w:p w14:paraId="3A3E8F15"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09</w:t>
                            </w:r>
                          </w:p>
                        </w:tc>
                        <w:tc>
                          <w:tcPr>
                            <w:tcW w:w="843" w:type="dxa"/>
                            <w:shd w:val="clear" w:color="auto" w:fill="auto"/>
                            <w:vAlign w:val="center"/>
                          </w:tcPr>
                          <w:p w14:paraId="0D03D938"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10</w:t>
                            </w:r>
                          </w:p>
                        </w:tc>
                        <w:tc>
                          <w:tcPr>
                            <w:tcW w:w="843" w:type="dxa"/>
                            <w:shd w:val="clear" w:color="auto" w:fill="auto"/>
                            <w:vAlign w:val="center"/>
                          </w:tcPr>
                          <w:p w14:paraId="67B102D9"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11</w:t>
                            </w:r>
                          </w:p>
                        </w:tc>
                        <w:tc>
                          <w:tcPr>
                            <w:tcW w:w="843" w:type="dxa"/>
                            <w:vAlign w:val="center"/>
                          </w:tcPr>
                          <w:p w14:paraId="0CC71FF1"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1</w:t>
                            </w:r>
                            <w:r w:rsidRPr="00717C29">
                              <w:rPr>
                                <w:rFonts w:ascii="標楷體" w:eastAsia="標楷體" w:hAnsi="標楷體" w:cs="Arial"/>
                                <w:kern w:val="0"/>
                                <w:sz w:val="20"/>
                              </w:rPr>
                              <w:t>12</w:t>
                            </w:r>
                          </w:p>
                        </w:tc>
                      </w:tr>
                      <w:tr w:rsidR="00A0212B" w:rsidRPr="00717C29" w14:paraId="17117AFD" w14:textId="77777777" w:rsidTr="005455D1">
                        <w:trPr>
                          <w:trHeight w:val="397"/>
                          <w:jc w:val="center"/>
                        </w:trPr>
                        <w:tc>
                          <w:tcPr>
                            <w:tcW w:w="2340" w:type="dxa"/>
                            <w:gridSpan w:val="2"/>
                            <w:shd w:val="clear" w:color="auto" w:fill="auto"/>
                            <w:vAlign w:val="center"/>
                          </w:tcPr>
                          <w:p w14:paraId="68600750"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b/>
                                <w:sz w:val="20"/>
                              </w:rPr>
                            </w:pPr>
                            <w:r w:rsidRPr="00717C29">
                              <w:rPr>
                                <w:rFonts w:ascii="標楷體" w:eastAsia="標楷體" w:hAnsi="標楷體" w:cs="Arial" w:hint="eastAsia"/>
                                <w:b/>
                                <w:kern w:val="0"/>
                                <w:sz w:val="20"/>
                              </w:rPr>
                              <w:t>全國平均值</w:t>
                            </w:r>
                          </w:p>
                        </w:tc>
                        <w:tc>
                          <w:tcPr>
                            <w:tcW w:w="843" w:type="dxa"/>
                            <w:shd w:val="clear" w:color="auto" w:fill="auto"/>
                            <w:vAlign w:val="center"/>
                          </w:tcPr>
                          <w:p w14:paraId="47057AA1"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11.83</w:t>
                            </w:r>
                          </w:p>
                        </w:tc>
                        <w:tc>
                          <w:tcPr>
                            <w:tcW w:w="843" w:type="dxa"/>
                            <w:shd w:val="clear" w:color="auto" w:fill="auto"/>
                            <w:vAlign w:val="center"/>
                          </w:tcPr>
                          <w:p w14:paraId="383E41EA"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13.40</w:t>
                            </w:r>
                          </w:p>
                        </w:tc>
                        <w:tc>
                          <w:tcPr>
                            <w:tcW w:w="843" w:type="dxa"/>
                            <w:shd w:val="clear" w:color="auto" w:fill="auto"/>
                            <w:vAlign w:val="center"/>
                          </w:tcPr>
                          <w:p w14:paraId="4773762A"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13.66</w:t>
                            </w:r>
                          </w:p>
                        </w:tc>
                        <w:tc>
                          <w:tcPr>
                            <w:tcW w:w="843" w:type="dxa"/>
                            <w:shd w:val="clear" w:color="auto" w:fill="auto"/>
                            <w:vAlign w:val="center"/>
                          </w:tcPr>
                          <w:p w14:paraId="33890007"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14.38</w:t>
                            </w:r>
                          </w:p>
                        </w:tc>
                        <w:tc>
                          <w:tcPr>
                            <w:tcW w:w="843" w:type="dxa"/>
                            <w:shd w:val="clear" w:color="auto" w:fill="auto"/>
                            <w:vAlign w:val="center"/>
                          </w:tcPr>
                          <w:p w14:paraId="29D2CD0F" w14:textId="77777777" w:rsidR="00A0212B" w:rsidRPr="00717C29" w:rsidRDefault="00A0212B" w:rsidP="005455D1">
                            <w:pPr>
                              <w:spacing w:line="240" w:lineRule="exact"/>
                              <w:jc w:val="right"/>
                              <w:rPr>
                                <w:rFonts w:ascii="標楷體" w:eastAsia="標楷體" w:hAnsi="標楷體"/>
                                <w:b/>
                                <w:sz w:val="20"/>
                              </w:rPr>
                            </w:pPr>
                            <w:r w:rsidRPr="00717C29">
                              <w:rPr>
                                <w:rFonts w:ascii="標楷體" w:eastAsia="標楷體" w:hAnsi="標楷體"/>
                                <w:b/>
                                <w:sz w:val="20"/>
                              </w:rPr>
                              <w:t>17.04</w:t>
                            </w:r>
                          </w:p>
                        </w:tc>
                      </w:tr>
                      <w:tr w:rsidR="00A0212B" w:rsidRPr="00717C29" w14:paraId="7C6509D6" w14:textId="77777777" w:rsidTr="005455D1">
                        <w:trPr>
                          <w:trHeight w:val="397"/>
                          <w:jc w:val="center"/>
                        </w:trPr>
                        <w:tc>
                          <w:tcPr>
                            <w:tcW w:w="2340" w:type="dxa"/>
                            <w:gridSpan w:val="2"/>
                            <w:shd w:val="clear" w:color="auto" w:fill="auto"/>
                            <w:vAlign w:val="center"/>
                          </w:tcPr>
                          <w:p w14:paraId="14A7FAC7"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中央</w:t>
                            </w:r>
                            <w:r w:rsidRPr="00717C29">
                              <w:rPr>
                                <w:rFonts w:ascii="標楷體" w:eastAsia="標楷體" w:hAnsi="標楷體" w:cs="Arial"/>
                                <w:kern w:val="0"/>
                                <w:sz w:val="20"/>
                              </w:rPr>
                              <w:t>機關</w:t>
                            </w:r>
                          </w:p>
                          <w:p w14:paraId="0B4C66FC" w14:textId="7C14ECA7" w:rsidR="00A0212B" w:rsidRPr="00717C29" w:rsidRDefault="00A0212B" w:rsidP="005455D1">
                            <w:pPr>
                              <w:spacing w:line="240" w:lineRule="exact"/>
                              <w:jc w:val="center"/>
                              <w:rPr>
                                <w:rFonts w:ascii="標楷體" w:eastAsia="標楷體" w:hAnsi="標楷體"/>
                                <w:sz w:val="20"/>
                              </w:rPr>
                            </w:pPr>
                            <w:r w:rsidRPr="00717C29">
                              <w:rPr>
                                <w:rFonts w:ascii="標楷體" w:eastAsia="標楷體" w:hAnsi="標楷體" w:cs="Arial" w:hint="eastAsia"/>
                                <w:kern w:val="0"/>
                                <w:sz w:val="20"/>
                              </w:rPr>
                              <w:t>（含</w:t>
                            </w:r>
                            <w:r>
                              <w:rPr>
                                <w:rFonts w:ascii="標楷體" w:eastAsia="標楷體" w:hAnsi="標楷體" w:cs="Arial"/>
                                <w:kern w:val="0"/>
                                <w:sz w:val="20"/>
                              </w:rPr>
                              <w:t>所屬</w:t>
                            </w:r>
                            <w:r>
                              <w:rPr>
                                <w:rFonts w:ascii="標楷體" w:eastAsia="標楷體" w:hAnsi="標楷體" w:cs="Arial" w:hint="eastAsia"/>
                                <w:kern w:val="0"/>
                                <w:sz w:val="20"/>
                              </w:rPr>
                              <w:t>學校</w:t>
                            </w:r>
                            <w:r w:rsidRPr="00717C29">
                              <w:rPr>
                                <w:rFonts w:ascii="標楷體" w:eastAsia="標楷體" w:hAnsi="標楷體" w:cs="Arial" w:hint="eastAsia"/>
                                <w:kern w:val="0"/>
                                <w:sz w:val="20"/>
                              </w:rPr>
                              <w:t>）</w:t>
                            </w:r>
                          </w:p>
                        </w:tc>
                        <w:tc>
                          <w:tcPr>
                            <w:tcW w:w="843" w:type="dxa"/>
                            <w:shd w:val="clear" w:color="auto" w:fill="auto"/>
                            <w:vAlign w:val="center"/>
                          </w:tcPr>
                          <w:p w14:paraId="0D1777FD"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22.37</w:t>
                            </w:r>
                          </w:p>
                        </w:tc>
                        <w:tc>
                          <w:tcPr>
                            <w:tcW w:w="843" w:type="dxa"/>
                            <w:shd w:val="clear" w:color="auto" w:fill="auto"/>
                            <w:vAlign w:val="center"/>
                          </w:tcPr>
                          <w:p w14:paraId="5862DF5A"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27.76</w:t>
                            </w:r>
                          </w:p>
                        </w:tc>
                        <w:tc>
                          <w:tcPr>
                            <w:tcW w:w="843" w:type="dxa"/>
                            <w:shd w:val="clear" w:color="auto" w:fill="auto"/>
                            <w:vAlign w:val="center"/>
                          </w:tcPr>
                          <w:p w14:paraId="641F739C"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28.95</w:t>
                            </w:r>
                          </w:p>
                        </w:tc>
                        <w:tc>
                          <w:tcPr>
                            <w:tcW w:w="843" w:type="dxa"/>
                            <w:shd w:val="clear" w:color="auto" w:fill="auto"/>
                            <w:vAlign w:val="center"/>
                          </w:tcPr>
                          <w:p w14:paraId="25A30170"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29.93</w:t>
                            </w:r>
                          </w:p>
                        </w:tc>
                        <w:tc>
                          <w:tcPr>
                            <w:tcW w:w="843" w:type="dxa"/>
                            <w:shd w:val="clear" w:color="auto" w:fill="auto"/>
                            <w:vAlign w:val="center"/>
                          </w:tcPr>
                          <w:p w14:paraId="797AF063"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34.37</w:t>
                            </w:r>
                          </w:p>
                        </w:tc>
                      </w:tr>
                      <w:tr w:rsidR="00A0212B" w:rsidRPr="00717C29" w14:paraId="68E3F9FE" w14:textId="77777777" w:rsidTr="005455D1">
                        <w:trPr>
                          <w:trHeight w:val="397"/>
                          <w:jc w:val="center"/>
                        </w:trPr>
                        <w:tc>
                          <w:tcPr>
                            <w:tcW w:w="2340" w:type="dxa"/>
                            <w:gridSpan w:val="2"/>
                            <w:shd w:val="clear" w:color="auto" w:fill="auto"/>
                            <w:vAlign w:val="center"/>
                          </w:tcPr>
                          <w:p w14:paraId="4B374AF5"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國營事業</w:t>
                            </w:r>
                          </w:p>
                          <w:p w14:paraId="2343685B" w14:textId="77777777" w:rsidR="00A0212B" w:rsidRPr="00717C29" w:rsidRDefault="00A0212B" w:rsidP="005455D1">
                            <w:pPr>
                              <w:spacing w:line="240" w:lineRule="exact"/>
                              <w:jc w:val="center"/>
                              <w:rPr>
                                <w:rFonts w:ascii="標楷體" w:eastAsia="標楷體" w:hAnsi="標楷體"/>
                                <w:sz w:val="20"/>
                              </w:rPr>
                            </w:pPr>
                            <w:r w:rsidRPr="00717C29">
                              <w:rPr>
                                <w:rFonts w:ascii="標楷體" w:eastAsia="標楷體" w:hAnsi="標楷體" w:cs="Arial" w:hint="eastAsia"/>
                                <w:kern w:val="0"/>
                                <w:sz w:val="20"/>
                              </w:rPr>
                              <w:t>（公營事業）</w:t>
                            </w:r>
                          </w:p>
                        </w:tc>
                        <w:tc>
                          <w:tcPr>
                            <w:tcW w:w="843" w:type="dxa"/>
                            <w:shd w:val="clear" w:color="auto" w:fill="auto"/>
                            <w:vAlign w:val="center"/>
                          </w:tcPr>
                          <w:p w14:paraId="6C072C3E"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23.86</w:t>
                            </w:r>
                          </w:p>
                        </w:tc>
                        <w:tc>
                          <w:tcPr>
                            <w:tcW w:w="843" w:type="dxa"/>
                            <w:shd w:val="clear" w:color="auto" w:fill="auto"/>
                            <w:vAlign w:val="center"/>
                          </w:tcPr>
                          <w:p w14:paraId="6A3947C6"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28.51</w:t>
                            </w:r>
                          </w:p>
                        </w:tc>
                        <w:tc>
                          <w:tcPr>
                            <w:tcW w:w="843" w:type="dxa"/>
                            <w:shd w:val="clear" w:color="auto" w:fill="auto"/>
                            <w:vAlign w:val="center"/>
                          </w:tcPr>
                          <w:p w14:paraId="32835D82"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29.02</w:t>
                            </w:r>
                          </w:p>
                        </w:tc>
                        <w:tc>
                          <w:tcPr>
                            <w:tcW w:w="843" w:type="dxa"/>
                            <w:shd w:val="clear" w:color="auto" w:fill="auto"/>
                            <w:vAlign w:val="center"/>
                          </w:tcPr>
                          <w:p w14:paraId="74A71140"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33.64</w:t>
                            </w:r>
                          </w:p>
                        </w:tc>
                        <w:tc>
                          <w:tcPr>
                            <w:tcW w:w="843" w:type="dxa"/>
                            <w:shd w:val="clear" w:color="auto" w:fill="auto"/>
                            <w:vAlign w:val="center"/>
                          </w:tcPr>
                          <w:p w14:paraId="484DB9F6"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41.52</w:t>
                            </w:r>
                          </w:p>
                        </w:tc>
                      </w:tr>
                      <w:tr w:rsidR="00A0212B" w:rsidRPr="00717C29" w14:paraId="214AF167" w14:textId="77777777" w:rsidTr="005455D1">
                        <w:trPr>
                          <w:trHeight w:val="397"/>
                          <w:jc w:val="center"/>
                        </w:trPr>
                        <w:tc>
                          <w:tcPr>
                            <w:tcW w:w="2340" w:type="dxa"/>
                            <w:gridSpan w:val="2"/>
                            <w:tcBorders>
                              <w:bottom w:val="double" w:sz="4" w:space="0" w:color="auto"/>
                            </w:tcBorders>
                            <w:shd w:val="clear" w:color="auto" w:fill="auto"/>
                            <w:vAlign w:val="center"/>
                          </w:tcPr>
                          <w:p w14:paraId="0CFA6722"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地方機關</w:t>
                            </w:r>
                          </w:p>
                          <w:p w14:paraId="7D533F5E" w14:textId="77777777" w:rsidR="00A0212B" w:rsidRPr="00717C29" w:rsidRDefault="00A0212B" w:rsidP="005455D1">
                            <w:pPr>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（含</w:t>
                            </w:r>
                            <w:r w:rsidRPr="00717C29">
                              <w:rPr>
                                <w:rFonts w:ascii="標楷體" w:eastAsia="標楷體" w:hAnsi="標楷體" w:cs="Arial"/>
                                <w:kern w:val="0"/>
                                <w:sz w:val="20"/>
                              </w:rPr>
                              <w:t>直轄市、縣市政府</w:t>
                            </w:r>
                          </w:p>
                          <w:p w14:paraId="7DB2E5F1" w14:textId="77777777" w:rsidR="00A0212B" w:rsidRPr="00717C29" w:rsidRDefault="00A0212B" w:rsidP="005455D1">
                            <w:pPr>
                              <w:spacing w:line="240" w:lineRule="exact"/>
                              <w:jc w:val="center"/>
                              <w:rPr>
                                <w:rFonts w:ascii="標楷體" w:eastAsia="標楷體" w:hAnsi="標楷體"/>
                                <w:sz w:val="20"/>
                              </w:rPr>
                            </w:pPr>
                            <w:r w:rsidRPr="00717C29">
                              <w:rPr>
                                <w:rFonts w:ascii="標楷體" w:eastAsia="標楷體" w:hAnsi="標楷體" w:cs="Arial"/>
                                <w:kern w:val="0"/>
                                <w:sz w:val="20"/>
                              </w:rPr>
                              <w:t>及所屬</w:t>
                            </w:r>
                            <w:r w:rsidRPr="00717C29">
                              <w:rPr>
                                <w:rFonts w:ascii="標楷體" w:eastAsia="標楷體" w:hAnsi="標楷體" w:cs="Arial" w:hint="eastAsia"/>
                                <w:kern w:val="0"/>
                                <w:sz w:val="20"/>
                              </w:rPr>
                              <w:t>暨</w:t>
                            </w:r>
                            <w:r w:rsidRPr="00717C29">
                              <w:rPr>
                                <w:rFonts w:ascii="標楷體" w:eastAsia="標楷體" w:hAnsi="標楷體" w:cs="Arial"/>
                                <w:kern w:val="0"/>
                                <w:sz w:val="20"/>
                              </w:rPr>
                              <w:t>學校</w:t>
                            </w:r>
                            <w:r w:rsidRPr="00717C29">
                              <w:rPr>
                                <w:rFonts w:ascii="標楷體" w:eastAsia="標楷體" w:hAnsi="標楷體" w:cs="Arial" w:hint="eastAsia"/>
                                <w:kern w:val="0"/>
                                <w:sz w:val="20"/>
                              </w:rPr>
                              <w:t>）</w:t>
                            </w:r>
                          </w:p>
                        </w:tc>
                        <w:tc>
                          <w:tcPr>
                            <w:tcW w:w="843" w:type="dxa"/>
                            <w:tcBorders>
                              <w:bottom w:val="double" w:sz="4" w:space="0" w:color="auto"/>
                            </w:tcBorders>
                            <w:shd w:val="clear" w:color="auto" w:fill="auto"/>
                            <w:vAlign w:val="center"/>
                          </w:tcPr>
                          <w:p w14:paraId="532C44DD"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7.62</w:t>
                            </w:r>
                          </w:p>
                        </w:tc>
                        <w:tc>
                          <w:tcPr>
                            <w:tcW w:w="843" w:type="dxa"/>
                            <w:tcBorders>
                              <w:bottom w:val="double" w:sz="4" w:space="0" w:color="auto"/>
                            </w:tcBorders>
                            <w:shd w:val="clear" w:color="auto" w:fill="auto"/>
                            <w:vAlign w:val="center"/>
                          </w:tcPr>
                          <w:p w14:paraId="645AA4EE"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7.94</w:t>
                            </w:r>
                          </w:p>
                        </w:tc>
                        <w:tc>
                          <w:tcPr>
                            <w:tcW w:w="843" w:type="dxa"/>
                            <w:tcBorders>
                              <w:bottom w:val="double" w:sz="4" w:space="0" w:color="auto"/>
                            </w:tcBorders>
                            <w:shd w:val="clear" w:color="auto" w:fill="auto"/>
                            <w:vAlign w:val="center"/>
                          </w:tcPr>
                          <w:p w14:paraId="047625B7"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8.00</w:t>
                            </w:r>
                          </w:p>
                        </w:tc>
                        <w:tc>
                          <w:tcPr>
                            <w:tcW w:w="843" w:type="dxa"/>
                            <w:tcBorders>
                              <w:bottom w:val="double" w:sz="4" w:space="0" w:color="auto"/>
                            </w:tcBorders>
                            <w:shd w:val="clear" w:color="auto" w:fill="auto"/>
                            <w:vAlign w:val="center"/>
                          </w:tcPr>
                          <w:p w14:paraId="43919C7F"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8.</w:t>
                            </w:r>
                            <w:r>
                              <w:rPr>
                                <w:rFonts w:ascii="標楷體" w:eastAsia="標楷體" w:hAnsi="標楷體" w:hint="eastAsia"/>
                                <w:sz w:val="20"/>
                              </w:rPr>
                              <w:t>60</w:t>
                            </w:r>
                          </w:p>
                        </w:tc>
                        <w:tc>
                          <w:tcPr>
                            <w:tcW w:w="843" w:type="dxa"/>
                            <w:tcBorders>
                              <w:bottom w:val="double" w:sz="4" w:space="0" w:color="auto"/>
                            </w:tcBorders>
                            <w:shd w:val="clear" w:color="auto" w:fill="auto"/>
                            <w:vAlign w:val="center"/>
                          </w:tcPr>
                          <w:p w14:paraId="442D84C2" w14:textId="77777777" w:rsidR="00A0212B" w:rsidRPr="00717C29" w:rsidRDefault="00A0212B" w:rsidP="005455D1">
                            <w:pPr>
                              <w:spacing w:line="240" w:lineRule="exact"/>
                              <w:jc w:val="right"/>
                              <w:rPr>
                                <w:rFonts w:ascii="標楷體" w:eastAsia="標楷體" w:hAnsi="標楷體"/>
                                <w:sz w:val="20"/>
                              </w:rPr>
                            </w:pPr>
                            <w:r w:rsidRPr="00717C29">
                              <w:rPr>
                                <w:rFonts w:ascii="標楷體" w:eastAsia="標楷體" w:hAnsi="標楷體" w:hint="eastAsia"/>
                                <w:sz w:val="20"/>
                              </w:rPr>
                              <w:t>10.10</w:t>
                            </w:r>
                          </w:p>
                        </w:tc>
                      </w:tr>
                      <w:tr w:rsidR="00A0212B" w:rsidRPr="00717C29" w14:paraId="094BD946" w14:textId="77777777" w:rsidTr="005455D1">
                        <w:trPr>
                          <w:trHeight w:val="397"/>
                          <w:jc w:val="center"/>
                        </w:trPr>
                        <w:tc>
                          <w:tcPr>
                            <w:tcW w:w="1087" w:type="dxa"/>
                            <w:vMerge w:val="restart"/>
                            <w:tcBorders>
                              <w:top w:val="double" w:sz="4" w:space="0" w:color="auto"/>
                              <w:left w:val="single" w:sz="4" w:space="0" w:color="auto"/>
                              <w:right w:val="single" w:sz="4" w:space="0" w:color="auto"/>
                            </w:tcBorders>
                            <w:shd w:val="clear" w:color="auto" w:fill="auto"/>
                            <w:vAlign w:val="center"/>
                          </w:tcPr>
                          <w:p w14:paraId="531BB79C"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8E69A1">
                              <w:rPr>
                                <w:rFonts w:ascii="標楷體" w:eastAsia="標楷體" w:hAnsi="標楷體" w:cs="Arial" w:hint="eastAsia"/>
                                <w:kern w:val="0"/>
                                <w:sz w:val="20"/>
                              </w:rPr>
                              <w:t>評選項目納入CSR指標比率</w:t>
                            </w:r>
                            <w:r w:rsidRPr="00717C29">
                              <w:rPr>
                                <w:rFonts w:ascii="標楷體" w:eastAsia="標楷體" w:hAnsi="標楷體" w:cs="Arial" w:hint="eastAsia"/>
                                <w:kern w:val="0"/>
                                <w:sz w:val="20"/>
                              </w:rPr>
                              <w:t>低於全國平均之</w:t>
                            </w:r>
                            <w:r w:rsidRPr="00717C29">
                              <w:rPr>
                                <w:rFonts w:ascii="標楷體" w:eastAsia="標楷體" w:hAnsi="標楷體" w:cs="Arial"/>
                                <w:kern w:val="0"/>
                                <w:sz w:val="20"/>
                              </w:rPr>
                              <w:t>中央機關</w:t>
                            </w:r>
                          </w:p>
                        </w:tc>
                        <w:tc>
                          <w:tcPr>
                            <w:tcW w:w="1253" w:type="dxa"/>
                            <w:tcBorders>
                              <w:top w:val="double" w:sz="4" w:space="0" w:color="auto"/>
                              <w:left w:val="single" w:sz="4" w:space="0" w:color="auto"/>
                              <w:bottom w:val="single" w:sz="4" w:space="0" w:color="auto"/>
                              <w:right w:val="single" w:sz="4" w:space="0" w:color="auto"/>
                            </w:tcBorders>
                            <w:vAlign w:val="center"/>
                          </w:tcPr>
                          <w:p w14:paraId="695FC88A"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司法院</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1A9D536A"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0.73</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2095D7F6"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0.36</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2F8AB2AA"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2.02</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76F4E35E"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1.92</w:t>
                            </w:r>
                          </w:p>
                        </w:tc>
                        <w:tc>
                          <w:tcPr>
                            <w:tcW w:w="843" w:type="dxa"/>
                            <w:tcBorders>
                              <w:top w:val="double" w:sz="4" w:space="0" w:color="auto"/>
                              <w:left w:val="single" w:sz="4" w:space="0" w:color="auto"/>
                              <w:bottom w:val="single" w:sz="4" w:space="0" w:color="auto"/>
                              <w:right w:val="single" w:sz="4" w:space="0" w:color="auto"/>
                            </w:tcBorders>
                            <w:shd w:val="clear" w:color="auto" w:fill="auto"/>
                            <w:vAlign w:val="center"/>
                          </w:tcPr>
                          <w:p w14:paraId="2BC39585"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1.75</w:t>
                            </w:r>
                          </w:p>
                        </w:tc>
                      </w:tr>
                      <w:tr w:rsidR="00A0212B" w:rsidRPr="00717C29" w14:paraId="0D7BD972" w14:textId="77777777" w:rsidTr="005455D1">
                        <w:trPr>
                          <w:trHeight w:val="397"/>
                          <w:jc w:val="center"/>
                        </w:trPr>
                        <w:tc>
                          <w:tcPr>
                            <w:tcW w:w="1087" w:type="dxa"/>
                            <w:vMerge/>
                            <w:tcBorders>
                              <w:left w:val="single" w:sz="4" w:space="0" w:color="auto"/>
                              <w:right w:val="single" w:sz="4" w:space="0" w:color="auto"/>
                            </w:tcBorders>
                            <w:shd w:val="clear" w:color="auto" w:fill="auto"/>
                            <w:vAlign w:val="center"/>
                          </w:tcPr>
                          <w:p w14:paraId="3DDB109F"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p>
                        </w:tc>
                        <w:tc>
                          <w:tcPr>
                            <w:tcW w:w="1253" w:type="dxa"/>
                            <w:tcBorders>
                              <w:top w:val="single" w:sz="4" w:space="0" w:color="auto"/>
                              <w:left w:val="single" w:sz="4" w:space="0" w:color="auto"/>
                            </w:tcBorders>
                            <w:vAlign w:val="center"/>
                          </w:tcPr>
                          <w:p w14:paraId="18197476"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BC0ECA">
                              <w:rPr>
                                <w:rFonts w:ascii="標楷體" w:eastAsia="標楷體" w:hAnsi="標楷體" w:cs="Arial" w:hint="eastAsia"/>
                                <w:kern w:val="0"/>
                                <w:sz w:val="20"/>
                              </w:rPr>
                              <w:t>農業委員會（農業部）</w:t>
                            </w:r>
                          </w:p>
                        </w:tc>
                        <w:tc>
                          <w:tcPr>
                            <w:tcW w:w="843" w:type="dxa"/>
                            <w:tcBorders>
                              <w:top w:val="single" w:sz="4" w:space="0" w:color="auto"/>
                            </w:tcBorders>
                            <w:shd w:val="clear" w:color="auto" w:fill="auto"/>
                            <w:vAlign w:val="center"/>
                          </w:tcPr>
                          <w:p w14:paraId="23959E66"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4.31</w:t>
                            </w:r>
                          </w:p>
                        </w:tc>
                        <w:tc>
                          <w:tcPr>
                            <w:tcW w:w="843" w:type="dxa"/>
                            <w:tcBorders>
                              <w:top w:val="single" w:sz="4" w:space="0" w:color="auto"/>
                            </w:tcBorders>
                            <w:shd w:val="clear" w:color="auto" w:fill="auto"/>
                            <w:vAlign w:val="center"/>
                          </w:tcPr>
                          <w:p w14:paraId="3DEA6621"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5.34</w:t>
                            </w:r>
                          </w:p>
                        </w:tc>
                        <w:tc>
                          <w:tcPr>
                            <w:tcW w:w="843" w:type="dxa"/>
                            <w:tcBorders>
                              <w:top w:val="single" w:sz="4" w:space="0" w:color="auto"/>
                            </w:tcBorders>
                            <w:shd w:val="clear" w:color="auto" w:fill="auto"/>
                            <w:vAlign w:val="center"/>
                          </w:tcPr>
                          <w:p w14:paraId="645CC6DE"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5.71</w:t>
                            </w:r>
                          </w:p>
                        </w:tc>
                        <w:tc>
                          <w:tcPr>
                            <w:tcW w:w="843" w:type="dxa"/>
                            <w:tcBorders>
                              <w:top w:val="single" w:sz="4" w:space="0" w:color="auto"/>
                            </w:tcBorders>
                            <w:shd w:val="clear" w:color="auto" w:fill="auto"/>
                            <w:vAlign w:val="center"/>
                          </w:tcPr>
                          <w:p w14:paraId="56462C68"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4.97</w:t>
                            </w:r>
                          </w:p>
                        </w:tc>
                        <w:tc>
                          <w:tcPr>
                            <w:tcW w:w="843" w:type="dxa"/>
                            <w:tcBorders>
                              <w:top w:val="single" w:sz="4" w:space="0" w:color="auto"/>
                            </w:tcBorders>
                            <w:shd w:val="clear" w:color="auto" w:fill="auto"/>
                            <w:vAlign w:val="center"/>
                          </w:tcPr>
                          <w:p w14:paraId="5D2271FD"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11.84</w:t>
                            </w:r>
                          </w:p>
                        </w:tc>
                      </w:tr>
                      <w:tr w:rsidR="00A0212B" w:rsidRPr="00717C29" w14:paraId="1A700182" w14:textId="77777777" w:rsidTr="005455D1">
                        <w:trPr>
                          <w:trHeight w:val="397"/>
                          <w:jc w:val="center"/>
                        </w:trPr>
                        <w:tc>
                          <w:tcPr>
                            <w:tcW w:w="1087" w:type="dxa"/>
                            <w:vMerge/>
                            <w:tcBorders>
                              <w:left w:val="single" w:sz="4" w:space="0" w:color="auto"/>
                              <w:right w:val="single" w:sz="4" w:space="0" w:color="auto"/>
                            </w:tcBorders>
                            <w:shd w:val="clear" w:color="auto" w:fill="auto"/>
                            <w:vAlign w:val="center"/>
                          </w:tcPr>
                          <w:p w14:paraId="6351986B"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p>
                        </w:tc>
                        <w:tc>
                          <w:tcPr>
                            <w:tcW w:w="1253" w:type="dxa"/>
                            <w:tcBorders>
                              <w:left w:val="single" w:sz="4" w:space="0" w:color="auto"/>
                            </w:tcBorders>
                            <w:vAlign w:val="center"/>
                          </w:tcPr>
                          <w:p w14:paraId="4C512EF1"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國防部</w:t>
                            </w:r>
                          </w:p>
                        </w:tc>
                        <w:tc>
                          <w:tcPr>
                            <w:tcW w:w="843" w:type="dxa"/>
                            <w:shd w:val="clear" w:color="auto" w:fill="auto"/>
                            <w:vAlign w:val="center"/>
                          </w:tcPr>
                          <w:p w14:paraId="6182A6DF"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8.84</w:t>
                            </w:r>
                          </w:p>
                        </w:tc>
                        <w:tc>
                          <w:tcPr>
                            <w:tcW w:w="843" w:type="dxa"/>
                            <w:shd w:val="clear" w:color="auto" w:fill="auto"/>
                            <w:vAlign w:val="center"/>
                          </w:tcPr>
                          <w:p w14:paraId="6C489240"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8.83</w:t>
                            </w:r>
                          </w:p>
                        </w:tc>
                        <w:tc>
                          <w:tcPr>
                            <w:tcW w:w="843" w:type="dxa"/>
                            <w:shd w:val="clear" w:color="auto" w:fill="auto"/>
                            <w:vAlign w:val="center"/>
                          </w:tcPr>
                          <w:p w14:paraId="371F87E7"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8.45</w:t>
                            </w:r>
                          </w:p>
                        </w:tc>
                        <w:tc>
                          <w:tcPr>
                            <w:tcW w:w="843" w:type="dxa"/>
                            <w:shd w:val="clear" w:color="auto" w:fill="auto"/>
                            <w:vAlign w:val="center"/>
                          </w:tcPr>
                          <w:p w14:paraId="4FAD7D10"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6.94</w:t>
                            </w:r>
                          </w:p>
                        </w:tc>
                        <w:tc>
                          <w:tcPr>
                            <w:tcW w:w="843" w:type="dxa"/>
                            <w:shd w:val="clear" w:color="auto" w:fill="auto"/>
                            <w:vAlign w:val="center"/>
                          </w:tcPr>
                          <w:p w14:paraId="4DA3A7FA"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9.18</w:t>
                            </w:r>
                          </w:p>
                        </w:tc>
                      </w:tr>
                      <w:tr w:rsidR="00A0212B" w:rsidRPr="00717C29" w14:paraId="791F54AD" w14:textId="77777777" w:rsidTr="005455D1">
                        <w:trPr>
                          <w:trHeight w:val="397"/>
                          <w:jc w:val="center"/>
                        </w:trPr>
                        <w:tc>
                          <w:tcPr>
                            <w:tcW w:w="1087" w:type="dxa"/>
                            <w:vMerge/>
                            <w:tcBorders>
                              <w:left w:val="single" w:sz="4" w:space="0" w:color="auto"/>
                              <w:right w:val="single" w:sz="4" w:space="0" w:color="auto"/>
                            </w:tcBorders>
                            <w:shd w:val="clear" w:color="auto" w:fill="auto"/>
                            <w:vAlign w:val="center"/>
                          </w:tcPr>
                          <w:p w14:paraId="55F689FA"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p>
                        </w:tc>
                        <w:tc>
                          <w:tcPr>
                            <w:tcW w:w="1253" w:type="dxa"/>
                            <w:tcBorders>
                              <w:left w:val="single" w:sz="4" w:space="0" w:color="auto"/>
                            </w:tcBorders>
                            <w:vAlign w:val="center"/>
                          </w:tcPr>
                          <w:p w14:paraId="6E182D09" w14:textId="77777777" w:rsidR="00A0212B" w:rsidRPr="00717C29" w:rsidRDefault="00A0212B" w:rsidP="005455D1">
                            <w:pPr>
                              <w:widowControl/>
                              <w:overflowPunct w:val="0"/>
                              <w:autoSpaceDE w:val="0"/>
                              <w:autoSpaceDN w:val="0"/>
                              <w:adjustRightInd w:val="0"/>
                              <w:snapToGrid w:val="0"/>
                              <w:spacing w:line="240" w:lineRule="exact"/>
                              <w:jc w:val="center"/>
                              <w:rPr>
                                <w:rFonts w:ascii="標楷體" w:eastAsia="標楷體" w:hAnsi="標楷體" w:cs="Arial"/>
                                <w:kern w:val="0"/>
                                <w:sz w:val="20"/>
                              </w:rPr>
                            </w:pPr>
                            <w:r w:rsidRPr="00717C29">
                              <w:rPr>
                                <w:rFonts w:ascii="標楷體" w:eastAsia="標楷體" w:hAnsi="標楷體" w:cs="Arial" w:hint="eastAsia"/>
                                <w:kern w:val="0"/>
                                <w:sz w:val="20"/>
                              </w:rPr>
                              <w:t>交通部</w:t>
                            </w:r>
                          </w:p>
                        </w:tc>
                        <w:tc>
                          <w:tcPr>
                            <w:tcW w:w="843" w:type="dxa"/>
                            <w:shd w:val="clear" w:color="auto" w:fill="auto"/>
                            <w:vAlign w:val="center"/>
                          </w:tcPr>
                          <w:p w14:paraId="30849DB8"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5.69</w:t>
                            </w:r>
                          </w:p>
                        </w:tc>
                        <w:tc>
                          <w:tcPr>
                            <w:tcW w:w="843" w:type="dxa"/>
                            <w:shd w:val="clear" w:color="auto" w:fill="auto"/>
                            <w:vAlign w:val="center"/>
                          </w:tcPr>
                          <w:p w14:paraId="6AA3619A"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8.08</w:t>
                            </w:r>
                          </w:p>
                        </w:tc>
                        <w:tc>
                          <w:tcPr>
                            <w:tcW w:w="843" w:type="dxa"/>
                            <w:shd w:val="clear" w:color="auto" w:fill="auto"/>
                            <w:vAlign w:val="center"/>
                          </w:tcPr>
                          <w:p w14:paraId="18E42EE8"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8.71</w:t>
                            </w:r>
                          </w:p>
                        </w:tc>
                        <w:tc>
                          <w:tcPr>
                            <w:tcW w:w="843" w:type="dxa"/>
                            <w:shd w:val="clear" w:color="auto" w:fill="auto"/>
                            <w:vAlign w:val="center"/>
                          </w:tcPr>
                          <w:p w14:paraId="04E84B95"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10.09</w:t>
                            </w:r>
                          </w:p>
                        </w:tc>
                        <w:tc>
                          <w:tcPr>
                            <w:tcW w:w="843" w:type="dxa"/>
                            <w:shd w:val="clear" w:color="auto" w:fill="auto"/>
                            <w:vAlign w:val="center"/>
                          </w:tcPr>
                          <w:p w14:paraId="5EA849AD" w14:textId="77777777" w:rsidR="00A0212B" w:rsidRPr="00717C29" w:rsidRDefault="00A0212B" w:rsidP="005455D1">
                            <w:pPr>
                              <w:adjustRightInd w:val="0"/>
                              <w:snapToGrid w:val="0"/>
                              <w:spacing w:line="240" w:lineRule="exact"/>
                              <w:jc w:val="right"/>
                              <w:rPr>
                                <w:rFonts w:ascii="標楷體" w:eastAsia="標楷體" w:hAnsi="標楷體"/>
                                <w:sz w:val="20"/>
                              </w:rPr>
                            </w:pPr>
                            <w:r w:rsidRPr="00717C29">
                              <w:rPr>
                                <w:rFonts w:ascii="標楷體" w:eastAsia="標楷體" w:hAnsi="標楷體"/>
                                <w:sz w:val="20"/>
                              </w:rPr>
                              <w:t>15.44</w:t>
                            </w:r>
                          </w:p>
                        </w:tc>
                      </w:tr>
                    </w:tbl>
                    <w:p w14:paraId="23998D18" w14:textId="0FBE134D" w:rsidR="00A0212B" w:rsidRPr="00BC0ECA" w:rsidRDefault="00A0212B" w:rsidP="00E31547">
                      <w:pPr>
                        <w:pStyle w:val="afffa"/>
                        <w:overflowPunct w:val="0"/>
                        <w:autoSpaceDE w:val="0"/>
                        <w:autoSpaceDN w:val="0"/>
                        <w:adjustRightInd w:val="0"/>
                        <w:snapToGrid w:val="0"/>
                        <w:spacing w:line="240" w:lineRule="exact"/>
                        <w:ind w:leftChars="0" w:left="0"/>
                        <w:jc w:val="both"/>
                        <w:rPr>
                          <w:rFonts w:ascii="標楷體" w:eastAsia="標楷體" w:hAnsi="標楷體" w:cs="Arial"/>
                          <w:snapToGrid w:val="0"/>
                          <w:kern w:val="0"/>
                          <w:sz w:val="18"/>
                          <w:szCs w:val="18"/>
                        </w:rPr>
                      </w:pPr>
                      <w:r w:rsidRPr="00BC0ECA">
                        <w:rPr>
                          <w:rFonts w:ascii="標楷體" w:eastAsia="標楷體" w:hAnsi="標楷體" w:cs="Arial" w:hint="eastAsia"/>
                          <w:snapToGrid w:val="0"/>
                          <w:kern w:val="0"/>
                          <w:sz w:val="18"/>
                          <w:szCs w:val="18"/>
                        </w:rPr>
                        <w:t>資料來源：整理自</w:t>
                      </w:r>
                      <w:r w:rsidRPr="00252060">
                        <w:rPr>
                          <w:rFonts w:ascii="標楷體" w:eastAsia="標楷體" w:hAnsi="標楷體" w:cs="Arial" w:hint="eastAsia"/>
                          <w:snapToGrid w:val="0"/>
                          <w:kern w:val="0"/>
                          <w:sz w:val="18"/>
                          <w:szCs w:val="18"/>
                        </w:rPr>
                        <w:t>行政院公共工程委員會</w:t>
                      </w:r>
                      <w:r w:rsidRPr="00BC0ECA">
                        <w:rPr>
                          <w:rFonts w:ascii="標楷體" w:eastAsia="標楷體" w:hAnsi="標楷體" w:cs="Arial" w:hint="eastAsia"/>
                          <w:snapToGrid w:val="0"/>
                          <w:kern w:val="0"/>
                          <w:sz w:val="18"/>
                          <w:szCs w:val="18"/>
                        </w:rPr>
                        <w:t>提供資料。</w:t>
                      </w:r>
                    </w:p>
                  </w:txbxContent>
                </v:textbox>
                <w10:wrap type="tight" anchorx="margin"/>
              </v:shape>
            </w:pict>
          </mc:Fallback>
        </mc:AlternateContent>
      </w:r>
      <w:r w:rsidRPr="00E662CE">
        <w:rPr>
          <w:rFonts w:ascii="標楷體" w:eastAsia="標楷體" w:hAnsi="標楷體" w:hint="eastAsia"/>
          <w:bCs/>
          <w:snapToGrid w:val="0"/>
          <w:lang w:val="x-none"/>
        </w:rPr>
        <w:t>行政院前為改善所得分配，推動「改善所得分配具體方案</w:t>
      </w:r>
      <w:r>
        <w:rPr>
          <w:rFonts w:ascii="標楷體" w:eastAsia="標楷體" w:hAnsi="標楷體" w:hint="eastAsia"/>
          <w:bCs/>
          <w:snapToGrid w:val="0"/>
          <w:lang w:val="x-none"/>
        </w:rPr>
        <w:t>（</w:t>
      </w:r>
      <w:r w:rsidRPr="00E662CE">
        <w:rPr>
          <w:rFonts w:ascii="標楷體" w:eastAsia="標楷體" w:hAnsi="標楷體" w:hint="eastAsia"/>
          <w:bCs/>
          <w:snapToGrid w:val="0"/>
          <w:lang w:val="x-none"/>
        </w:rPr>
        <w:t>107至109年</w:t>
      </w:r>
      <w:r>
        <w:rPr>
          <w:rFonts w:ascii="標楷體" w:eastAsia="標楷體" w:hAnsi="標楷體" w:hint="eastAsia"/>
          <w:bCs/>
          <w:snapToGrid w:val="0"/>
          <w:lang w:val="x-none"/>
        </w:rPr>
        <w:t>）」，其中</w:t>
      </w:r>
      <w:r w:rsidRPr="00E662CE">
        <w:rPr>
          <w:rFonts w:ascii="標楷體" w:eastAsia="標楷體" w:hAnsi="標楷體" w:hint="eastAsia"/>
          <w:bCs/>
          <w:snapToGrid w:val="0"/>
          <w:lang w:val="x-none"/>
        </w:rPr>
        <w:t>薪資策略之重點工作項目3.1.2為「推動政府採購案將調薪或提供合理薪資納入評選加分項目」。為落實行政院以政策工具鼓勵企業加薪之施政目標，行政院公共工程委員會</w:t>
      </w:r>
      <w:r>
        <w:rPr>
          <w:rFonts w:ascii="標楷體" w:eastAsia="標楷體" w:hAnsi="標楷體" w:hint="eastAsia"/>
          <w:bCs/>
          <w:snapToGrid w:val="0"/>
          <w:lang w:val="x-none"/>
        </w:rPr>
        <w:t>（下稱工程會）</w:t>
      </w:r>
      <w:r w:rsidRPr="00E662CE">
        <w:rPr>
          <w:rFonts w:ascii="標楷體" w:eastAsia="標楷體" w:hAnsi="標楷體" w:hint="eastAsia"/>
          <w:bCs/>
          <w:snapToGrid w:val="0"/>
          <w:lang w:val="x-none"/>
        </w:rPr>
        <w:t>訂定「採購評選委員會（評審小組）評選（審）委員評分表（評選項目含廠商企業社會責任指標）」範本，請機關辦理評選時，將廠商企業社會責任指標</w:t>
      </w:r>
      <w:r>
        <w:rPr>
          <w:rFonts w:ascii="標楷體" w:eastAsia="標楷體" w:hAnsi="標楷體" w:hint="eastAsia"/>
          <w:bCs/>
          <w:snapToGrid w:val="0"/>
          <w:lang w:val="x-none"/>
        </w:rPr>
        <w:t>（</w:t>
      </w:r>
      <w:r w:rsidRPr="00E662CE">
        <w:rPr>
          <w:rFonts w:ascii="標楷體" w:eastAsia="標楷體" w:hAnsi="標楷體" w:hint="eastAsia"/>
          <w:bCs/>
          <w:snapToGrid w:val="0"/>
          <w:lang w:val="x-none"/>
        </w:rPr>
        <w:t>包含廠商為員工加薪或提供合理薪資，下稱CSR指標</w:t>
      </w:r>
      <w:r>
        <w:rPr>
          <w:rFonts w:ascii="標楷體" w:eastAsia="標楷體" w:hAnsi="標楷體" w:hint="eastAsia"/>
          <w:bCs/>
          <w:snapToGrid w:val="0"/>
          <w:lang w:val="x-none"/>
        </w:rPr>
        <w:t>）</w:t>
      </w:r>
      <w:r w:rsidRPr="00E662CE">
        <w:rPr>
          <w:rFonts w:ascii="標楷體" w:eastAsia="標楷體" w:hAnsi="標楷體" w:hint="eastAsia"/>
          <w:bCs/>
          <w:snapToGrid w:val="0"/>
          <w:lang w:val="x-none"/>
        </w:rPr>
        <w:t>納入評分項目，並透過採購專業人員訓練課程持續宣導各機關採行。據</w:t>
      </w:r>
      <w:r>
        <w:rPr>
          <w:rFonts w:ascii="標楷體" w:eastAsia="標楷體" w:hAnsi="標楷體" w:hint="eastAsia"/>
          <w:bCs/>
          <w:snapToGrid w:val="0"/>
          <w:lang w:val="x-none"/>
        </w:rPr>
        <w:t>工程會</w:t>
      </w:r>
      <w:r w:rsidRPr="00E662CE">
        <w:rPr>
          <w:rFonts w:ascii="標楷體" w:eastAsia="標楷體" w:hAnsi="標楷體" w:hint="eastAsia"/>
          <w:bCs/>
          <w:snapToGrid w:val="0"/>
          <w:lang w:val="x-none"/>
        </w:rPr>
        <w:t>提供政府採購案件納入CSR指標評選項目之統計資料，近5年</w:t>
      </w:r>
      <w:r w:rsidR="00DF1605">
        <w:rPr>
          <w:rFonts w:ascii="標楷體" w:eastAsia="標楷體" w:hAnsi="標楷體" w:hint="eastAsia"/>
          <w:bCs/>
          <w:snapToGrid w:val="0"/>
          <w:lang w:val="x-none"/>
        </w:rPr>
        <w:t>度</w:t>
      </w:r>
      <w:r w:rsidRPr="00E662CE">
        <w:rPr>
          <w:rFonts w:ascii="標楷體" w:eastAsia="標楷體" w:hAnsi="標楷體" w:hint="eastAsia"/>
          <w:bCs/>
          <w:snapToGrid w:val="0"/>
          <w:lang w:val="x-none"/>
        </w:rPr>
        <w:t>（108至112年度）全國各機關</w:t>
      </w:r>
      <w:r w:rsidR="00DF1605">
        <w:rPr>
          <w:rFonts w:ascii="標楷體" w:eastAsia="標楷體" w:hAnsi="標楷體" w:hint="eastAsia"/>
          <w:bCs/>
          <w:snapToGrid w:val="0"/>
          <w:lang w:val="x-none"/>
        </w:rPr>
        <w:t>【</w:t>
      </w:r>
      <w:r w:rsidRPr="00E662CE">
        <w:rPr>
          <w:rFonts w:ascii="標楷體" w:eastAsia="標楷體" w:hAnsi="標楷體" w:hint="eastAsia"/>
          <w:bCs/>
          <w:snapToGrid w:val="0"/>
          <w:lang w:val="x-none"/>
        </w:rPr>
        <w:t>含中央機關及所屬學校、國營（公營）事業、地方機關及所屬學校等</w:t>
      </w:r>
      <w:r w:rsidR="00DF1605">
        <w:rPr>
          <w:rFonts w:ascii="標楷體" w:eastAsia="標楷體" w:hAnsi="標楷體" w:hint="eastAsia"/>
          <w:bCs/>
          <w:snapToGrid w:val="0"/>
          <w:lang w:val="x-none"/>
        </w:rPr>
        <w:t>】</w:t>
      </w:r>
      <w:r w:rsidRPr="00E662CE">
        <w:rPr>
          <w:rFonts w:ascii="標楷體" w:eastAsia="標楷體" w:hAnsi="標楷體" w:hint="eastAsia"/>
          <w:bCs/>
          <w:snapToGrid w:val="0"/>
          <w:lang w:val="x-none"/>
        </w:rPr>
        <w:t>採最有利標</w:t>
      </w:r>
      <w:r>
        <w:rPr>
          <w:rFonts w:ascii="標楷體" w:eastAsia="標楷體" w:hAnsi="標楷體" w:hint="eastAsia"/>
          <w:bCs/>
          <w:snapToGrid w:val="0"/>
          <w:lang w:val="x-none"/>
        </w:rPr>
        <w:t>（</w:t>
      </w:r>
      <w:r w:rsidRPr="00E662CE">
        <w:rPr>
          <w:rFonts w:ascii="標楷體" w:eastAsia="標楷體" w:hAnsi="標楷體" w:hint="eastAsia"/>
          <w:bCs/>
          <w:snapToGrid w:val="0"/>
          <w:lang w:val="x-none"/>
        </w:rPr>
        <w:t>含準用最有利標及參考最有利標精神</w:t>
      </w:r>
      <w:r>
        <w:rPr>
          <w:rFonts w:ascii="標楷體" w:eastAsia="標楷體" w:hAnsi="標楷體" w:hint="eastAsia"/>
          <w:bCs/>
          <w:snapToGrid w:val="0"/>
          <w:lang w:val="x-none"/>
        </w:rPr>
        <w:t>）</w:t>
      </w:r>
      <w:r w:rsidRPr="00E662CE">
        <w:rPr>
          <w:rFonts w:ascii="標楷體" w:eastAsia="標楷體" w:hAnsi="標楷體" w:hint="eastAsia"/>
          <w:bCs/>
          <w:snapToGrid w:val="0"/>
          <w:lang w:val="x-none"/>
        </w:rPr>
        <w:t>決標之採購案件，將CSR指標納入其評選項目之採行比率分別為11.83％、13.40％、13.66％、14.38％、17.04</w:t>
      </w:r>
      <w:r>
        <w:rPr>
          <w:rFonts w:ascii="標楷體" w:eastAsia="標楷體" w:hAnsi="標楷體" w:hint="eastAsia"/>
          <w:bCs/>
          <w:snapToGrid w:val="0"/>
          <w:lang w:val="x-none"/>
        </w:rPr>
        <w:t>％</w:t>
      </w:r>
      <w:r w:rsidRPr="00002616">
        <w:rPr>
          <w:rFonts w:ascii="標楷體" w:eastAsia="標楷體" w:hAnsi="標楷體" w:hint="eastAsia"/>
          <w:bCs/>
          <w:snapToGrid w:val="0"/>
          <w:lang w:val="x-none"/>
        </w:rPr>
        <w:t>（</w:t>
      </w:r>
      <w:r w:rsidRPr="00463203">
        <w:rPr>
          <w:rFonts w:ascii="標楷體" w:eastAsia="標楷體" w:hAnsi="標楷體" w:hint="eastAsia"/>
          <w:bCs/>
          <w:snapToGrid w:val="0"/>
          <w:lang w:val="x-none"/>
        </w:rPr>
        <w:t>表</w:t>
      </w:r>
      <w:r w:rsidR="0065120E" w:rsidRPr="00463203">
        <w:rPr>
          <w:rFonts w:ascii="標楷體" w:eastAsia="標楷體" w:hAnsi="標楷體" w:hint="eastAsia"/>
          <w:bCs/>
          <w:snapToGrid w:val="0"/>
          <w:lang w:val="x-none"/>
        </w:rPr>
        <w:t>4</w:t>
      </w:r>
      <w:r w:rsidR="009821F7" w:rsidRPr="00463203">
        <w:rPr>
          <w:rFonts w:ascii="標楷體" w:eastAsia="標楷體" w:hAnsi="標楷體" w:hint="eastAsia"/>
          <w:bCs/>
          <w:snapToGrid w:val="0"/>
          <w:lang w:val="x-none"/>
        </w:rPr>
        <w:t>1</w:t>
      </w:r>
      <w:r w:rsidRPr="00002616">
        <w:rPr>
          <w:rFonts w:ascii="標楷體" w:eastAsia="標楷體" w:hAnsi="標楷體" w:hint="eastAsia"/>
          <w:bCs/>
          <w:snapToGrid w:val="0"/>
          <w:lang w:val="x-none"/>
        </w:rPr>
        <w:t>）</w:t>
      </w:r>
      <w:r w:rsidRPr="00E662CE">
        <w:rPr>
          <w:rFonts w:ascii="標楷體" w:eastAsia="標楷體" w:hAnsi="標楷體" w:hint="eastAsia"/>
          <w:bCs/>
          <w:snapToGrid w:val="0"/>
          <w:lang w:val="x-none"/>
        </w:rPr>
        <w:t>，比率呈逐年成長，已逐見</w:t>
      </w:r>
      <w:r>
        <w:rPr>
          <w:rFonts w:ascii="標楷體" w:eastAsia="標楷體" w:hAnsi="標楷體" w:hint="eastAsia"/>
          <w:bCs/>
          <w:snapToGrid w:val="0"/>
          <w:lang w:val="x-none"/>
        </w:rPr>
        <w:t>推動</w:t>
      </w:r>
      <w:r w:rsidRPr="00E662CE">
        <w:rPr>
          <w:rFonts w:ascii="標楷體" w:eastAsia="標楷體" w:hAnsi="標楷體" w:hint="eastAsia"/>
          <w:bCs/>
          <w:snapToGrid w:val="0"/>
          <w:lang w:val="x-none"/>
        </w:rPr>
        <w:t>成效。惟查，地方機關近5年度採行比率分別為7.62％、</w:t>
      </w:r>
      <w:r w:rsidRPr="00E662CE">
        <w:rPr>
          <w:rFonts w:ascii="標楷體" w:eastAsia="標楷體" w:hAnsi="標楷體"/>
          <w:bCs/>
          <w:snapToGrid w:val="0"/>
          <w:lang w:val="x-none"/>
        </w:rPr>
        <w:t>7.94</w:t>
      </w:r>
      <w:r w:rsidRPr="00E662CE">
        <w:rPr>
          <w:rFonts w:ascii="標楷體" w:eastAsia="標楷體" w:hAnsi="標楷體" w:hint="eastAsia"/>
          <w:bCs/>
          <w:snapToGrid w:val="0"/>
          <w:lang w:val="x-none"/>
        </w:rPr>
        <w:t>％、</w:t>
      </w:r>
      <w:r w:rsidRPr="00E662CE">
        <w:rPr>
          <w:rFonts w:ascii="標楷體" w:eastAsia="標楷體" w:hAnsi="標楷體"/>
          <w:bCs/>
          <w:snapToGrid w:val="0"/>
          <w:lang w:val="x-none"/>
        </w:rPr>
        <w:t>8.00</w:t>
      </w:r>
      <w:r w:rsidRPr="00E662CE">
        <w:rPr>
          <w:rFonts w:ascii="標楷體" w:eastAsia="標楷體" w:hAnsi="標楷體" w:hint="eastAsia"/>
          <w:bCs/>
          <w:snapToGrid w:val="0"/>
          <w:lang w:val="x-none"/>
        </w:rPr>
        <w:t>％、</w:t>
      </w:r>
      <w:r w:rsidRPr="00E662CE">
        <w:rPr>
          <w:rFonts w:ascii="標楷體" w:eastAsia="標楷體" w:hAnsi="標楷體"/>
          <w:bCs/>
          <w:snapToGrid w:val="0"/>
          <w:lang w:val="x-none"/>
        </w:rPr>
        <w:t>8.60</w:t>
      </w:r>
      <w:r w:rsidRPr="00E662CE">
        <w:rPr>
          <w:rFonts w:ascii="標楷體" w:eastAsia="標楷體" w:hAnsi="標楷體" w:hint="eastAsia"/>
          <w:bCs/>
          <w:snapToGrid w:val="0"/>
          <w:lang w:val="x-none"/>
        </w:rPr>
        <w:t>％、</w:t>
      </w:r>
      <w:r w:rsidRPr="00E662CE">
        <w:rPr>
          <w:rFonts w:ascii="標楷體" w:eastAsia="標楷體" w:hAnsi="標楷體"/>
          <w:bCs/>
          <w:snapToGrid w:val="0"/>
          <w:lang w:val="x-none"/>
        </w:rPr>
        <w:t>10.10</w:t>
      </w:r>
      <w:r w:rsidRPr="00E662CE">
        <w:rPr>
          <w:rFonts w:ascii="標楷體" w:eastAsia="標楷體" w:hAnsi="標楷體" w:hint="eastAsia"/>
          <w:bCs/>
          <w:snapToGrid w:val="0"/>
          <w:lang w:val="x-none"/>
        </w:rPr>
        <w:t>％，除低於全國各機關平均值，尚遠低於中央機關及國營事業；另中央機關部分，司法院、</w:t>
      </w:r>
      <w:r w:rsidRPr="00002616">
        <w:rPr>
          <w:rFonts w:ascii="標楷體" w:eastAsia="標楷體" w:hAnsi="標楷體" w:hint="eastAsia"/>
          <w:bCs/>
          <w:snapToGrid w:val="0"/>
          <w:lang w:val="x-none"/>
        </w:rPr>
        <w:t>農業部</w:t>
      </w:r>
      <w:r w:rsidRPr="00E662CE">
        <w:rPr>
          <w:rFonts w:ascii="標楷體" w:eastAsia="標楷體" w:hAnsi="標楷體" w:hint="eastAsia"/>
          <w:bCs/>
          <w:snapToGrid w:val="0"/>
          <w:lang w:val="x-none"/>
        </w:rPr>
        <w:t>、國防部、交通部等</w:t>
      </w:r>
      <w:r w:rsidRPr="00E662CE">
        <w:rPr>
          <w:rFonts w:ascii="標楷體" w:eastAsia="標楷體" w:hAnsi="標楷體"/>
          <w:bCs/>
          <w:snapToGrid w:val="0"/>
          <w:lang w:val="x-none"/>
        </w:rPr>
        <w:t>4</w:t>
      </w:r>
      <w:r w:rsidRPr="00E662CE">
        <w:rPr>
          <w:rFonts w:ascii="標楷體" w:eastAsia="標楷體" w:hAnsi="標楷體" w:hint="eastAsia"/>
          <w:bCs/>
          <w:snapToGrid w:val="0"/>
          <w:lang w:val="x-none"/>
        </w:rPr>
        <w:t>個主管機關，近</w:t>
      </w:r>
      <w:r w:rsidRPr="00E662CE">
        <w:rPr>
          <w:rFonts w:ascii="標楷體" w:eastAsia="標楷體" w:hAnsi="標楷體"/>
          <w:bCs/>
          <w:snapToGrid w:val="0"/>
          <w:lang w:val="x-none"/>
        </w:rPr>
        <w:t>5</w:t>
      </w:r>
      <w:r w:rsidRPr="00E662CE">
        <w:rPr>
          <w:rFonts w:ascii="標楷體" w:eastAsia="標楷體" w:hAnsi="標楷體" w:hint="eastAsia"/>
          <w:bCs/>
          <w:snapToGrid w:val="0"/>
          <w:lang w:val="x-none"/>
        </w:rPr>
        <w:t>年度採最有利標決標案件評選項目納入</w:t>
      </w:r>
      <w:r w:rsidRPr="00E662CE">
        <w:rPr>
          <w:rFonts w:ascii="標楷體" w:eastAsia="標楷體" w:hAnsi="標楷體"/>
          <w:bCs/>
          <w:snapToGrid w:val="0"/>
          <w:lang w:val="x-none"/>
        </w:rPr>
        <w:t>CSR</w:t>
      </w:r>
      <w:r>
        <w:rPr>
          <w:rFonts w:ascii="標楷體" w:eastAsia="標楷體" w:hAnsi="標楷體" w:hint="eastAsia"/>
          <w:bCs/>
          <w:snapToGrid w:val="0"/>
          <w:lang w:val="x-none"/>
        </w:rPr>
        <w:t>指標比率，皆未達各該年度全國各機關平均值，</w:t>
      </w:r>
      <w:r w:rsidRPr="00002616">
        <w:rPr>
          <w:rFonts w:ascii="標楷體" w:eastAsia="標楷體" w:hAnsi="標楷體" w:hint="eastAsia"/>
          <w:bCs/>
          <w:snapToGrid w:val="0"/>
          <w:lang w:val="x-none"/>
        </w:rPr>
        <w:t>經函請</w:t>
      </w:r>
      <w:r>
        <w:rPr>
          <w:rFonts w:ascii="標楷體" w:eastAsia="標楷體" w:hAnsi="標楷體" w:hint="eastAsia"/>
          <w:bCs/>
          <w:snapToGrid w:val="0"/>
          <w:lang w:val="x-none"/>
        </w:rPr>
        <w:t>工程會研謀</w:t>
      </w:r>
      <w:r w:rsidRPr="00002616">
        <w:rPr>
          <w:rFonts w:ascii="標楷體" w:eastAsia="標楷體" w:hAnsi="標楷體" w:hint="eastAsia"/>
          <w:bCs/>
          <w:snapToGrid w:val="0"/>
          <w:lang w:val="x-none"/>
        </w:rPr>
        <w:t>改善</w:t>
      </w:r>
      <w:r w:rsidRPr="00E662CE">
        <w:rPr>
          <w:rFonts w:ascii="標楷體" w:eastAsia="標楷體" w:hAnsi="標楷體" w:hint="eastAsia"/>
          <w:bCs/>
          <w:snapToGrid w:val="0"/>
          <w:lang w:val="x-none"/>
        </w:rPr>
        <w:t>。</w:t>
      </w:r>
      <w:bookmarkStart w:id="21" w:name="_Hlk71512341"/>
      <w:r w:rsidRPr="00002616">
        <w:rPr>
          <w:rFonts w:ascii="標楷體" w:eastAsia="標楷體" w:hAnsi="標楷體" w:hint="eastAsia"/>
          <w:snapToGrid w:val="0"/>
        </w:rPr>
        <w:t>據復：</w:t>
      </w:r>
      <w:bookmarkEnd w:id="21"/>
      <w:r w:rsidRPr="00002616">
        <w:rPr>
          <w:rFonts w:ascii="標楷體" w:eastAsia="標楷體" w:hAnsi="標楷體" w:hint="eastAsia"/>
          <w:snapToGrid w:val="0"/>
        </w:rPr>
        <w:t>將持續透過採購專業人員訓練課程宣導各機關於辦理評選</w:t>
      </w:r>
      <w:r>
        <w:rPr>
          <w:rFonts w:ascii="標楷體" w:eastAsia="標楷體" w:hAnsi="標楷體" w:hint="eastAsia"/>
          <w:snapToGrid w:val="0"/>
        </w:rPr>
        <w:t>（</w:t>
      </w:r>
      <w:r w:rsidRPr="00002616">
        <w:rPr>
          <w:rFonts w:ascii="標楷體" w:eastAsia="標楷體" w:hAnsi="標楷體" w:hint="eastAsia"/>
          <w:snapToGrid w:val="0"/>
        </w:rPr>
        <w:t>審</w:t>
      </w:r>
      <w:r>
        <w:rPr>
          <w:rFonts w:ascii="標楷體" w:eastAsia="標楷體" w:hAnsi="標楷體" w:hint="eastAsia"/>
          <w:snapToGrid w:val="0"/>
        </w:rPr>
        <w:t>）</w:t>
      </w:r>
      <w:r w:rsidRPr="00002616">
        <w:rPr>
          <w:rFonts w:ascii="標楷體" w:eastAsia="標楷體" w:hAnsi="標楷體" w:hint="eastAsia"/>
          <w:snapToGrid w:val="0"/>
        </w:rPr>
        <w:t>案件，將</w:t>
      </w:r>
      <w:r w:rsidRPr="00002616">
        <w:rPr>
          <w:rFonts w:ascii="標楷體" w:eastAsia="標楷體" w:hAnsi="標楷體"/>
          <w:snapToGrid w:val="0"/>
        </w:rPr>
        <w:t>CSR</w:t>
      </w:r>
      <w:r w:rsidRPr="00002616">
        <w:rPr>
          <w:rFonts w:ascii="標楷體" w:eastAsia="標楷體" w:hAnsi="標楷體" w:hint="eastAsia"/>
          <w:snapToGrid w:val="0"/>
        </w:rPr>
        <w:t>指標納入評分項目，</w:t>
      </w:r>
      <w:r w:rsidRPr="00002616">
        <w:rPr>
          <w:rFonts w:ascii="標楷體" w:eastAsia="標楷體" w:hAnsi="標楷體"/>
          <w:snapToGrid w:val="0"/>
        </w:rPr>
        <w:t>113</w:t>
      </w:r>
      <w:r w:rsidRPr="00002616">
        <w:rPr>
          <w:rFonts w:ascii="標楷體" w:eastAsia="標楷體" w:hAnsi="標楷體" w:hint="eastAsia"/>
          <w:snapToGrid w:val="0"/>
        </w:rPr>
        <w:t>年已規劃辦理</w:t>
      </w:r>
      <w:r w:rsidRPr="00002616">
        <w:rPr>
          <w:rFonts w:ascii="標楷體" w:eastAsia="標楷體" w:hAnsi="標楷體"/>
          <w:snapToGrid w:val="0"/>
        </w:rPr>
        <w:t>160</w:t>
      </w:r>
      <w:r w:rsidRPr="00002616">
        <w:rPr>
          <w:rFonts w:ascii="標楷體" w:eastAsia="標楷體" w:hAnsi="標楷體" w:hint="eastAsia"/>
          <w:snapToGrid w:val="0"/>
        </w:rPr>
        <w:t>班；另</w:t>
      </w:r>
      <w:r>
        <w:rPr>
          <w:rFonts w:ascii="標楷體" w:eastAsia="標楷體" w:hAnsi="標楷體" w:hint="eastAsia"/>
          <w:snapToGrid w:val="0"/>
        </w:rPr>
        <w:t>已</w:t>
      </w:r>
      <w:r w:rsidRPr="00002616">
        <w:rPr>
          <w:rFonts w:ascii="標楷體" w:eastAsia="標楷體" w:hAnsi="標楷體" w:hint="eastAsia"/>
          <w:snapToGrid w:val="0"/>
        </w:rPr>
        <w:t>函知全國各機關，重申辦理評選</w:t>
      </w:r>
      <w:r>
        <w:rPr>
          <w:rFonts w:ascii="標楷體" w:eastAsia="標楷體" w:hAnsi="標楷體" w:hint="eastAsia"/>
          <w:snapToGrid w:val="0"/>
        </w:rPr>
        <w:t>（</w:t>
      </w:r>
      <w:r w:rsidRPr="00002616">
        <w:rPr>
          <w:rFonts w:ascii="標楷體" w:eastAsia="標楷體" w:hAnsi="標楷體" w:hint="eastAsia"/>
          <w:snapToGrid w:val="0"/>
        </w:rPr>
        <w:t>審</w:t>
      </w:r>
      <w:r>
        <w:rPr>
          <w:rFonts w:ascii="標楷體" w:eastAsia="標楷體" w:hAnsi="標楷體" w:hint="eastAsia"/>
          <w:snapToGrid w:val="0"/>
        </w:rPr>
        <w:t>）時</w:t>
      </w:r>
      <w:r w:rsidRPr="00002616">
        <w:rPr>
          <w:rFonts w:ascii="標楷體" w:eastAsia="標楷體" w:hAnsi="標楷體" w:hint="eastAsia"/>
          <w:snapToGrid w:val="0"/>
        </w:rPr>
        <w:t>將</w:t>
      </w:r>
      <w:r w:rsidRPr="00002616">
        <w:rPr>
          <w:rFonts w:ascii="標楷體" w:eastAsia="標楷體" w:hAnsi="標楷體"/>
          <w:snapToGrid w:val="0"/>
        </w:rPr>
        <w:t>CSR</w:t>
      </w:r>
      <w:r w:rsidRPr="00002616">
        <w:rPr>
          <w:rFonts w:ascii="標楷體" w:eastAsia="標楷體" w:hAnsi="標楷體" w:hint="eastAsia"/>
          <w:snapToGrid w:val="0"/>
        </w:rPr>
        <w:t>指標納入評分項目，以加強宣導。</w:t>
      </w:r>
    </w:p>
    <w:p w14:paraId="5989F611" w14:textId="394DCD70" w:rsidR="004D59BB" w:rsidRPr="00882D62" w:rsidRDefault="004D59BB" w:rsidP="004D59BB">
      <w:pPr>
        <w:pStyle w:val="affffff1"/>
        <w:spacing w:beforeLines="20" w:before="72" w:line="440" w:lineRule="exact"/>
        <w:ind w:firstLineChars="200" w:firstLine="561"/>
        <w:outlineLvl w:val="1"/>
      </w:pPr>
      <w:r w:rsidRPr="00882D62">
        <w:rPr>
          <w:rFonts w:hint="eastAsia"/>
        </w:rPr>
        <w:t>（</w:t>
      </w:r>
      <w:r>
        <w:rPr>
          <w:rFonts w:hint="eastAsia"/>
        </w:rPr>
        <w:t>三十</w:t>
      </w:r>
      <w:r w:rsidR="00781889">
        <w:rPr>
          <w:rFonts w:hint="eastAsia"/>
        </w:rPr>
        <w:t>六</w:t>
      </w:r>
      <w:r w:rsidRPr="00882D62">
        <w:rPr>
          <w:rFonts w:hint="eastAsia"/>
        </w:rPr>
        <w:t>）</w:t>
      </w:r>
      <w:r>
        <w:rPr>
          <w:rFonts w:hint="eastAsia"/>
        </w:rPr>
        <w:t xml:space="preserve">　</w:t>
      </w:r>
      <w:r w:rsidRPr="00882D62">
        <w:rPr>
          <w:rFonts w:hint="eastAsia"/>
        </w:rPr>
        <w:t>行政院公共工程委員會建置價格資料庫，提供工料預算及決標價格供各機關參考運用，惟未於該資料庫提供標比資訊、未明訂編碼正確率進階</w:t>
      </w:r>
      <w:r w:rsidRPr="00882D62">
        <w:rPr>
          <w:rFonts w:hint="eastAsia"/>
        </w:rPr>
        <w:lastRenderedPageBreak/>
        <w:t>目標、相關制度規章未盡完善等情；另迄未因應2050淨零碳排目標，建立大宗資材之碳排係數及估算系統，</w:t>
      </w:r>
      <w:r w:rsidR="00E54764">
        <w:rPr>
          <w:rFonts w:hint="eastAsia"/>
        </w:rPr>
        <w:t>允宜</w:t>
      </w:r>
      <w:r w:rsidRPr="00882D62">
        <w:rPr>
          <w:rFonts w:hint="eastAsia"/>
        </w:rPr>
        <w:t>妥謀善策。</w:t>
      </w:r>
    </w:p>
    <w:p w14:paraId="1CB1C478" w14:textId="3A08866E" w:rsidR="004D59BB" w:rsidRPr="00882D62" w:rsidRDefault="004D59BB" w:rsidP="004D7C92">
      <w:pPr>
        <w:pStyle w:val="-"/>
        <w:spacing w:line="460" w:lineRule="exact"/>
        <w:ind w:firstLine="480"/>
        <w:jc w:val="both"/>
      </w:pPr>
      <w:r>
        <w:rPr>
          <w:noProof/>
        </w:rPr>
        <mc:AlternateContent>
          <mc:Choice Requires="wps">
            <w:drawing>
              <wp:anchor distT="45720" distB="45720" distL="114300" distR="114300" simplePos="0" relativeHeight="251658240" behindDoc="1" locked="0" layoutInCell="1" allowOverlap="1" wp14:anchorId="03C0E35D" wp14:editId="241CAFFB">
                <wp:simplePos x="0" y="0"/>
                <wp:positionH relativeFrom="margin">
                  <wp:posOffset>2409190</wp:posOffset>
                </wp:positionH>
                <wp:positionV relativeFrom="paragraph">
                  <wp:posOffset>3911600</wp:posOffset>
                </wp:positionV>
                <wp:extent cx="3886835" cy="3592830"/>
                <wp:effectExtent l="0" t="0" r="0" b="7620"/>
                <wp:wrapTight wrapText="bothSides">
                  <wp:wrapPolygon edited="0">
                    <wp:start x="212" y="0"/>
                    <wp:lineTo x="212" y="21531"/>
                    <wp:lineTo x="21279" y="21531"/>
                    <wp:lineTo x="21279" y="0"/>
                    <wp:lineTo x="212" y="0"/>
                  </wp:wrapPolygon>
                </wp:wrapTight>
                <wp:docPr id="449" name="文字方塊 4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835" cy="35928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182AC1A" w14:textId="6CC1D8F8" w:rsidR="00A0212B" w:rsidRPr="00946A7E" w:rsidRDefault="00A0212B" w:rsidP="004D59BB">
                            <w:pPr>
                              <w:spacing w:afterLines="50" w:after="180"/>
                              <w:jc w:val="center"/>
                              <w:rPr>
                                <w:rFonts w:ascii="標楷體" w:eastAsia="標楷體" w:hAnsi="標楷體"/>
                                <w:b/>
                              </w:rPr>
                            </w:pPr>
                            <w:r w:rsidRPr="00946A7E">
                              <w:rPr>
                                <w:rFonts w:ascii="標楷體" w:eastAsia="標楷體" w:hAnsi="標楷體" w:hint="eastAsia"/>
                                <w:b/>
                              </w:rPr>
                              <w:t>圖</w:t>
                            </w:r>
                            <w:r>
                              <w:rPr>
                                <w:rFonts w:ascii="標楷體" w:eastAsia="標楷體" w:hAnsi="標楷體"/>
                                <w:b/>
                              </w:rPr>
                              <w:t>20</w:t>
                            </w:r>
                            <w:r w:rsidRPr="00946A7E">
                              <w:rPr>
                                <w:rFonts w:ascii="標楷體" w:eastAsia="標楷體" w:hAnsi="標楷體" w:hint="eastAsia"/>
                                <w:b/>
                              </w:rPr>
                              <w:t xml:space="preserve">　價格資料庫系統工作流程</w:t>
                            </w:r>
                          </w:p>
                          <w:p w14:paraId="1D1151C4" w14:textId="77777777" w:rsidR="00A0212B" w:rsidRDefault="00A0212B" w:rsidP="004D59BB">
                            <w:pPr>
                              <w:jc w:val="center"/>
                              <w:rPr>
                                <w:rFonts w:ascii="標楷體" w:eastAsia="標楷體" w:hAnsi="標楷體"/>
                              </w:rPr>
                            </w:pPr>
                            <w:r w:rsidRPr="000054E6">
                              <w:rPr>
                                <w:rFonts w:ascii="標楷體" w:eastAsia="標楷體" w:hAnsi="標楷體"/>
                                <w:noProof/>
                              </w:rPr>
                              <w:drawing>
                                <wp:inline distT="0" distB="0" distL="0" distR="0" wp14:anchorId="1A4DDB86" wp14:editId="023107AB">
                                  <wp:extent cx="3718706" cy="2492558"/>
                                  <wp:effectExtent l="0" t="0" r="0" b="3175"/>
                                  <wp:docPr id="452" name="圖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76934" cy="2531587"/>
                                          </a:xfrm>
                                          <a:prstGeom prst="rect">
                                            <a:avLst/>
                                          </a:prstGeom>
                                          <a:noFill/>
                                          <a:ln>
                                            <a:noFill/>
                                          </a:ln>
                                        </pic:spPr>
                                      </pic:pic>
                                    </a:graphicData>
                                  </a:graphic>
                                </wp:inline>
                              </w:drawing>
                            </w:r>
                          </w:p>
                          <w:p w14:paraId="3C7A8A65" w14:textId="77777777" w:rsidR="00A0212B" w:rsidRDefault="00A0212B" w:rsidP="004D59BB">
                            <w:pPr>
                              <w:spacing w:line="240" w:lineRule="exact"/>
                              <w:rPr>
                                <w:rFonts w:ascii="標楷體" w:eastAsia="標楷體" w:hAnsi="標楷體"/>
                                <w:sz w:val="18"/>
                                <w:szCs w:val="18"/>
                              </w:rPr>
                            </w:pPr>
                            <w:r>
                              <w:rPr>
                                <w:rFonts w:ascii="標楷體" w:eastAsia="標楷體" w:hAnsi="標楷體" w:hint="eastAsia"/>
                                <w:sz w:val="18"/>
                                <w:szCs w:val="18"/>
                              </w:rPr>
                              <w:t>註：1.資料時間：112年度統計資料。</w:t>
                            </w:r>
                          </w:p>
                          <w:p w14:paraId="441C1564" w14:textId="77777777" w:rsidR="00A0212B" w:rsidRDefault="00A0212B" w:rsidP="004D59BB">
                            <w:pPr>
                              <w:spacing w:line="24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2.未公布清單之原因包括：樣本數不足、規格不完整、單位無意義、價格超出2倍標準差等。</w:t>
                            </w:r>
                          </w:p>
                          <w:p w14:paraId="046D68DC" w14:textId="77777777" w:rsidR="00A0212B" w:rsidRPr="00946A7E" w:rsidRDefault="00A0212B" w:rsidP="004D59BB">
                            <w:pPr>
                              <w:spacing w:line="240" w:lineRule="exact"/>
                              <w:ind w:firstLineChars="200" w:firstLine="360"/>
                              <w:rPr>
                                <w:rFonts w:ascii="標楷體" w:eastAsia="標楷體" w:hAnsi="標楷體"/>
                                <w:sz w:val="18"/>
                                <w:szCs w:val="18"/>
                              </w:rPr>
                            </w:pPr>
                            <w:r>
                              <w:rPr>
                                <w:rFonts w:ascii="標楷體" w:eastAsia="標楷體" w:hAnsi="標楷體" w:hint="eastAsia"/>
                                <w:sz w:val="18"/>
                                <w:szCs w:val="18"/>
                              </w:rPr>
                              <w:t>3.</w:t>
                            </w:r>
                            <w:r w:rsidRPr="00946A7E">
                              <w:rPr>
                                <w:rFonts w:ascii="標楷體" w:eastAsia="標楷體" w:hAnsi="標楷體" w:hint="eastAsia"/>
                                <w:sz w:val="18"/>
                                <w:szCs w:val="18"/>
                              </w:rPr>
                              <w:t>資料來源：</w:t>
                            </w:r>
                            <w:r>
                              <w:rPr>
                                <w:rFonts w:ascii="標楷體" w:eastAsia="標楷體" w:hAnsi="標楷體" w:hint="eastAsia"/>
                                <w:sz w:val="18"/>
                                <w:szCs w:val="18"/>
                              </w:rPr>
                              <w:t>整理自</w:t>
                            </w:r>
                            <w:r w:rsidRPr="00252060">
                              <w:rPr>
                                <w:rFonts w:ascii="標楷體" w:eastAsia="標楷體" w:hAnsi="標楷體" w:cs="Arial" w:hint="eastAsia"/>
                                <w:snapToGrid w:val="0"/>
                                <w:kern w:val="0"/>
                                <w:sz w:val="18"/>
                                <w:szCs w:val="18"/>
                              </w:rPr>
                              <w:t>行政院公共工程委員會</w:t>
                            </w:r>
                            <w:r w:rsidRPr="00946A7E">
                              <w:rPr>
                                <w:rFonts w:ascii="標楷體" w:eastAsia="標楷體" w:hAnsi="標楷體" w:hint="eastAsia"/>
                                <w:sz w:val="18"/>
                                <w:szCs w:val="18"/>
                              </w:rPr>
                              <w:t>提供資料</w:t>
                            </w:r>
                            <w:r>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C0E35D" id="文字方塊 449" o:spid="_x0000_s1129" type="#_x0000_t202" style="position:absolute;left:0;text-align:left;margin-left:189.7pt;margin-top:308pt;width:306.05pt;height:282.9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" filled="f" stroked="f">
                <v:textbox>
                  <w:txbxContent>
                    <w:p w14:paraId="5182AC1A" w14:textId="6CC1D8F8" w:rsidR="00A0212B" w:rsidRPr="00946A7E" w:rsidRDefault="00A0212B" w:rsidP="004D59BB">
                      <w:pPr>
                        <w:spacing w:afterLines="50" w:after="180"/>
                        <w:jc w:val="center"/>
                        <w:rPr>
                          <w:rFonts w:ascii="標楷體" w:eastAsia="標楷體" w:hAnsi="標楷體"/>
                          <w:b/>
                        </w:rPr>
                      </w:pPr>
                      <w:r w:rsidRPr="00946A7E">
                        <w:rPr>
                          <w:rFonts w:ascii="標楷體" w:eastAsia="標楷體" w:hAnsi="標楷體" w:hint="eastAsia"/>
                          <w:b/>
                        </w:rPr>
                        <w:t>圖</w:t>
                      </w:r>
                      <w:r>
                        <w:rPr>
                          <w:rFonts w:ascii="標楷體" w:eastAsia="標楷體" w:hAnsi="標楷體"/>
                          <w:b/>
                        </w:rPr>
                        <w:t>20</w:t>
                      </w:r>
                      <w:r w:rsidRPr="00946A7E">
                        <w:rPr>
                          <w:rFonts w:ascii="標楷體" w:eastAsia="標楷體" w:hAnsi="標楷體" w:hint="eastAsia"/>
                          <w:b/>
                        </w:rPr>
                        <w:t xml:space="preserve">　價格資料庫系統工作流程</w:t>
                      </w:r>
                    </w:p>
                    <w:p w14:paraId="1D1151C4" w14:textId="77777777" w:rsidR="00A0212B" w:rsidRDefault="00A0212B" w:rsidP="004D59BB">
                      <w:pPr>
                        <w:jc w:val="center"/>
                        <w:rPr>
                          <w:rFonts w:ascii="標楷體" w:eastAsia="標楷體" w:hAnsi="標楷體"/>
                        </w:rPr>
                      </w:pPr>
                      <w:r w:rsidRPr="000054E6">
                        <w:rPr>
                          <w:rFonts w:ascii="標楷體" w:eastAsia="標楷體" w:hAnsi="標楷體"/>
                          <w:noProof/>
                        </w:rPr>
                        <w:drawing>
                          <wp:inline distT="0" distB="0" distL="0" distR="0" wp14:anchorId="1A4DDB86" wp14:editId="023107AB">
                            <wp:extent cx="3718706" cy="2492558"/>
                            <wp:effectExtent l="0" t="0" r="0" b="3175"/>
                            <wp:docPr id="452" name="圖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76934" cy="2531587"/>
                                    </a:xfrm>
                                    <a:prstGeom prst="rect">
                                      <a:avLst/>
                                    </a:prstGeom>
                                    <a:noFill/>
                                    <a:ln>
                                      <a:noFill/>
                                    </a:ln>
                                  </pic:spPr>
                                </pic:pic>
                              </a:graphicData>
                            </a:graphic>
                          </wp:inline>
                        </w:drawing>
                      </w:r>
                    </w:p>
                    <w:p w14:paraId="3C7A8A65" w14:textId="77777777" w:rsidR="00A0212B" w:rsidRDefault="00A0212B" w:rsidP="004D59BB">
                      <w:pPr>
                        <w:spacing w:line="240" w:lineRule="exact"/>
                        <w:rPr>
                          <w:rFonts w:ascii="標楷體" w:eastAsia="標楷體" w:hAnsi="標楷體"/>
                          <w:sz w:val="18"/>
                          <w:szCs w:val="18"/>
                        </w:rPr>
                      </w:pPr>
                      <w:r>
                        <w:rPr>
                          <w:rFonts w:ascii="標楷體" w:eastAsia="標楷體" w:hAnsi="標楷體" w:hint="eastAsia"/>
                          <w:sz w:val="18"/>
                          <w:szCs w:val="18"/>
                        </w:rPr>
                        <w:t>註：1.資料時間：112年度統計資料。</w:t>
                      </w:r>
                    </w:p>
                    <w:p w14:paraId="441C1564" w14:textId="77777777" w:rsidR="00A0212B" w:rsidRDefault="00A0212B" w:rsidP="004D59BB">
                      <w:pPr>
                        <w:spacing w:line="24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2.未公布清單之原因包括：樣本數不足、規格不完整、單位無意義、價格超出2倍標準差等。</w:t>
                      </w:r>
                    </w:p>
                    <w:p w14:paraId="046D68DC" w14:textId="77777777" w:rsidR="00A0212B" w:rsidRPr="00946A7E" w:rsidRDefault="00A0212B" w:rsidP="004D59BB">
                      <w:pPr>
                        <w:spacing w:line="240" w:lineRule="exact"/>
                        <w:ind w:firstLineChars="200" w:firstLine="360"/>
                        <w:rPr>
                          <w:rFonts w:ascii="標楷體" w:eastAsia="標楷體" w:hAnsi="標楷體"/>
                          <w:sz w:val="18"/>
                          <w:szCs w:val="18"/>
                        </w:rPr>
                      </w:pPr>
                      <w:r>
                        <w:rPr>
                          <w:rFonts w:ascii="標楷體" w:eastAsia="標楷體" w:hAnsi="標楷體" w:hint="eastAsia"/>
                          <w:sz w:val="18"/>
                          <w:szCs w:val="18"/>
                        </w:rPr>
                        <w:t>3.</w:t>
                      </w:r>
                      <w:r w:rsidRPr="00946A7E">
                        <w:rPr>
                          <w:rFonts w:ascii="標楷體" w:eastAsia="標楷體" w:hAnsi="標楷體" w:hint="eastAsia"/>
                          <w:sz w:val="18"/>
                          <w:szCs w:val="18"/>
                        </w:rPr>
                        <w:t>資料來源：</w:t>
                      </w:r>
                      <w:r>
                        <w:rPr>
                          <w:rFonts w:ascii="標楷體" w:eastAsia="標楷體" w:hAnsi="標楷體" w:hint="eastAsia"/>
                          <w:sz w:val="18"/>
                          <w:szCs w:val="18"/>
                        </w:rPr>
                        <w:t>整理自</w:t>
                      </w:r>
                      <w:r w:rsidRPr="00252060">
                        <w:rPr>
                          <w:rFonts w:ascii="標楷體" w:eastAsia="標楷體" w:hAnsi="標楷體" w:cs="Arial" w:hint="eastAsia"/>
                          <w:snapToGrid w:val="0"/>
                          <w:kern w:val="0"/>
                          <w:sz w:val="18"/>
                          <w:szCs w:val="18"/>
                        </w:rPr>
                        <w:t>行政院公共工程委員會</w:t>
                      </w:r>
                      <w:r w:rsidRPr="00946A7E">
                        <w:rPr>
                          <w:rFonts w:ascii="標楷體" w:eastAsia="標楷體" w:hAnsi="標楷體" w:hint="eastAsia"/>
                          <w:sz w:val="18"/>
                          <w:szCs w:val="18"/>
                        </w:rPr>
                        <w:t>提供資料</w:t>
                      </w:r>
                      <w:r>
                        <w:rPr>
                          <w:rFonts w:ascii="標楷體" w:eastAsia="標楷體" w:hAnsi="標楷體" w:hint="eastAsia"/>
                          <w:sz w:val="18"/>
                          <w:szCs w:val="18"/>
                        </w:rPr>
                        <w:t>。</w:t>
                      </w:r>
                    </w:p>
                  </w:txbxContent>
                </v:textbox>
                <w10:wrap type="tight" anchorx="margin"/>
              </v:shape>
            </w:pict>
          </mc:Fallback>
        </mc:AlternateContent>
      </w:r>
      <w:r w:rsidRPr="00882D62">
        <w:rPr>
          <w:rFonts w:hint="eastAsia"/>
        </w:rPr>
        <w:t>依據政府採購法第11條第1項規定，行政院公共工程委員會（下稱工程會）應設立採購資訊中心，統一蒐集共通性商情及同等品分類之資訊，並建立工程價格資料庫，以供各機關採購預算編列及底價訂定之參考。工程會經蒐集各機關辦理預算金額達1千萬元以上之公共工程標案價格資料，於93年啟用「公共工程價格資料庫」</w:t>
      </w:r>
      <w:r w:rsidR="00C2362F" w:rsidRPr="00C2362F">
        <w:rPr>
          <w:rFonts w:hint="eastAsia"/>
        </w:rPr>
        <w:t>（</w:t>
      </w:r>
      <w:r w:rsidRPr="00882D62">
        <w:rPr>
          <w:rFonts w:hint="eastAsia"/>
        </w:rPr>
        <w:t>下稱價格資料庫</w:t>
      </w:r>
      <w:r w:rsidR="006C41C5" w:rsidRPr="006C41C5">
        <w:rPr>
          <w:rFonts w:hint="eastAsia"/>
        </w:rPr>
        <w:t>）</w:t>
      </w:r>
      <w:r w:rsidRPr="00882D62">
        <w:rPr>
          <w:rFonts w:hint="eastAsia"/>
        </w:rPr>
        <w:t>，提供招標機關查詢工項、材料、勞務、機具之北、中、南、東部地區平均價格；</w:t>
      </w:r>
      <w:r w:rsidRPr="00882D62">
        <w:t>112</w:t>
      </w:r>
      <w:r w:rsidRPr="00882D62">
        <w:rPr>
          <w:rFonts w:hint="eastAsia"/>
        </w:rPr>
        <w:t>年</w:t>
      </w:r>
      <w:r w:rsidRPr="00882D62">
        <w:t>11</w:t>
      </w:r>
      <w:r w:rsidRPr="00882D62">
        <w:rPr>
          <w:rFonts w:hint="eastAsia"/>
        </w:rPr>
        <w:t>月</w:t>
      </w:r>
      <w:r w:rsidRPr="00882D62">
        <w:t>13</w:t>
      </w:r>
      <w:r w:rsidRPr="00882D62">
        <w:rPr>
          <w:rFonts w:hint="eastAsia"/>
        </w:rPr>
        <w:t>日將價格資料庫整合至「公共工程雲端系統」，除提供查詢預算價格及決標價格之服務外，一併提升價格資料庫之分析與統計演算效能。另據工程會估算，臺灣</w:t>
      </w:r>
      <w:r w:rsidRPr="00882D62">
        <w:t>1</w:t>
      </w:r>
      <w:r w:rsidRPr="00882D62">
        <w:rPr>
          <w:rFonts w:hint="eastAsia"/>
        </w:rPr>
        <w:t>年溫室氣體淨排放量約</w:t>
      </w:r>
      <w:r w:rsidRPr="00882D62">
        <w:t>27,515.7</w:t>
      </w:r>
      <w:r w:rsidRPr="00882D62">
        <w:rPr>
          <w:rFonts w:hint="eastAsia"/>
        </w:rPr>
        <w:t>萬噸二氧化碳當量，其中公共工程碳排放量占全國總溫室氣體排放量</w:t>
      </w:r>
      <w:r w:rsidRPr="00882D62">
        <w:t>9.78</w:t>
      </w:r>
      <w:r w:rsidRPr="00882D62">
        <w:rPr>
          <w:rFonts w:hint="eastAsia"/>
        </w:rPr>
        <w:t>％。該會為推動公共工程減碳，於</w:t>
      </w:r>
      <w:r w:rsidRPr="00882D62">
        <w:t>101</w:t>
      </w:r>
      <w:r w:rsidRPr="00882D62">
        <w:rPr>
          <w:rFonts w:hint="eastAsia"/>
        </w:rPr>
        <w:t>年度完成公共工程碳排放估算模式初步研究試算案例暨相關委外研究，並於102年度責由交通部、內政部、經濟部、教育部及</w:t>
      </w:r>
      <w:r>
        <w:rPr>
          <w:rFonts w:hint="eastAsia"/>
        </w:rPr>
        <w:t>農業部</w:t>
      </w:r>
      <w:r w:rsidRPr="00882D62">
        <w:rPr>
          <w:rFonts w:hint="eastAsia"/>
        </w:rPr>
        <w:t>擇選</w:t>
      </w:r>
      <w:r w:rsidRPr="00882D62">
        <w:t>20</w:t>
      </w:r>
      <w:r w:rsidRPr="00882D62">
        <w:rPr>
          <w:rFonts w:hint="eastAsia"/>
        </w:rPr>
        <w:t>件工程，推動「公共工程碳排放量估算試辦計畫」，於103年3月完成結案報告。經查其執行情形，核有：1.工程會建置價格資料庫提供工料預算及決標價格，作為機關工程採購預算編列及底價訂定之參考，惟該資料庫未提供決標價格對應之標比資訊（或底價金額），以致機關訂定底價缺乏參考依據；2.訂定各機關傳輸價格資料編碼正確率之推動目標，惟自107年度達標後未再訂定進階目標，且仍有部分機關迄未達標，致機關每月傳輸之價格資料仍有近半數因編碼不正確，未能存入價格資料庫（</w:t>
      </w:r>
      <w:r w:rsidRPr="00DD3956">
        <w:rPr>
          <w:rFonts w:hint="eastAsia"/>
        </w:rPr>
        <w:t>圖2</w:t>
      </w:r>
      <w:r w:rsidR="0005135C" w:rsidRPr="00DD3956">
        <w:rPr>
          <w:rFonts w:hint="eastAsia"/>
        </w:rPr>
        <w:t>0</w:t>
      </w:r>
      <w:r w:rsidRPr="00882D62">
        <w:rPr>
          <w:rFonts w:hint="eastAsia"/>
        </w:rPr>
        <w:t>），影響商情資訊完整性；3.採購稽核小組績效考核作業要點未明訂機關採購稽核小組，須函報機關補傳價格資料庫之督導情形，並列入績效考核項目，制度規章未盡完善；4.對於工程採購最低標廠商部分標價偏低情形，未訂定相關執行程序，致部分機關訂定契約單價未檢討合理性，逕以預算單價調整廠商單價，與</w:t>
      </w:r>
      <w:r w:rsidR="007D201E">
        <w:rPr>
          <w:rFonts w:hint="eastAsia"/>
        </w:rPr>
        <w:t>政府</w:t>
      </w:r>
      <w:r w:rsidRPr="00882D62">
        <w:rPr>
          <w:rFonts w:hint="eastAsia"/>
        </w:rPr>
        <w:t>採購法相關函示規定扞格；5.為推動公共工程減碳，已擇案試辦公共工程碳排估算，惟試辦計畫已結束逾10年，迄未因應2050淨零碳排目標，並</w:t>
      </w:r>
      <w:r w:rsidRPr="00882D62">
        <w:rPr>
          <w:rFonts w:hint="eastAsia"/>
        </w:rPr>
        <w:lastRenderedPageBreak/>
        <w:t>依歷次會議委員建議，建立大宗資材之碳排係數資料庫及估算系統等情</w:t>
      </w:r>
      <w:r w:rsidR="007D201E">
        <w:rPr>
          <w:rFonts w:hint="eastAsia"/>
        </w:rPr>
        <w:t>事</w:t>
      </w:r>
      <w:r w:rsidRPr="00882D62">
        <w:rPr>
          <w:rFonts w:hint="eastAsia"/>
        </w:rPr>
        <w:t>，經函請工程會妥謀善策。據復：刻正針對價格資料庫增加標比資訊、提升編碼正確率、完善採購稽核小組績效考核要點、檢討最低標部分標價偏低不合理之執行程序、督促各機關善用價格資料庫及擴充碳排估算功能等事項，研議相關精進措施。</w:t>
      </w:r>
    </w:p>
    <w:p w14:paraId="115C8A7B" w14:textId="3A204C2C" w:rsidR="0056137B" w:rsidRPr="00882D62" w:rsidRDefault="0056137B" w:rsidP="0056137B">
      <w:pPr>
        <w:pStyle w:val="affffff1"/>
        <w:spacing w:beforeLines="20" w:before="72" w:line="430" w:lineRule="exact"/>
        <w:ind w:firstLineChars="200" w:firstLine="561"/>
        <w:outlineLvl w:val="1"/>
      </w:pPr>
      <w:r>
        <w:rPr>
          <w:rFonts w:hint="eastAsia"/>
        </w:rPr>
        <w:t>（</w:t>
      </w:r>
      <w:r w:rsidR="001752E4">
        <w:rPr>
          <w:rFonts w:hint="eastAsia"/>
        </w:rPr>
        <w:t>三</w:t>
      </w:r>
      <w:r w:rsidR="004D59BB">
        <w:rPr>
          <w:rFonts w:hint="eastAsia"/>
        </w:rPr>
        <w:t>十</w:t>
      </w:r>
      <w:r w:rsidR="00781889">
        <w:rPr>
          <w:rFonts w:hint="eastAsia"/>
        </w:rPr>
        <w:t>七</w:t>
      </w:r>
      <w:r>
        <w:rPr>
          <w:rFonts w:hint="eastAsia"/>
        </w:rPr>
        <w:t xml:space="preserve">）　</w:t>
      </w:r>
      <w:r w:rsidRPr="00882D62">
        <w:rPr>
          <w:rFonts w:hint="eastAsia"/>
        </w:rPr>
        <w:t>各機關採購進口貨品，於驗收階段查驗進口報單，以確保貨品來源與品質符合實需，惟受限於關稅法規定，</w:t>
      </w:r>
      <w:r w:rsidRPr="0056137B">
        <w:rPr>
          <w:rFonts w:hint="eastAsia"/>
          <w:spacing w:val="-4"/>
        </w:rPr>
        <w:t>進口報單內容真偽不易查證，衍生廠商變造進口報單</w:t>
      </w:r>
      <w:r w:rsidRPr="00882D62">
        <w:rPr>
          <w:rFonts w:hint="eastAsia"/>
        </w:rPr>
        <w:t>，藉以繳交不明來源貨品冒充原廠新品情事發生，</w:t>
      </w:r>
      <w:r w:rsidR="00A46428">
        <w:rPr>
          <w:rFonts w:hint="eastAsia"/>
        </w:rPr>
        <w:t>允宜</w:t>
      </w:r>
      <w:r w:rsidRPr="00882D62">
        <w:rPr>
          <w:rFonts w:hint="eastAsia"/>
        </w:rPr>
        <w:t>研謀改善。</w:t>
      </w:r>
    </w:p>
    <w:p w14:paraId="48E16437" w14:textId="310FD952" w:rsidR="007142B1" w:rsidRPr="004D7C92" w:rsidRDefault="004D59BB" w:rsidP="00A348A5">
      <w:pPr>
        <w:pStyle w:val="-"/>
        <w:spacing w:line="460" w:lineRule="exact"/>
        <w:ind w:firstLine="480"/>
        <w:jc w:val="both"/>
        <w:rPr>
          <w:color w:val="000000" w:themeColor="text1"/>
        </w:rPr>
      </w:pPr>
      <w:r w:rsidRPr="00882D62">
        <w:rPr>
          <w:noProof/>
        </w:rPr>
        <mc:AlternateContent>
          <mc:Choice Requires="wps">
            <w:drawing>
              <wp:anchor distT="45720" distB="45720" distL="114300" distR="114300" simplePos="0" relativeHeight="251633664" behindDoc="0" locked="0" layoutInCell="1" allowOverlap="1" wp14:anchorId="43B23E9B" wp14:editId="194DBB5D">
                <wp:simplePos x="0" y="0"/>
                <wp:positionH relativeFrom="column">
                  <wp:posOffset>2907177</wp:posOffset>
                </wp:positionH>
                <wp:positionV relativeFrom="paragraph">
                  <wp:posOffset>806401</wp:posOffset>
                </wp:positionV>
                <wp:extent cx="3391535" cy="3070225"/>
                <wp:effectExtent l="0" t="0" r="0" b="0"/>
                <wp:wrapSquare wrapText="bothSides"/>
                <wp:docPr id="75" name="文字方塊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1535" cy="307022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DA01A1E" w14:textId="1391D977" w:rsidR="00A0212B" w:rsidRPr="00427783" w:rsidRDefault="00A0212B" w:rsidP="00A427D2">
                            <w:pPr>
                              <w:jc w:val="center"/>
                              <w:rPr>
                                <w:rFonts w:ascii="標楷體" w:eastAsia="標楷體" w:hAnsi="標楷體"/>
                                <w:b/>
                              </w:rPr>
                            </w:pPr>
                            <w:r w:rsidRPr="00427783">
                              <w:rPr>
                                <w:rFonts w:ascii="標楷體" w:eastAsia="標楷體" w:hAnsi="標楷體" w:hint="eastAsia"/>
                                <w:b/>
                              </w:rPr>
                              <w:t>圖</w:t>
                            </w:r>
                            <w:r>
                              <w:rPr>
                                <w:rFonts w:ascii="標楷體" w:eastAsia="標楷體" w:hAnsi="標楷體" w:hint="eastAsia"/>
                                <w:b/>
                              </w:rPr>
                              <w:t>2</w:t>
                            </w:r>
                            <w:r>
                              <w:rPr>
                                <w:rFonts w:ascii="標楷體" w:eastAsia="標楷體" w:hAnsi="標楷體"/>
                                <w:b/>
                              </w:rPr>
                              <w:t>1</w:t>
                            </w:r>
                            <w:r w:rsidRPr="00427783">
                              <w:rPr>
                                <w:rFonts w:ascii="標楷體" w:eastAsia="標楷體" w:hAnsi="標楷體" w:hint="eastAsia"/>
                                <w:b/>
                              </w:rPr>
                              <w:t xml:space="preserve">　關稅法規定可提供報關資料之對象</w:t>
                            </w:r>
                          </w:p>
                          <w:p w14:paraId="4216D826" w14:textId="77777777" w:rsidR="00A0212B" w:rsidRDefault="00A0212B" w:rsidP="00A427D2">
                            <w:pPr>
                              <w:ind w:firstLineChars="59" w:firstLine="106"/>
                              <w:rPr>
                                <w:rFonts w:ascii="標楷體" w:eastAsia="標楷體" w:hAnsi="標楷體"/>
                                <w:sz w:val="18"/>
                                <w:szCs w:val="18"/>
                              </w:rPr>
                            </w:pPr>
                            <w:r w:rsidRPr="00833966">
                              <w:rPr>
                                <w:rFonts w:ascii="標楷體" w:eastAsia="標楷體" w:hAnsi="標楷體"/>
                                <w:noProof/>
                                <w:sz w:val="18"/>
                                <w:szCs w:val="18"/>
                              </w:rPr>
                              <w:drawing>
                                <wp:inline distT="0" distB="0" distL="0" distR="0" wp14:anchorId="3325ED97" wp14:editId="5118808D">
                                  <wp:extent cx="3343910" cy="2435860"/>
                                  <wp:effectExtent l="0" t="0" r="8890" b="2540"/>
                                  <wp:docPr id="76"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43910" cy="2435860"/>
                                          </a:xfrm>
                                          <a:prstGeom prst="rect">
                                            <a:avLst/>
                                          </a:prstGeom>
                                          <a:noFill/>
                                          <a:ln>
                                            <a:noFill/>
                                          </a:ln>
                                        </pic:spPr>
                                      </pic:pic>
                                    </a:graphicData>
                                  </a:graphic>
                                </wp:inline>
                              </w:drawing>
                            </w:r>
                          </w:p>
                          <w:p w14:paraId="016F0F30" w14:textId="77777777" w:rsidR="00A0212B" w:rsidRPr="00497CEB" w:rsidRDefault="00A0212B" w:rsidP="00A427D2">
                            <w:pPr>
                              <w:ind w:leftChars="-59" w:left="-142" w:firstLineChars="157" w:firstLine="283"/>
                              <w:rPr>
                                <w:rFonts w:ascii="標楷體" w:eastAsia="標楷體" w:hAnsi="標楷體"/>
                                <w:sz w:val="18"/>
                                <w:szCs w:val="18"/>
                              </w:rPr>
                            </w:pPr>
                            <w:r>
                              <w:rPr>
                                <w:rFonts w:ascii="標楷體" w:eastAsia="標楷體" w:hAnsi="標楷體" w:hint="eastAsia"/>
                                <w:sz w:val="18"/>
                                <w:szCs w:val="18"/>
                              </w:rPr>
                              <w:t>資料來源：整理自財政部關務署提供資料。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3B23E9B" id="文字方塊 75" o:spid="_x0000_s1130" type="#_x0000_t202" style="position:absolute;left:0;text-align:left;margin-left:228.9pt;margin-top:63.5pt;width:267.05pt;height:241.75pt;z-index:251633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" stroked="f">
                <v:textbox>
                  <w:txbxContent>
                    <w:p w14:paraId="3DA01A1E" w14:textId="1391D977" w:rsidR="00A0212B" w:rsidRPr="00427783" w:rsidRDefault="00A0212B" w:rsidP="00A427D2">
                      <w:pPr>
                        <w:jc w:val="center"/>
                        <w:rPr>
                          <w:rFonts w:ascii="標楷體" w:eastAsia="標楷體" w:hAnsi="標楷體"/>
                          <w:b/>
                        </w:rPr>
                      </w:pPr>
                      <w:r w:rsidRPr="00427783">
                        <w:rPr>
                          <w:rFonts w:ascii="標楷體" w:eastAsia="標楷體" w:hAnsi="標楷體" w:hint="eastAsia"/>
                          <w:b/>
                        </w:rPr>
                        <w:t>圖</w:t>
                      </w:r>
                      <w:r>
                        <w:rPr>
                          <w:rFonts w:ascii="標楷體" w:eastAsia="標楷體" w:hAnsi="標楷體" w:hint="eastAsia"/>
                          <w:b/>
                        </w:rPr>
                        <w:t>2</w:t>
                      </w:r>
                      <w:r>
                        <w:rPr>
                          <w:rFonts w:ascii="標楷體" w:eastAsia="標楷體" w:hAnsi="標楷體"/>
                          <w:b/>
                        </w:rPr>
                        <w:t>1</w:t>
                      </w:r>
                      <w:r w:rsidRPr="00427783">
                        <w:rPr>
                          <w:rFonts w:ascii="標楷體" w:eastAsia="標楷體" w:hAnsi="標楷體" w:hint="eastAsia"/>
                          <w:b/>
                        </w:rPr>
                        <w:t xml:space="preserve">　關稅法規定可提供報關資料之對象</w:t>
                      </w:r>
                    </w:p>
                    <w:p w14:paraId="4216D826" w14:textId="77777777" w:rsidR="00A0212B" w:rsidRDefault="00A0212B" w:rsidP="00A427D2">
                      <w:pPr>
                        <w:ind w:firstLineChars="59" w:firstLine="106"/>
                        <w:rPr>
                          <w:rFonts w:ascii="標楷體" w:eastAsia="標楷體" w:hAnsi="標楷體"/>
                          <w:sz w:val="18"/>
                          <w:szCs w:val="18"/>
                        </w:rPr>
                      </w:pPr>
                      <w:r w:rsidRPr="00833966">
                        <w:rPr>
                          <w:rFonts w:ascii="標楷體" w:eastAsia="標楷體" w:hAnsi="標楷體"/>
                          <w:noProof/>
                          <w:sz w:val="18"/>
                          <w:szCs w:val="18"/>
                        </w:rPr>
                        <w:drawing>
                          <wp:inline distT="0" distB="0" distL="0" distR="0" wp14:anchorId="3325ED97" wp14:editId="5118808D">
                            <wp:extent cx="3343910" cy="2435860"/>
                            <wp:effectExtent l="0" t="0" r="8890" b="2540"/>
                            <wp:docPr id="76" name="圖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43910" cy="2435860"/>
                                    </a:xfrm>
                                    <a:prstGeom prst="rect">
                                      <a:avLst/>
                                    </a:prstGeom>
                                    <a:noFill/>
                                    <a:ln>
                                      <a:noFill/>
                                    </a:ln>
                                  </pic:spPr>
                                </pic:pic>
                              </a:graphicData>
                            </a:graphic>
                          </wp:inline>
                        </w:drawing>
                      </w:r>
                    </w:p>
                    <w:p w14:paraId="016F0F30" w14:textId="77777777" w:rsidR="00A0212B" w:rsidRPr="00497CEB" w:rsidRDefault="00A0212B" w:rsidP="00A427D2">
                      <w:pPr>
                        <w:ind w:leftChars="-59" w:left="-142" w:firstLineChars="157" w:firstLine="283"/>
                        <w:rPr>
                          <w:rFonts w:ascii="標楷體" w:eastAsia="標楷體" w:hAnsi="標楷體"/>
                          <w:sz w:val="18"/>
                          <w:szCs w:val="18"/>
                        </w:rPr>
                      </w:pPr>
                      <w:r>
                        <w:rPr>
                          <w:rFonts w:ascii="標楷體" w:eastAsia="標楷體" w:hAnsi="標楷體" w:hint="eastAsia"/>
                          <w:sz w:val="18"/>
                          <w:szCs w:val="18"/>
                        </w:rPr>
                        <w:t>資料來源：整理自財政部關務署提供資料。</w:t>
                      </w:r>
                    </w:p>
                  </w:txbxContent>
                </v:textbox>
                <w10:wrap type="square"/>
              </v:shape>
            </w:pict>
          </mc:Fallback>
        </mc:AlternateContent>
      </w:r>
      <w:r w:rsidR="0056137B" w:rsidRPr="00882D62">
        <w:rPr>
          <w:rFonts w:hint="eastAsia"/>
        </w:rPr>
        <w:t>依關稅法第12條第1項規定：「關務人員對於納稅義務人、貨物輸出人向海關所提供之各項報關資料，應嚴守秘密，違者應予處分；其涉有觸犯刑法規定者，並應移送偵查。但對下列各款人員及機關提供者，不在此限：一、納稅義務人、貨物輸出人本人或其繼承人。二、納稅義務人、貨物輸出人授權之代理人或辯護人。三、海關或稅捐稽徵機關。四、監察機關。五、受理有關關務訴願、訴訟機關。六、依法從事調查關務案件之機關。七、其他依法得向海關要求提供報關資料之機關或人員。八、經財政部核定之機關或人員。」（</w:t>
      </w:r>
      <w:r w:rsidR="0056137B" w:rsidRPr="00DD3956">
        <w:rPr>
          <w:rFonts w:hint="eastAsia"/>
        </w:rPr>
        <w:t>圖</w:t>
      </w:r>
      <w:r w:rsidR="00E40523" w:rsidRPr="00DD3956">
        <w:rPr>
          <w:rFonts w:hint="eastAsia"/>
        </w:rPr>
        <w:t>2</w:t>
      </w:r>
      <w:r w:rsidR="000E24CA" w:rsidRPr="00DD3956">
        <w:rPr>
          <w:rFonts w:hint="eastAsia"/>
        </w:rPr>
        <w:t>1</w:t>
      </w:r>
      <w:r w:rsidR="0056137B" w:rsidRPr="00882D62">
        <w:rPr>
          <w:rFonts w:hint="eastAsia"/>
        </w:rPr>
        <w:t>）</w:t>
      </w:r>
      <w:r w:rsidR="00A348A5">
        <w:rPr>
          <w:rFonts w:hint="eastAsia"/>
        </w:rPr>
        <w:t>；</w:t>
      </w:r>
      <w:r w:rsidR="0056137B" w:rsidRPr="00882D62">
        <w:rPr>
          <w:rFonts w:hint="eastAsia"/>
        </w:rPr>
        <w:t>第17條第1項規定：「進口報關時，應填送貨物進口報單，並檢附發票、裝箱單及其他進口必須具備之有關文件。」各機關辦理與軍事、運輸、產油、供電、醫療或行政業務相關進口貨品採購，為確保貨品之來源及品質符合實需，於採購契約中規範得標廠商須繳交進口報單，以利機關人員於履約驗收階段確認貨品之來源或產地。經查部分得標廠商交貨出具之進口報單，載列之納稅義務人、賣方、產品名稱、生產國別或數量等資訊，與財政部關務署進口報關紀錄資訊不同，疑有以變造進口報單之方式，繳交不明來源貨品冒充原廠新品交貨等重大異常情形。鑑於現行機關辦理進口貨品採購，雖於契約中要求得標廠商繳交進口報單資料作為驗收參據，惟因採購機關非上述關稅法第12條但書規定所明定可提供進口報單等報關資料之機關，關務人員基於各項報關資料須嚴守秘密之規定，並未提供海關所留存之廠商原始進口報單予採購機關，以致採購機關對於廠商所交付之進口報單資料，無法透過與海關留存之原始進口報單資料進行交互勾稽，及時發覺進口報單變造</w:t>
      </w:r>
      <w:r w:rsidR="0056137B" w:rsidRPr="00882D62">
        <w:rPr>
          <w:rFonts w:hint="eastAsia"/>
        </w:rPr>
        <w:lastRenderedPageBreak/>
        <w:t>跡象，並採取有效因應作為，衍生部分進口貨品採購，間有廠商疑似變造進口報單藉以繳交來源不明或契約禁止之大陸地區產品等情事發生，影響</w:t>
      </w:r>
      <w:r w:rsidR="0056137B">
        <w:rPr>
          <w:rFonts w:hint="eastAsia"/>
        </w:rPr>
        <w:t>採購品質及使用安全</w:t>
      </w:r>
      <w:r w:rsidR="0056137B" w:rsidRPr="002B5FCF">
        <w:rPr>
          <w:rFonts w:hint="eastAsia"/>
        </w:rPr>
        <w:t>，</w:t>
      </w:r>
      <w:r w:rsidR="008C6F3A" w:rsidRPr="004D7C92">
        <w:rPr>
          <w:rFonts w:hint="eastAsia"/>
          <w:snapToGrid w:val="0"/>
          <w:kern w:val="32"/>
        </w:rPr>
        <w:t>經函請工程會洽商關稅法主管機關財政部研謀改善。</w:t>
      </w:r>
      <w:r w:rsidR="008C6F3A" w:rsidRPr="004D7C92">
        <w:rPr>
          <w:rFonts w:hint="eastAsia"/>
          <w:snapToGrid w:val="0"/>
          <w:color w:val="000000" w:themeColor="text1"/>
          <w:kern w:val="32"/>
        </w:rPr>
        <w:t>據復：</w:t>
      </w:r>
      <w:r w:rsidR="008C6F3A" w:rsidRPr="004D7C92">
        <w:rPr>
          <w:rFonts w:hint="eastAsia"/>
          <w:snapToGrid w:val="0"/>
          <w:kern w:val="32"/>
        </w:rPr>
        <w:t>將於確保廠商權益及符合國際貿易慣例等前提下，積極與財政部研商規劃後續可行因應方案。</w:t>
      </w:r>
    </w:p>
    <w:p w14:paraId="57695B45" w14:textId="568D4564" w:rsidR="00416F31" w:rsidRPr="00427783" w:rsidRDefault="00416F31" w:rsidP="00416F31">
      <w:pPr>
        <w:pStyle w:val="affffff1"/>
        <w:spacing w:beforeLines="20" w:before="72" w:line="430" w:lineRule="exact"/>
        <w:ind w:firstLineChars="200" w:firstLine="561"/>
        <w:outlineLvl w:val="1"/>
      </w:pPr>
      <w:r>
        <w:rPr>
          <w:rFonts w:hint="eastAsia"/>
        </w:rPr>
        <w:t>（</w:t>
      </w:r>
      <w:r w:rsidR="008D008C">
        <w:rPr>
          <w:rFonts w:hint="eastAsia"/>
        </w:rPr>
        <w:t>三</w:t>
      </w:r>
      <w:r>
        <w:rPr>
          <w:rFonts w:hint="eastAsia"/>
        </w:rPr>
        <w:t>十</w:t>
      </w:r>
      <w:r w:rsidR="00781889">
        <w:rPr>
          <w:rFonts w:hint="eastAsia"/>
        </w:rPr>
        <w:t>八</w:t>
      </w:r>
      <w:r w:rsidRPr="00427783">
        <w:rPr>
          <w:rFonts w:hint="eastAsia"/>
        </w:rPr>
        <w:t>）</w:t>
      </w:r>
      <w:r>
        <w:rPr>
          <w:rFonts w:hint="eastAsia"/>
        </w:rPr>
        <w:t xml:space="preserve">　</w:t>
      </w:r>
      <w:r w:rsidRPr="00427783">
        <w:rPr>
          <w:rFonts w:hint="eastAsia"/>
        </w:rPr>
        <w:t>行政院公共工程委員會為協助各機關辦理財物採購，訂定財物採購契約範本，另為避免採購作業錯漏，令頒政府採購錯誤行為態樣提醒機關注意，惟該契約範本及錯誤行為態樣尚未針對進口貨品履約驗收作業訂定相關規範，衍生部分機關作業疏漏等情，</w:t>
      </w:r>
      <w:r w:rsidR="000C6E6D">
        <w:rPr>
          <w:rFonts w:hint="eastAsia"/>
        </w:rPr>
        <w:t>允宜</w:t>
      </w:r>
      <w:r w:rsidRPr="00427783">
        <w:rPr>
          <w:rFonts w:hint="eastAsia"/>
        </w:rPr>
        <w:t>研謀改善。</w:t>
      </w:r>
    </w:p>
    <w:p w14:paraId="61E44EB2" w14:textId="69393BD1" w:rsidR="007142B1" w:rsidRPr="00416F31" w:rsidRDefault="00111CF1" w:rsidP="004D7C92">
      <w:pPr>
        <w:widowControl/>
        <w:overflowPunct w:val="0"/>
        <w:spacing w:line="460" w:lineRule="exact"/>
        <w:ind w:firstLineChars="200" w:firstLine="480"/>
        <w:jc w:val="both"/>
        <w:rPr>
          <w:rFonts w:ascii="標楷體" w:eastAsia="標楷體" w:hAnsi="標楷體"/>
          <w:color w:val="000000" w:themeColor="text1"/>
          <w:szCs w:val="24"/>
          <w:highlight w:val="yellow"/>
        </w:rPr>
      </w:pPr>
      <w:r w:rsidRPr="00427783">
        <w:rPr>
          <w:rFonts w:hint="eastAsia"/>
          <w:noProof/>
        </w:rPr>
        <mc:AlternateContent>
          <mc:Choice Requires="wps">
            <w:drawing>
              <wp:anchor distT="45720" distB="45720" distL="114300" distR="114300" simplePos="0" relativeHeight="251627520" behindDoc="1" locked="0" layoutInCell="1" allowOverlap="1" wp14:anchorId="6E341AC1" wp14:editId="5619A0F2">
                <wp:simplePos x="0" y="0"/>
                <wp:positionH relativeFrom="column">
                  <wp:posOffset>12700</wp:posOffset>
                </wp:positionH>
                <wp:positionV relativeFrom="paragraph">
                  <wp:posOffset>3947795</wp:posOffset>
                </wp:positionV>
                <wp:extent cx="6286500" cy="1714500"/>
                <wp:effectExtent l="0" t="0" r="0" b="0"/>
                <wp:wrapTight wrapText="bothSides">
                  <wp:wrapPolygon edited="0">
                    <wp:start x="0" y="0"/>
                    <wp:lineTo x="0" y="21360"/>
                    <wp:lineTo x="21535" y="21360"/>
                    <wp:lineTo x="21535" y="0"/>
                    <wp:lineTo x="0" y="0"/>
                  </wp:wrapPolygon>
                </wp:wrapTight>
                <wp:docPr id="79" name="文字方塊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17145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DCD55F4" w14:textId="5F919EFC" w:rsidR="00A0212B" w:rsidRPr="00427783" w:rsidRDefault="00A0212B" w:rsidP="00416F31">
                            <w:pPr>
                              <w:jc w:val="center"/>
                              <w:rPr>
                                <w:rFonts w:ascii="標楷體" w:eastAsia="標楷體" w:hAnsi="標楷體"/>
                                <w:b/>
                              </w:rPr>
                            </w:pPr>
                            <w:r w:rsidRPr="00427783">
                              <w:rPr>
                                <w:rFonts w:ascii="標楷體" w:eastAsia="標楷體" w:hAnsi="標楷體" w:hint="eastAsia"/>
                                <w:b/>
                              </w:rPr>
                              <w:t>表</w:t>
                            </w:r>
                            <w:r>
                              <w:rPr>
                                <w:rFonts w:ascii="標楷體" w:eastAsia="標楷體" w:hAnsi="標楷體"/>
                                <w:b/>
                              </w:rPr>
                              <w:t>42</w:t>
                            </w:r>
                            <w:r w:rsidRPr="00427783">
                              <w:rPr>
                                <w:rFonts w:ascii="標楷體" w:eastAsia="標楷體" w:hAnsi="標楷體" w:hint="eastAsia"/>
                                <w:b/>
                              </w:rPr>
                              <w:t xml:space="preserve">　各機關進口貨品採購履約驗收作業缺失態樣</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8547"/>
                            </w:tblGrid>
                            <w:tr w:rsidR="00A0212B" w:rsidRPr="009B56D9" w14:paraId="64D3B359" w14:textId="77777777" w:rsidTr="00416F31">
                              <w:trPr>
                                <w:jc w:val="center"/>
                              </w:trPr>
                              <w:tc>
                                <w:tcPr>
                                  <w:tcW w:w="922" w:type="dxa"/>
                                  <w:shd w:val="clear" w:color="auto" w:fill="auto"/>
                                </w:tcPr>
                                <w:p w14:paraId="1967268B" w14:textId="77777777" w:rsidR="00A0212B" w:rsidRPr="009B56D9" w:rsidRDefault="00A0212B" w:rsidP="00416F31">
                                  <w:pPr>
                                    <w:jc w:val="center"/>
                                    <w:rPr>
                                      <w:rFonts w:ascii="標楷體" w:eastAsia="標楷體" w:hAnsi="標楷體"/>
                                      <w:sz w:val="20"/>
                                    </w:rPr>
                                  </w:pPr>
                                  <w:r w:rsidRPr="009B56D9">
                                    <w:rPr>
                                      <w:rFonts w:ascii="標楷體" w:eastAsia="標楷體" w:hAnsi="標楷體" w:hint="eastAsia"/>
                                      <w:sz w:val="20"/>
                                    </w:rPr>
                                    <w:t>項次</w:t>
                                  </w:r>
                                </w:p>
                              </w:tc>
                              <w:tc>
                                <w:tcPr>
                                  <w:tcW w:w="8547" w:type="dxa"/>
                                </w:tcPr>
                                <w:p w14:paraId="253E5F1D" w14:textId="77777777" w:rsidR="00A0212B" w:rsidRPr="009B56D9" w:rsidRDefault="00A0212B" w:rsidP="00416F31">
                                  <w:pPr>
                                    <w:jc w:val="center"/>
                                    <w:rPr>
                                      <w:rFonts w:ascii="標楷體" w:eastAsia="標楷體" w:hAnsi="標楷體"/>
                                      <w:sz w:val="20"/>
                                    </w:rPr>
                                  </w:pPr>
                                  <w:r>
                                    <w:rPr>
                                      <w:rFonts w:ascii="標楷體" w:eastAsia="標楷體" w:hAnsi="標楷體" w:hint="eastAsia"/>
                                      <w:sz w:val="20"/>
                                    </w:rPr>
                                    <w:t>履約驗收</w:t>
                                  </w:r>
                                  <w:r w:rsidRPr="009B56D9">
                                    <w:rPr>
                                      <w:rFonts w:ascii="標楷體" w:eastAsia="標楷體" w:hAnsi="標楷體" w:hint="eastAsia"/>
                                      <w:sz w:val="20"/>
                                    </w:rPr>
                                    <w:t>缺失態樣</w:t>
                                  </w:r>
                                </w:p>
                              </w:tc>
                            </w:tr>
                            <w:tr w:rsidR="00A0212B" w:rsidRPr="009B56D9" w14:paraId="59165100" w14:textId="77777777" w:rsidTr="00416F31">
                              <w:trPr>
                                <w:jc w:val="center"/>
                              </w:trPr>
                              <w:tc>
                                <w:tcPr>
                                  <w:tcW w:w="922" w:type="dxa"/>
                                  <w:shd w:val="clear" w:color="auto" w:fill="auto"/>
                                  <w:vAlign w:val="center"/>
                                </w:tcPr>
                                <w:p w14:paraId="2894590A" w14:textId="77777777" w:rsidR="00A0212B" w:rsidRPr="009B56D9" w:rsidRDefault="00A0212B" w:rsidP="00416F31">
                                  <w:pPr>
                                    <w:jc w:val="center"/>
                                    <w:rPr>
                                      <w:rFonts w:ascii="標楷體" w:eastAsia="標楷體" w:hAnsi="標楷體"/>
                                      <w:sz w:val="20"/>
                                    </w:rPr>
                                  </w:pPr>
                                  <w:r w:rsidRPr="009B56D9">
                                    <w:rPr>
                                      <w:rFonts w:ascii="標楷體" w:eastAsia="標楷體" w:hAnsi="標楷體" w:hint="eastAsia"/>
                                      <w:sz w:val="20"/>
                                    </w:rPr>
                                    <w:t>1</w:t>
                                  </w:r>
                                </w:p>
                              </w:tc>
                              <w:tc>
                                <w:tcPr>
                                  <w:tcW w:w="8547" w:type="dxa"/>
                                </w:tcPr>
                                <w:p w14:paraId="5E28AA33" w14:textId="77777777" w:rsidR="00A0212B" w:rsidRPr="009B56D9" w:rsidRDefault="00A0212B" w:rsidP="00416F31">
                                  <w:pPr>
                                    <w:jc w:val="both"/>
                                    <w:rPr>
                                      <w:rFonts w:ascii="標楷體" w:eastAsia="標楷體" w:hAnsi="標楷體"/>
                                      <w:sz w:val="20"/>
                                    </w:rPr>
                                  </w:pPr>
                                  <w:r w:rsidRPr="009B56D9">
                                    <w:rPr>
                                      <w:rFonts w:ascii="標楷體" w:eastAsia="標楷體" w:hAnsi="標楷體" w:hint="eastAsia"/>
                                      <w:sz w:val="20"/>
                                    </w:rPr>
                                    <w:t>得標廠商於驗收時出具之進口報單或原廠證明等文件，涉有竄改痕跡、同一文件上之字體(型)有明顯差異、未按進口報單或原廠證明之制式格式排版等疑似偽(變)</w:t>
                                  </w:r>
                                  <w:r>
                                    <w:rPr>
                                      <w:rFonts w:ascii="標楷體" w:eastAsia="標楷體" w:hAnsi="標楷體" w:hint="eastAsia"/>
                                      <w:sz w:val="20"/>
                                    </w:rPr>
                                    <w:t>造證明文件之跡象，惟採購人員於驗收時</w:t>
                                  </w:r>
                                  <w:r w:rsidRPr="009B56D9">
                                    <w:rPr>
                                      <w:rFonts w:ascii="標楷體" w:eastAsia="標楷體" w:hAnsi="標楷體" w:hint="eastAsia"/>
                                      <w:sz w:val="20"/>
                                    </w:rPr>
                                    <w:t>未就該等文件之真實性即時釐清，仍通過驗收</w:t>
                                  </w:r>
                                  <w:r>
                                    <w:rPr>
                                      <w:rFonts w:ascii="標楷體" w:eastAsia="標楷體" w:hAnsi="標楷體" w:hint="eastAsia"/>
                                      <w:sz w:val="20"/>
                                    </w:rPr>
                                    <w:t>。</w:t>
                                  </w:r>
                                </w:p>
                              </w:tc>
                            </w:tr>
                            <w:tr w:rsidR="00A0212B" w:rsidRPr="009B56D9" w14:paraId="478D7A73" w14:textId="77777777" w:rsidTr="00416F31">
                              <w:trPr>
                                <w:jc w:val="center"/>
                              </w:trPr>
                              <w:tc>
                                <w:tcPr>
                                  <w:tcW w:w="922" w:type="dxa"/>
                                  <w:shd w:val="clear" w:color="auto" w:fill="auto"/>
                                  <w:vAlign w:val="center"/>
                                </w:tcPr>
                                <w:p w14:paraId="482E4B1C" w14:textId="77777777" w:rsidR="00A0212B" w:rsidRPr="009B56D9" w:rsidRDefault="00A0212B" w:rsidP="00416F31">
                                  <w:pPr>
                                    <w:jc w:val="center"/>
                                    <w:rPr>
                                      <w:rFonts w:ascii="標楷體" w:eastAsia="標楷體" w:hAnsi="標楷體"/>
                                      <w:sz w:val="20"/>
                                    </w:rPr>
                                  </w:pPr>
                                  <w:r w:rsidRPr="009B56D9">
                                    <w:rPr>
                                      <w:rFonts w:ascii="標楷體" w:eastAsia="標楷體" w:hAnsi="標楷體" w:hint="eastAsia"/>
                                      <w:sz w:val="20"/>
                                    </w:rPr>
                                    <w:t>2</w:t>
                                  </w:r>
                                </w:p>
                              </w:tc>
                              <w:tc>
                                <w:tcPr>
                                  <w:tcW w:w="8547" w:type="dxa"/>
                                </w:tcPr>
                                <w:p w14:paraId="33045068" w14:textId="77777777" w:rsidR="00A0212B" w:rsidRPr="009B56D9" w:rsidRDefault="00A0212B" w:rsidP="00416F31">
                                  <w:pPr>
                                    <w:jc w:val="both"/>
                                    <w:rPr>
                                      <w:rFonts w:ascii="標楷體" w:eastAsia="標楷體" w:hAnsi="標楷體"/>
                                      <w:sz w:val="20"/>
                                    </w:rPr>
                                  </w:pPr>
                                  <w:r w:rsidRPr="009B56D9">
                                    <w:rPr>
                                      <w:rFonts w:ascii="標楷體" w:eastAsia="標楷體" w:hAnsi="標楷體" w:hint="eastAsia"/>
                                      <w:sz w:val="20"/>
                                    </w:rPr>
                                    <w:t>得標廠商繳交契約禁止之大陸地區或大陸廠牌貨品，惟採購人員未確實審查，仍通過驗收</w:t>
                                  </w:r>
                                  <w:r>
                                    <w:rPr>
                                      <w:rFonts w:ascii="標楷體" w:eastAsia="標楷體" w:hAnsi="標楷體" w:hint="eastAsia"/>
                                      <w:sz w:val="20"/>
                                    </w:rPr>
                                    <w:t>。</w:t>
                                  </w:r>
                                </w:p>
                              </w:tc>
                            </w:tr>
                            <w:tr w:rsidR="00A0212B" w:rsidRPr="009B56D9" w14:paraId="082053B8" w14:textId="77777777" w:rsidTr="00416F31">
                              <w:trPr>
                                <w:jc w:val="center"/>
                              </w:trPr>
                              <w:tc>
                                <w:tcPr>
                                  <w:tcW w:w="922" w:type="dxa"/>
                                  <w:shd w:val="clear" w:color="auto" w:fill="auto"/>
                                  <w:vAlign w:val="center"/>
                                </w:tcPr>
                                <w:p w14:paraId="199F715C" w14:textId="77777777" w:rsidR="00A0212B" w:rsidRPr="009B56D9" w:rsidRDefault="00A0212B" w:rsidP="00416F31">
                                  <w:pPr>
                                    <w:jc w:val="center"/>
                                    <w:rPr>
                                      <w:rFonts w:ascii="標楷體" w:eastAsia="標楷體" w:hAnsi="標楷體"/>
                                      <w:sz w:val="20"/>
                                    </w:rPr>
                                  </w:pPr>
                                  <w:r w:rsidRPr="009B56D9">
                                    <w:rPr>
                                      <w:rFonts w:ascii="標楷體" w:eastAsia="標楷體" w:hAnsi="標楷體" w:hint="eastAsia"/>
                                      <w:sz w:val="20"/>
                                    </w:rPr>
                                    <w:t>3</w:t>
                                  </w:r>
                                </w:p>
                              </w:tc>
                              <w:tc>
                                <w:tcPr>
                                  <w:tcW w:w="8547" w:type="dxa"/>
                                </w:tcPr>
                                <w:p w14:paraId="14CC9943" w14:textId="77777777" w:rsidR="00A0212B" w:rsidRPr="009B56D9" w:rsidRDefault="00A0212B" w:rsidP="00416F31">
                                  <w:pPr>
                                    <w:jc w:val="both"/>
                                    <w:rPr>
                                      <w:rFonts w:ascii="標楷體" w:eastAsia="標楷體" w:hAnsi="標楷體"/>
                                      <w:sz w:val="20"/>
                                    </w:rPr>
                                  </w:pPr>
                                  <w:r w:rsidRPr="009B56D9">
                                    <w:rPr>
                                      <w:rFonts w:ascii="標楷體" w:eastAsia="標楷體" w:hAnsi="標楷體" w:hint="eastAsia"/>
                                      <w:sz w:val="20"/>
                                    </w:rPr>
                                    <w:t>得標廠商未依契約規定繳交生產日期證明、原廠製造證明或試驗報告等文件，惟採購人員未確實審查，仍通過驗收</w:t>
                                  </w:r>
                                  <w:r>
                                    <w:rPr>
                                      <w:rFonts w:ascii="標楷體" w:eastAsia="標楷體" w:hAnsi="標楷體" w:hint="eastAsia"/>
                                      <w:sz w:val="20"/>
                                    </w:rPr>
                                    <w:t>。</w:t>
                                  </w:r>
                                </w:p>
                              </w:tc>
                            </w:tr>
                          </w:tbl>
                          <w:p w14:paraId="5B386C0B" w14:textId="055BACB3" w:rsidR="00A0212B" w:rsidRPr="00497CEB" w:rsidRDefault="00A0212B" w:rsidP="00416F31">
                            <w:pPr>
                              <w:ind w:leftChars="50" w:left="120"/>
                              <w:rPr>
                                <w:rFonts w:ascii="標楷體" w:eastAsia="標楷體" w:hAnsi="標楷體"/>
                                <w:sz w:val="18"/>
                                <w:szCs w:val="18"/>
                              </w:rPr>
                            </w:pPr>
                            <w:r>
                              <w:rPr>
                                <w:rFonts w:ascii="標楷體" w:eastAsia="標楷體" w:hAnsi="標楷體" w:hint="eastAsia"/>
                                <w:sz w:val="18"/>
                                <w:szCs w:val="18"/>
                              </w:rPr>
                              <w:t>資料來源</w:t>
                            </w:r>
                            <w:r w:rsidRPr="00497CEB">
                              <w:rPr>
                                <w:rFonts w:ascii="標楷體" w:eastAsia="標楷體" w:hAnsi="標楷體" w:hint="eastAsia"/>
                                <w:sz w:val="18"/>
                                <w:szCs w:val="18"/>
                              </w:rPr>
                              <w:t>：</w:t>
                            </w:r>
                            <w:r w:rsidRPr="009B56D9">
                              <w:rPr>
                                <w:rFonts w:ascii="標楷體" w:eastAsia="標楷體" w:hAnsi="標楷體" w:hint="eastAsia"/>
                                <w:sz w:val="18"/>
                                <w:szCs w:val="18"/>
                              </w:rPr>
                              <w:t>整理自</w:t>
                            </w:r>
                            <w:r>
                              <w:rPr>
                                <w:rFonts w:ascii="標楷體" w:eastAsia="標楷體" w:hAnsi="標楷體" w:hint="eastAsia"/>
                                <w:sz w:val="18"/>
                                <w:szCs w:val="18"/>
                              </w:rPr>
                              <w:t>本部</w:t>
                            </w:r>
                            <w:r>
                              <w:rPr>
                                <w:rFonts w:ascii="標楷體" w:eastAsia="標楷體" w:hAnsi="標楷體"/>
                                <w:sz w:val="18"/>
                                <w:szCs w:val="18"/>
                              </w:rPr>
                              <w:t>彙整</w:t>
                            </w:r>
                            <w:r w:rsidRPr="009B56D9">
                              <w:rPr>
                                <w:rFonts w:ascii="標楷體" w:eastAsia="標楷體" w:hAnsi="標楷體" w:hint="eastAsia"/>
                                <w:sz w:val="18"/>
                                <w:szCs w:val="18"/>
                              </w:rPr>
                              <w:t>相關審計單位</w:t>
                            </w:r>
                            <w:r>
                              <w:rPr>
                                <w:rFonts w:ascii="標楷體" w:eastAsia="標楷體" w:hAnsi="標楷體" w:hint="eastAsia"/>
                                <w:sz w:val="18"/>
                                <w:szCs w:val="18"/>
                              </w:rPr>
                              <w:t>截至1</w:t>
                            </w:r>
                            <w:r>
                              <w:rPr>
                                <w:rFonts w:ascii="標楷體" w:eastAsia="標楷體" w:hAnsi="標楷體"/>
                                <w:sz w:val="18"/>
                                <w:szCs w:val="18"/>
                              </w:rPr>
                              <w:t>13年</w:t>
                            </w:r>
                            <w:r>
                              <w:rPr>
                                <w:rFonts w:ascii="標楷體" w:eastAsia="標楷體" w:hAnsi="標楷體" w:hint="eastAsia"/>
                                <w:sz w:val="18"/>
                                <w:szCs w:val="18"/>
                              </w:rPr>
                              <w:t>5</w:t>
                            </w:r>
                            <w:r>
                              <w:rPr>
                                <w:rFonts w:ascii="標楷體" w:eastAsia="標楷體" w:hAnsi="標楷體"/>
                                <w:sz w:val="18"/>
                                <w:szCs w:val="18"/>
                              </w:rPr>
                              <w:t>月底</w:t>
                            </w:r>
                            <w:r>
                              <w:rPr>
                                <w:rFonts w:ascii="標楷體" w:eastAsia="標楷體" w:hAnsi="標楷體" w:hint="eastAsia"/>
                                <w:sz w:val="18"/>
                                <w:szCs w:val="18"/>
                              </w:rPr>
                              <w:t>之</w:t>
                            </w:r>
                            <w:r w:rsidRPr="009B56D9">
                              <w:rPr>
                                <w:rFonts w:ascii="標楷體" w:eastAsia="標楷體" w:hAnsi="標楷體" w:hint="eastAsia"/>
                                <w:sz w:val="18"/>
                                <w:szCs w:val="18"/>
                              </w:rPr>
                              <w:t>調查結果。</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341AC1" id="文字方塊 79" o:spid="_x0000_s1131" type="#_x0000_t202" style="position:absolute;left:0;text-align:left;margin-left:1pt;margin-top:310.85pt;width:495pt;height:13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" stroked="f">
                <v:textbox>
                  <w:txbxContent>
                    <w:p w14:paraId="0DCD55F4" w14:textId="5F919EFC" w:rsidR="00A0212B" w:rsidRPr="00427783" w:rsidRDefault="00A0212B" w:rsidP="00416F31">
                      <w:pPr>
                        <w:jc w:val="center"/>
                        <w:rPr>
                          <w:rFonts w:ascii="標楷體" w:eastAsia="標楷體" w:hAnsi="標楷體"/>
                          <w:b/>
                        </w:rPr>
                      </w:pPr>
                      <w:r w:rsidRPr="00427783">
                        <w:rPr>
                          <w:rFonts w:ascii="標楷體" w:eastAsia="標楷體" w:hAnsi="標楷體" w:hint="eastAsia"/>
                          <w:b/>
                        </w:rPr>
                        <w:t>表</w:t>
                      </w:r>
                      <w:r>
                        <w:rPr>
                          <w:rFonts w:ascii="標楷體" w:eastAsia="標楷體" w:hAnsi="標楷體"/>
                          <w:b/>
                        </w:rPr>
                        <w:t>42</w:t>
                      </w:r>
                      <w:r w:rsidRPr="00427783">
                        <w:rPr>
                          <w:rFonts w:ascii="標楷體" w:eastAsia="標楷體" w:hAnsi="標楷體" w:hint="eastAsia"/>
                          <w:b/>
                        </w:rPr>
                        <w:t xml:space="preserve">　各機關進口貨品採購履約驗收作業缺失態樣</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8547"/>
                      </w:tblGrid>
                      <w:tr w:rsidR="00A0212B" w:rsidRPr="009B56D9" w14:paraId="64D3B359" w14:textId="77777777" w:rsidTr="00416F31">
                        <w:trPr>
                          <w:jc w:val="center"/>
                        </w:trPr>
                        <w:tc>
                          <w:tcPr>
                            <w:tcW w:w="922" w:type="dxa"/>
                            <w:shd w:val="clear" w:color="auto" w:fill="auto"/>
                          </w:tcPr>
                          <w:p w14:paraId="1967268B" w14:textId="77777777" w:rsidR="00A0212B" w:rsidRPr="009B56D9" w:rsidRDefault="00A0212B" w:rsidP="00416F31">
                            <w:pPr>
                              <w:jc w:val="center"/>
                              <w:rPr>
                                <w:rFonts w:ascii="標楷體" w:eastAsia="標楷體" w:hAnsi="標楷體"/>
                                <w:sz w:val="20"/>
                              </w:rPr>
                            </w:pPr>
                            <w:r w:rsidRPr="009B56D9">
                              <w:rPr>
                                <w:rFonts w:ascii="標楷體" w:eastAsia="標楷體" w:hAnsi="標楷體" w:hint="eastAsia"/>
                                <w:sz w:val="20"/>
                              </w:rPr>
                              <w:t>項次</w:t>
                            </w:r>
                          </w:p>
                        </w:tc>
                        <w:tc>
                          <w:tcPr>
                            <w:tcW w:w="8547" w:type="dxa"/>
                          </w:tcPr>
                          <w:p w14:paraId="253E5F1D" w14:textId="77777777" w:rsidR="00A0212B" w:rsidRPr="009B56D9" w:rsidRDefault="00A0212B" w:rsidP="00416F31">
                            <w:pPr>
                              <w:jc w:val="center"/>
                              <w:rPr>
                                <w:rFonts w:ascii="標楷體" w:eastAsia="標楷體" w:hAnsi="標楷體"/>
                                <w:sz w:val="20"/>
                              </w:rPr>
                            </w:pPr>
                            <w:r>
                              <w:rPr>
                                <w:rFonts w:ascii="標楷體" w:eastAsia="標楷體" w:hAnsi="標楷體" w:hint="eastAsia"/>
                                <w:sz w:val="20"/>
                              </w:rPr>
                              <w:t>履約驗收</w:t>
                            </w:r>
                            <w:r w:rsidRPr="009B56D9">
                              <w:rPr>
                                <w:rFonts w:ascii="標楷體" w:eastAsia="標楷體" w:hAnsi="標楷體" w:hint="eastAsia"/>
                                <w:sz w:val="20"/>
                              </w:rPr>
                              <w:t>缺失態樣</w:t>
                            </w:r>
                          </w:p>
                        </w:tc>
                      </w:tr>
                      <w:tr w:rsidR="00A0212B" w:rsidRPr="009B56D9" w14:paraId="59165100" w14:textId="77777777" w:rsidTr="00416F31">
                        <w:trPr>
                          <w:jc w:val="center"/>
                        </w:trPr>
                        <w:tc>
                          <w:tcPr>
                            <w:tcW w:w="922" w:type="dxa"/>
                            <w:shd w:val="clear" w:color="auto" w:fill="auto"/>
                            <w:vAlign w:val="center"/>
                          </w:tcPr>
                          <w:p w14:paraId="2894590A" w14:textId="77777777" w:rsidR="00A0212B" w:rsidRPr="009B56D9" w:rsidRDefault="00A0212B" w:rsidP="00416F31">
                            <w:pPr>
                              <w:jc w:val="center"/>
                              <w:rPr>
                                <w:rFonts w:ascii="標楷體" w:eastAsia="標楷體" w:hAnsi="標楷體"/>
                                <w:sz w:val="20"/>
                              </w:rPr>
                            </w:pPr>
                            <w:r w:rsidRPr="009B56D9">
                              <w:rPr>
                                <w:rFonts w:ascii="標楷體" w:eastAsia="標楷體" w:hAnsi="標楷體" w:hint="eastAsia"/>
                                <w:sz w:val="20"/>
                              </w:rPr>
                              <w:t>1</w:t>
                            </w:r>
                          </w:p>
                        </w:tc>
                        <w:tc>
                          <w:tcPr>
                            <w:tcW w:w="8547" w:type="dxa"/>
                          </w:tcPr>
                          <w:p w14:paraId="5E28AA33" w14:textId="77777777" w:rsidR="00A0212B" w:rsidRPr="009B56D9" w:rsidRDefault="00A0212B" w:rsidP="00416F31">
                            <w:pPr>
                              <w:jc w:val="both"/>
                              <w:rPr>
                                <w:rFonts w:ascii="標楷體" w:eastAsia="標楷體" w:hAnsi="標楷體"/>
                                <w:sz w:val="20"/>
                              </w:rPr>
                            </w:pPr>
                            <w:r w:rsidRPr="009B56D9">
                              <w:rPr>
                                <w:rFonts w:ascii="標楷體" w:eastAsia="標楷體" w:hAnsi="標楷體" w:hint="eastAsia"/>
                                <w:sz w:val="20"/>
                              </w:rPr>
                              <w:t>得標廠商於驗收時出具之進口報單或原廠證明等文件，涉有竄改痕跡、同一文件上之字體(型)有明顯差異、未按進口報單或原廠證明之制式格式排版等疑似偽(變)</w:t>
                            </w:r>
                            <w:r>
                              <w:rPr>
                                <w:rFonts w:ascii="標楷體" w:eastAsia="標楷體" w:hAnsi="標楷體" w:hint="eastAsia"/>
                                <w:sz w:val="20"/>
                              </w:rPr>
                              <w:t>造證明文件之跡象，惟採購人員於驗收時</w:t>
                            </w:r>
                            <w:r w:rsidRPr="009B56D9">
                              <w:rPr>
                                <w:rFonts w:ascii="標楷體" w:eastAsia="標楷體" w:hAnsi="標楷體" w:hint="eastAsia"/>
                                <w:sz w:val="20"/>
                              </w:rPr>
                              <w:t>未就該等文件之真實性即時釐清，仍通過驗收</w:t>
                            </w:r>
                            <w:r>
                              <w:rPr>
                                <w:rFonts w:ascii="標楷體" w:eastAsia="標楷體" w:hAnsi="標楷體" w:hint="eastAsia"/>
                                <w:sz w:val="20"/>
                              </w:rPr>
                              <w:t>。</w:t>
                            </w:r>
                          </w:p>
                        </w:tc>
                      </w:tr>
                      <w:tr w:rsidR="00A0212B" w:rsidRPr="009B56D9" w14:paraId="478D7A73" w14:textId="77777777" w:rsidTr="00416F31">
                        <w:trPr>
                          <w:jc w:val="center"/>
                        </w:trPr>
                        <w:tc>
                          <w:tcPr>
                            <w:tcW w:w="922" w:type="dxa"/>
                            <w:shd w:val="clear" w:color="auto" w:fill="auto"/>
                            <w:vAlign w:val="center"/>
                          </w:tcPr>
                          <w:p w14:paraId="482E4B1C" w14:textId="77777777" w:rsidR="00A0212B" w:rsidRPr="009B56D9" w:rsidRDefault="00A0212B" w:rsidP="00416F31">
                            <w:pPr>
                              <w:jc w:val="center"/>
                              <w:rPr>
                                <w:rFonts w:ascii="標楷體" w:eastAsia="標楷體" w:hAnsi="標楷體"/>
                                <w:sz w:val="20"/>
                              </w:rPr>
                            </w:pPr>
                            <w:r w:rsidRPr="009B56D9">
                              <w:rPr>
                                <w:rFonts w:ascii="標楷體" w:eastAsia="標楷體" w:hAnsi="標楷體" w:hint="eastAsia"/>
                                <w:sz w:val="20"/>
                              </w:rPr>
                              <w:t>2</w:t>
                            </w:r>
                          </w:p>
                        </w:tc>
                        <w:tc>
                          <w:tcPr>
                            <w:tcW w:w="8547" w:type="dxa"/>
                          </w:tcPr>
                          <w:p w14:paraId="33045068" w14:textId="77777777" w:rsidR="00A0212B" w:rsidRPr="009B56D9" w:rsidRDefault="00A0212B" w:rsidP="00416F31">
                            <w:pPr>
                              <w:jc w:val="both"/>
                              <w:rPr>
                                <w:rFonts w:ascii="標楷體" w:eastAsia="標楷體" w:hAnsi="標楷體"/>
                                <w:sz w:val="20"/>
                              </w:rPr>
                            </w:pPr>
                            <w:r w:rsidRPr="009B56D9">
                              <w:rPr>
                                <w:rFonts w:ascii="標楷體" w:eastAsia="標楷體" w:hAnsi="標楷體" w:hint="eastAsia"/>
                                <w:sz w:val="20"/>
                              </w:rPr>
                              <w:t>得標廠商繳交契約禁止之大陸地區或大陸廠牌貨品，惟採購人員未確實審查，仍通過驗收</w:t>
                            </w:r>
                            <w:r>
                              <w:rPr>
                                <w:rFonts w:ascii="標楷體" w:eastAsia="標楷體" w:hAnsi="標楷體" w:hint="eastAsia"/>
                                <w:sz w:val="20"/>
                              </w:rPr>
                              <w:t>。</w:t>
                            </w:r>
                          </w:p>
                        </w:tc>
                      </w:tr>
                      <w:tr w:rsidR="00A0212B" w:rsidRPr="009B56D9" w14:paraId="082053B8" w14:textId="77777777" w:rsidTr="00416F31">
                        <w:trPr>
                          <w:jc w:val="center"/>
                        </w:trPr>
                        <w:tc>
                          <w:tcPr>
                            <w:tcW w:w="922" w:type="dxa"/>
                            <w:shd w:val="clear" w:color="auto" w:fill="auto"/>
                            <w:vAlign w:val="center"/>
                          </w:tcPr>
                          <w:p w14:paraId="199F715C" w14:textId="77777777" w:rsidR="00A0212B" w:rsidRPr="009B56D9" w:rsidRDefault="00A0212B" w:rsidP="00416F31">
                            <w:pPr>
                              <w:jc w:val="center"/>
                              <w:rPr>
                                <w:rFonts w:ascii="標楷體" w:eastAsia="標楷體" w:hAnsi="標楷體"/>
                                <w:sz w:val="20"/>
                              </w:rPr>
                            </w:pPr>
                            <w:r w:rsidRPr="009B56D9">
                              <w:rPr>
                                <w:rFonts w:ascii="標楷體" w:eastAsia="標楷體" w:hAnsi="標楷體" w:hint="eastAsia"/>
                                <w:sz w:val="20"/>
                              </w:rPr>
                              <w:t>3</w:t>
                            </w:r>
                          </w:p>
                        </w:tc>
                        <w:tc>
                          <w:tcPr>
                            <w:tcW w:w="8547" w:type="dxa"/>
                          </w:tcPr>
                          <w:p w14:paraId="14CC9943" w14:textId="77777777" w:rsidR="00A0212B" w:rsidRPr="009B56D9" w:rsidRDefault="00A0212B" w:rsidP="00416F31">
                            <w:pPr>
                              <w:jc w:val="both"/>
                              <w:rPr>
                                <w:rFonts w:ascii="標楷體" w:eastAsia="標楷體" w:hAnsi="標楷體"/>
                                <w:sz w:val="20"/>
                              </w:rPr>
                            </w:pPr>
                            <w:r w:rsidRPr="009B56D9">
                              <w:rPr>
                                <w:rFonts w:ascii="標楷體" w:eastAsia="標楷體" w:hAnsi="標楷體" w:hint="eastAsia"/>
                                <w:sz w:val="20"/>
                              </w:rPr>
                              <w:t>得標廠商未依契約規定繳交生產日期證明、原廠製造證明或試驗報告等文件，惟採購人員未確實審查，仍通過驗收</w:t>
                            </w:r>
                            <w:r>
                              <w:rPr>
                                <w:rFonts w:ascii="標楷體" w:eastAsia="標楷體" w:hAnsi="標楷體" w:hint="eastAsia"/>
                                <w:sz w:val="20"/>
                              </w:rPr>
                              <w:t>。</w:t>
                            </w:r>
                          </w:p>
                        </w:tc>
                      </w:tr>
                    </w:tbl>
                    <w:p w14:paraId="5B386C0B" w14:textId="055BACB3" w:rsidR="00A0212B" w:rsidRPr="00497CEB" w:rsidRDefault="00A0212B" w:rsidP="00416F31">
                      <w:pPr>
                        <w:ind w:leftChars="50" w:left="120"/>
                        <w:rPr>
                          <w:rFonts w:ascii="標楷體" w:eastAsia="標楷體" w:hAnsi="標楷體"/>
                          <w:sz w:val="18"/>
                          <w:szCs w:val="18"/>
                        </w:rPr>
                      </w:pPr>
                      <w:r>
                        <w:rPr>
                          <w:rFonts w:ascii="標楷體" w:eastAsia="標楷體" w:hAnsi="標楷體" w:hint="eastAsia"/>
                          <w:sz w:val="18"/>
                          <w:szCs w:val="18"/>
                        </w:rPr>
                        <w:t>資料來源</w:t>
                      </w:r>
                      <w:r w:rsidRPr="00497CEB">
                        <w:rPr>
                          <w:rFonts w:ascii="標楷體" w:eastAsia="標楷體" w:hAnsi="標楷體" w:hint="eastAsia"/>
                          <w:sz w:val="18"/>
                          <w:szCs w:val="18"/>
                        </w:rPr>
                        <w:t>：</w:t>
                      </w:r>
                      <w:r w:rsidRPr="009B56D9">
                        <w:rPr>
                          <w:rFonts w:ascii="標楷體" w:eastAsia="標楷體" w:hAnsi="標楷體" w:hint="eastAsia"/>
                          <w:sz w:val="18"/>
                          <w:szCs w:val="18"/>
                        </w:rPr>
                        <w:t>整理自</w:t>
                      </w:r>
                      <w:r>
                        <w:rPr>
                          <w:rFonts w:ascii="標楷體" w:eastAsia="標楷體" w:hAnsi="標楷體" w:hint="eastAsia"/>
                          <w:sz w:val="18"/>
                          <w:szCs w:val="18"/>
                        </w:rPr>
                        <w:t>本部</w:t>
                      </w:r>
                      <w:r>
                        <w:rPr>
                          <w:rFonts w:ascii="標楷體" w:eastAsia="標楷體" w:hAnsi="標楷體"/>
                          <w:sz w:val="18"/>
                          <w:szCs w:val="18"/>
                        </w:rPr>
                        <w:t>彙整</w:t>
                      </w:r>
                      <w:r w:rsidRPr="009B56D9">
                        <w:rPr>
                          <w:rFonts w:ascii="標楷體" w:eastAsia="標楷體" w:hAnsi="標楷體" w:hint="eastAsia"/>
                          <w:sz w:val="18"/>
                          <w:szCs w:val="18"/>
                        </w:rPr>
                        <w:t>相關審計單位</w:t>
                      </w:r>
                      <w:r>
                        <w:rPr>
                          <w:rFonts w:ascii="標楷體" w:eastAsia="標楷體" w:hAnsi="標楷體" w:hint="eastAsia"/>
                          <w:sz w:val="18"/>
                          <w:szCs w:val="18"/>
                        </w:rPr>
                        <w:t>截至1</w:t>
                      </w:r>
                      <w:r>
                        <w:rPr>
                          <w:rFonts w:ascii="標楷體" w:eastAsia="標楷體" w:hAnsi="標楷體"/>
                          <w:sz w:val="18"/>
                          <w:szCs w:val="18"/>
                        </w:rPr>
                        <w:t>13年</w:t>
                      </w:r>
                      <w:r>
                        <w:rPr>
                          <w:rFonts w:ascii="標楷體" w:eastAsia="標楷體" w:hAnsi="標楷體" w:hint="eastAsia"/>
                          <w:sz w:val="18"/>
                          <w:szCs w:val="18"/>
                        </w:rPr>
                        <w:t>5</w:t>
                      </w:r>
                      <w:r>
                        <w:rPr>
                          <w:rFonts w:ascii="標楷體" w:eastAsia="標楷體" w:hAnsi="標楷體"/>
                          <w:sz w:val="18"/>
                          <w:szCs w:val="18"/>
                        </w:rPr>
                        <w:t>月底</w:t>
                      </w:r>
                      <w:r>
                        <w:rPr>
                          <w:rFonts w:ascii="標楷體" w:eastAsia="標楷體" w:hAnsi="標楷體" w:hint="eastAsia"/>
                          <w:sz w:val="18"/>
                          <w:szCs w:val="18"/>
                        </w:rPr>
                        <w:t>之</w:t>
                      </w:r>
                      <w:r w:rsidRPr="009B56D9">
                        <w:rPr>
                          <w:rFonts w:ascii="標楷體" w:eastAsia="標楷體" w:hAnsi="標楷體" w:hint="eastAsia"/>
                          <w:sz w:val="18"/>
                          <w:szCs w:val="18"/>
                        </w:rPr>
                        <w:t>調查結果。</w:t>
                      </w:r>
                    </w:p>
                  </w:txbxContent>
                </v:textbox>
                <w10:wrap type="tight"/>
              </v:shape>
            </w:pict>
          </mc:Fallback>
        </mc:AlternateContent>
      </w:r>
      <w:r w:rsidR="00416F31" w:rsidRPr="00416F31">
        <w:rPr>
          <w:rFonts w:ascii="標楷體" w:eastAsia="標楷體" w:hAnsi="標楷體" w:hint="eastAsia"/>
        </w:rPr>
        <w:t>行政院公共工程委員會（下稱工程會）為協助各機關辦理財物採購，依政府採購法第63條第1項規定，訂定財物採購契約範本，供機關訂定採購契約參考；此外，該會為避免各機關辦理採購作業發生錯漏，令頒政府採購錯誤行為態樣，其中於序號十二「履約程序」例舉12項次履約驗收過程常見缺失態樣，以提醒機關正確辦理履約驗收作業。據政府電子採購網決標資訊所載，各機關109年1月至112年8月間決標之財物採購案件，且決標公告列載原產地非我國係屬進口貨品者，計有6萬餘件，其中採購標的與軍事、運輸、產油、供電、醫療或行政業務相關並具有較高風險之採購案件，計有6百餘件，總決標金額48億餘元。經查其執行情形，核有：1.工程會財物採購契約範本尚未針對進口貨品限制原產地不得為特定地區者，訂定相關履約或驗收作業規定，爰機關參採該範本所訂之個案採購契約，僅要求廠商於驗收時繳交出廠證明等文件，惟因部分出廠證明文件僅列載原廠名稱及買方等資訊，並無載明原產地，無法作為產地證明文件，衍生部分得標廠商繳交之貨品，係來自契約限制之特定地區，機關未能察覺仍同意驗收；2.各機關辦理進口貨品財物採購履約驗收作業，仍有諸多未符</w:t>
      </w:r>
      <w:r w:rsidR="005B5C8A">
        <w:rPr>
          <w:rFonts w:ascii="標楷體" w:eastAsia="標楷體" w:hAnsi="標楷體" w:hint="eastAsia"/>
        </w:rPr>
        <w:t>政府</w:t>
      </w:r>
      <w:r w:rsidR="00416F31" w:rsidRPr="00416F31">
        <w:rPr>
          <w:rFonts w:ascii="標楷體" w:eastAsia="標楷體" w:hAnsi="標楷體" w:hint="eastAsia"/>
        </w:rPr>
        <w:t>採</w:t>
      </w:r>
      <w:r>
        <w:rPr>
          <w:rFonts w:ascii="標楷體" w:eastAsia="標楷體" w:hAnsi="標楷體" w:hint="eastAsia"/>
        </w:rPr>
        <w:t>購法規及契約規定</w:t>
      </w:r>
      <w:r w:rsidR="005B5C8A">
        <w:rPr>
          <w:rFonts w:ascii="標楷體" w:eastAsia="標楷體" w:hAnsi="標楷體" w:hint="eastAsia"/>
        </w:rPr>
        <w:t>事項</w:t>
      </w:r>
      <w:r>
        <w:rPr>
          <w:rFonts w:ascii="標楷體" w:eastAsia="標楷體" w:hAnsi="標楷體" w:hint="eastAsia"/>
        </w:rPr>
        <w:t>（</w:t>
      </w:r>
      <w:r w:rsidR="00416F31" w:rsidRPr="00463203">
        <w:rPr>
          <w:rFonts w:ascii="標楷體" w:eastAsia="標楷體" w:hAnsi="標楷體" w:hint="eastAsia"/>
        </w:rPr>
        <w:t>表</w:t>
      </w:r>
      <w:r w:rsidR="0065120E" w:rsidRPr="00463203">
        <w:rPr>
          <w:rFonts w:ascii="標楷體" w:eastAsia="標楷體" w:hAnsi="標楷體" w:hint="eastAsia"/>
        </w:rPr>
        <w:t>4</w:t>
      </w:r>
      <w:r w:rsidR="009821F7" w:rsidRPr="00463203">
        <w:rPr>
          <w:rFonts w:ascii="標楷體" w:eastAsia="標楷體" w:hAnsi="標楷體" w:hint="eastAsia"/>
        </w:rPr>
        <w:t>2</w:t>
      </w:r>
      <w:r w:rsidR="00416F31" w:rsidRPr="00416F31">
        <w:rPr>
          <w:rFonts w:ascii="標楷體" w:eastAsia="標楷體" w:hAnsi="標楷體" w:hint="eastAsia"/>
        </w:rPr>
        <w:t>），且部分錯漏態樣未</w:t>
      </w:r>
      <w:r w:rsidR="005B5C8A">
        <w:rPr>
          <w:rFonts w:ascii="標楷體" w:eastAsia="標楷體" w:hAnsi="標楷體" w:hint="eastAsia"/>
        </w:rPr>
        <w:t>具體載明</w:t>
      </w:r>
      <w:r w:rsidR="00416F31" w:rsidRPr="00416F31">
        <w:rPr>
          <w:rFonts w:ascii="標楷體" w:eastAsia="標楷體" w:hAnsi="標楷體" w:hint="eastAsia"/>
        </w:rPr>
        <w:t>於現行政府採購錯誤行為態樣等情</w:t>
      </w:r>
      <w:r w:rsidR="005B5C8A">
        <w:rPr>
          <w:rFonts w:ascii="標楷體" w:eastAsia="標楷體" w:hAnsi="標楷體" w:hint="eastAsia"/>
        </w:rPr>
        <w:t>事</w:t>
      </w:r>
      <w:r w:rsidR="00416F31" w:rsidRPr="00416F31">
        <w:rPr>
          <w:rFonts w:ascii="標楷體" w:eastAsia="標楷體" w:hAnsi="標楷體" w:hint="eastAsia"/>
        </w:rPr>
        <w:t>，經函請工程會研謀改善。</w:t>
      </w:r>
      <w:r w:rsidR="00416F31" w:rsidRPr="004D7C92">
        <w:rPr>
          <w:rFonts w:ascii="標楷體" w:eastAsia="標楷體" w:hAnsi="標楷體" w:hint="eastAsia"/>
          <w:color w:val="000000" w:themeColor="text1"/>
        </w:rPr>
        <w:t>據復：</w:t>
      </w:r>
      <w:r w:rsidR="00356B1D" w:rsidRPr="004D7C92">
        <w:rPr>
          <w:rFonts w:ascii="標楷體" w:eastAsia="標楷體" w:hAnsi="標楷體"/>
          <w:snapToGrid w:val="0"/>
          <w:color w:val="000000" w:themeColor="text1"/>
          <w:kern w:val="32"/>
        </w:rPr>
        <w:t>1.將就所有機關辦理進口貨品採購，涉及共同基本需求部分，配合研議</w:t>
      </w:r>
      <w:r w:rsidR="00356B1D" w:rsidRPr="00A348A5">
        <w:rPr>
          <w:rFonts w:ascii="標楷體" w:eastAsia="標楷體" w:hAnsi="標楷體"/>
          <w:snapToGrid w:val="0"/>
          <w:color w:val="000000" w:themeColor="text1"/>
          <w:kern w:val="32"/>
        </w:rPr>
        <w:t>勾稽制度及編修採購文件範本；2.將研擬進口貨品履約驗收錯誤行為態樣，結合稽核監督，促</w:t>
      </w:r>
      <w:r w:rsidR="00356B1D" w:rsidRPr="004D7C92">
        <w:rPr>
          <w:rFonts w:ascii="標楷體" w:eastAsia="標楷體" w:hAnsi="標楷體"/>
          <w:snapToGrid w:val="0"/>
          <w:color w:val="000000" w:themeColor="text1"/>
          <w:kern w:val="32"/>
        </w:rPr>
        <w:lastRenderedPageBreak/>
        <w:t>使機關確實依採購法辦理採購，亦將促請機關妥適訂定交貨、驗收時應檢附之證明文件，以確認廠商履約結果是否符合契約、圖說、貨樣規定，並得視實際需要依契約約定為必要之查證</w:t>
      </w:r>
      <w:r w:rsidR="00356B1D" w:rsidRPr="004D7C92">
        <w:rPr>
          <w:rFonts w:ascii="標楷體" w:eastAsia="標楷體" w:hAnsi="標楷體" w:hint="eastAsia"/>
          <w:snapToGrid w:val="0"/>
          <w:color w:val="000000" w:themeColor="text1"/>
          <w:kern w:val="32"/>
        </w:rPr>
        <w:t>。</w:t>
      </w:r>
    </w:p>
    <w:p w14:paraId="194A6DD7" w14:textId="34A07801" w:rsidR="002B2085" w:rsidRPr="006F289E" w:rsidRDefault="002B2085" w:rsidP="002B2085">
      <w:pPr>
        <w:pStyle w:val="affffff1"/>
        <w:spacing w:beforeLines="20" w:before="72" w:line="430" w:lineRule="exact"/>
        <w:ind w:firstLineChars="200" w:firstLine="561"/>
        <w:outlineLvl w:val="1"/>
      </w:pPr>
      <w:r w:rsidRPr="006F289E">
        <w:rPr>
          <w:rFonts w:hint="eastAsia"/>
        </w:rPr>
        <w:t>（</w:t>
      </w:r>
      <w:r w:rsidR="00781889">
        <w:rPr>
          <w:rFonts w:hint="eastAsia"/>
        </w:rPr>
        <w:t>三</w:t>
      </w:r>
      <w:r w:rsidRPr="006F289E">
        <w:rPr>
          <w:rFonts w:hint="eastAsia"/>
        </w:rPr>
        <w:t>十</w:t>
      </w:r>
      <w:r w:rsidR="00781889">
        <w:rPr>
          <w:rFonts w:hint="eastAsia"/>
        </w:rPr>
        <w:t>九</w:t>
      </w:r>
      <w:r w:rsidRPr="006F289E">
        <w:rPr>
          <w:rFonts w:hint="eastAsia"/>
        </w:rPr>
        <w:t>）　政府為確保採購履約品質及效益，已於採購契約範本，針對「履約管理」及「履約標的品管」訂定相關執行規定，惟各級政府辦理以照片輔助履約管理與驗收之勞務採購，間有偽造或變造照片履約情事，其履約管理及驗收作業未盡嚴謹，</w:t>
      </w:r>
      <w:r w:rsidR="000C6E6D">
        <w:rPr>
          <w:rFonts w:hint="eastAsia"/>
        </w:rPr>
        <w:t>允宜</w:t>
      </w:r>
      <w:r w:rsidRPr="006F289E">
        <w:rPr>
          <w:rFonts w:hint="eastAsia"/>
        </w:rPr>
        <w:t>研謀改善。</w:t>
      </w:r>
    </w:p>
    <w:p w14:paraId="4A37DAFE" w14:textId="28948620" w:rsidR="007142B1" w:rsidRPr="00296785" w:rsidRDefault="006F289E" w:rsidP="004D7C92">
      <w:pPr>
        <w:widowControl/>
        <w:overflowPunct w:val="0"/>
        <w:spacing w:line="410" w:lineRule="exact"/>
        <w:ind w:firstLineChars="200" w:firstLine="480"/>
        <w:jc w:val="both"/>
        <w:rPr>
          <w:rFonts w:ascii="標楷體" w:eastAsia="標楷體" w:hAnsi="標楷體"/>
          <w:color w:val="000000" w:themeColor="text1"/>
          <w:szCs w:val="24"/>
        </w:rPr>
      </w:pPr>
      <w:r w:rsidRPr="00296785">
        <w:rPr>
          <w:rFonts w:ascii="標楷體" w:eastAsia="標楷體" w:hAnsi="標楷體"/>
          <w:noProof/>
          <w:kern w:val="0"/>
          <w:szCs w:val="24"/>
        </w:rPr>
        <mc:AlternateContent>
          <mc:Choice Requires="wps">
            <w:drawing>
              <wp:anchor distT="45720" distB="45720" distL="114300" distR="114300" simplePos="0" relativeHeight="251648000" behindDoc="1" locked="0" layoutInCell="1" allowOverlap="1" wp14:anchorId="3A99D570" wp14:editId="62F8546A">
                <wp:simplePos x="0" y="0"/>
                <wp:positionH relativeFrom="margin">
                  <wp:posOffset>3193415</wp:posOffset>
                </wp:positionH>
                <wp:positionV relativeFrom="paragraph">
                  <wp:posOffset>3017096</wp:posOffset>
                </wp:positionV>
                <wp:extent cx="3095625" cy="2907030"/>
                <wp:effectExtent l="0" t="0" r="9525" b="7620"/>
                <wp:wrapTight wrapText="bothSides">
                  <wp:wrapPolygon edited="0">
                    <wp:start x="0" y="0"/>
                    <wp:lineTo x="0" y="21515"/>
                    <wp:lineTo x="21534" y="21515"/>
                    <wp:lineTo x="21534" y="0"/>
                    <wp:lineTo x="0" y="0"/>
                  </wp:wrapPolygon>
                </wp:wrapTight>
                <wp:docPr id="80" name="文字方塊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290703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DC8C396" w14:textId="6F799F99" w:rsidR="00A0212B" w:rsidRPr="00EB2D24" w:rsidRDefault="00A0212B" w:rsidP="00FE689C">
                            <w:pPr>
                              <w:ind w:leftChars="75" w:left="949" w:rightChars="-2" w:right="-5" w:hangingChars="320" w:hanging="769"/>
                              <w:rPr>
                                <w:rFonts w:ascii="標楷體" w:eastAsia="標楷體" w:hAnsi="標楷體"/>
                                <w:b/>
                                <w:color w:val="000000"/>
                              </w:rPr>
                            </w:pPr>
                            <w:r w:rsidRPr="00EB2D24">
                              <w:rPr>
                                <w:rFonts w:ascii="標楷體" w:eastAsia="標楷體" w:hAnsi="標楷體" w:hint="eastAsia"/>
                                <w:b/>
                                <w:color w:val="000000"/>
                              </w:rPr>
                              <w:t>表</w:t>
                            </w:r>
                            <w:r>
                              <w:rPr>
                                <w:rFonts w:ascii="標楷體" w:eastAsia="標楷體" w:hAnsi="標楷體"/>
                                <w:b/>
                                <w:color w:val="000000"/>
                              </w:rPr>
                              <w:t>43</w:t>
                            </w:r>
                            <w:r w:rsidRPr="00EB2D24">
                              <w:rPr>
                                <w:rFonts w:ascii="標楷體" w:eastAsia="標楷體" w:hAnsi="標楷體" w:hint="eastAsia"/>
                                <w:b/>
                                <w:color w:val="000000"/>
                              </w:rPr>
                              <w:t xml:space="preserve">　各級政府機關辦理採購案</w:t>
                            </w:r>
                            <w:r w:rsidRPr="00EB2D24">
                              <w:rPr>
                                <w:rFonts w:ascii="標楷體" w:eastAsia="標楷體" w:hAnsi="標楷體" w:hint="eastAsia"/>
                                <w:b/>
                                <w:snapToGrid w:val="0"/>
                                <w:color w:val="000000"/>
                                <w:kern w:val="32"/>
                              </w:rPr>
                              <w:t>履約照片</w:t>
                            </w:r>
                            <w:r>
                              <w:rPr>
                                <w:rFonts w:ascii="標楷體" w:eastAsia="標楷體" w:hAnsi="標楷體" w:hint="eastAsia"/>
                                <w:b/>
                                <w:snapToGrid w:val="0"/>
                                <w:color w:val="000000"/>
                                <w:kern w:val="32"/>
                              </w:rPr>
                              <w:t>涉有偽造或變造</w:t>
                            </w:r>
                            <w:r w:rsidRPr="00EB2D24">
                              <w:rPr>
                                <w:rFonts w:ascii="標楷體" w:eastAsia="標楷體" w:hAnsi="標楷體" w:hint="eastAsia"/>
                                <w:b/>
                                <w:snapToGrid w:val="0"/>
                                <w:color w:val="000000"/>
                                <w:kern w:val="32"/>
                              </w:rPr>
                              <w:t>之態樣</w:t>
                            </w:r>
                          </w:p>
                          <w:p w14:paraId="1A04555E" w14:textId="77777777" w:rsidR="00A0212B" w:rsidRPr="002D6081" w:rsidRDefault="00A0212B" w:rsidP="007C2144">
                            <w:pPr>
                              <w:wordWrap w:val="0"/>
                              <w:ind w:leftChars="460" w:left="1104" w:rightChars="69" w:right="166" w:firstLineChars="7" w:firstLine="14"/>
                              <w:jc w:val="right"/>
                              <w:rPr>
                                <w:rFonts w:ascii="標楷體" w:eastAsia="標楷體" w:hAnsi="標楷體"/>
                                <w:color w:val="000000"/>
                                <w:sz w:val="20"/>
                              </w:rPr>
                            </w:pPr>
                            <w:r w:rsidRPr="002D6081">
                              <w:rPr>
                                <w:rFonts w:ascii="標楷體" w:eastAsia="標楷體" w:hAnsi="標楷體" w:hint="eastAsia"/>
                                <w:color w:val="000000"/>
                                <w:sz w:val="20"/>
                              </w:rPr>
                              <w:t>單位：件次、％</w:t>
                            </w:r>
                          </w:p>
                          <w:tbl>
                            <w:tblPr>
                              <w:tblW w:w="4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
                              <w:gridCol w:w="2385"/>
                              <w:gridCol w:w="693"/>
                              <w:gridCol w:w="818"/>
                            </w:tblGrid>
                            <w:tr w:rsidR="00A0212B" w:rsidRPr="002D6081" w14:paraId="33EBFD15" w14:textId="77777777" w:rsidTr="000131EC">
                              <w:trPr>
                                <w:jc w:val="center"/>
                              </w:trPr>
                              <w:tc>
                                <w:tcPr>
                                  <w:tcW w:w="425" w:type="dxa"/>
                                  <w:shd w:val="clear" w:color="auto" w:fill="auto"/>
                                  <w:vAlign w:val="center"/>
                                </w:tcPr>
                                <w:p w14:paraId="334BC500"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序號</w:t>
                                  </w:r>
                                </w:p>
                              </w:tc>
                              <w:tc>
                                <w:tcPr>
                                  <w:tcW w:w="2477" w:type="dxa"/>
                                  <w:shd w:val="clear" w:color="auto" w:fill="auto"/>
                                  <w:vAlign w:val="center"/>
                                </w:tcPr>
                                <w:p w14:paraId="7CD16045"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snapToGrid w:val="0"/>
                                      <w:color w:val="000000"/>
                                      <w:kern w:val="32"/>
                                      <w:sz w:val="20"/>
                                    </w:rPr>
                                    <w:t>履約照片</w:t>
                                  </w:r>
                                  <w:r w:rsidRPr="00AE7097">
                                    <w:rPr>
                                      <w:rFonts w:ascii="標楷體" w:eastAsia="標楷體" w:hAnsi="標楷體" w:hint="eastAsia"/>
                                      <w:snapToGrid w:val="0"/>
                                      <w:color w:val="000000"/>
                                      <w:kern w:val="32"/>
                                      <w:sz w:val="20"/>
                                    </w:rPr>
                                    <w:t>涉有偽造或變造</w:t>
                                  </w:r>
                                  <w:r w:rsidRPr="002D6081">
                                    <w:rPr>
                                      <w:rFonts w:ascii="標楷體" w:eastAsia="標楷體" w:hAnsi="標楷體" w:hint="eastAsia"/>
                                      <w:snapToGrid w:val="0"/>
                                      <w:color w:val="000000"/>
                                      <w:kern w:val="32"/>
                                      <w:sz w:val="20"/>
                                    </w:rPr>
                                    <w:t>之態樣</w:t>
                                  </w:r>
                                </w:p>
                              </w:tc>
                              <w:tc>
                                <w:tcPr>
                                  <w:tcW w:w="702" w:type="dxa"/>
                                  <w:vAlign w:val="center"/>
                                </w:tcPr>
                                <w:p w14:paraId="07673E04"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件次</w:t>
                                  </w:r>
                                </w:p>
                              </w:tc>
                              <w:tc>
                                <w:tcPr>
                                  <w:tcW w:w="716" w:type="dxa"/>
                                  <w:vAlign w:val="center"/>
                                </w:tcPr>
                                <w:p w14:paraId="1EC2D82D" w14:textId="77777777" w:rsidR="00A0212B" w:rsidRPr="002D6081" w:rsidRDefault="00A0212B" w:rsidP="000131EC">
                                  <w:pPr>
                                    <w:jc w:val="center"/>
                                    <w:rPr>
                                      <w:rFonts w:ascii="標楷體" w:eastAsia="標楷體" w:hAnsi="標楷體"/>
                                      <w:color w:val="000000"/>
                                      <w:sz w:val="20"/>
                                    </w:rPr>
                                  </w:pPr>
                                  <w:r>
                                    <w:rPr>
                                      <w:rFonts w:ascii="標楷體" w:eastAsia="標楷體" w:hAnsi="標楷體" w:hint="eastAsia"/>
                                      <w:color w:val="000000"/>
                                      <w:sz w:val="20"/>
                                    </w:rPr>
                                    <w:t>占</w:t>
                                  </w:r>
                                  <w:r w:rsidRPr="002D6081">
                                    <w:rPr>
                                      <w:rFonts w:ascii="標楷體" w:eastAsia="標楷體" w:hAnsi="標楷體" w:hint="eastAsia"/>
                                      <w:color w:val="000000"/>
                                      <w:sz w:val="20"/>
                                    </w:rPr>
                                    <w:t>比</w:t>
                                  </w:r>
                                </w:p>
                              </w:tc>
                            </w:tr>
                            <w:tr w:rsidR="00A0212B" w:rsidRPr="002D6081" w14:paraId="02600E89" w14:textId="77777777" w:rsidTr="000131EC">
                              <w:trPr>
                                <w:jc w:val="center"/>
                              </w:trPr>
                              <w:tc>
                                <w:tcPr>
                                  <w:tcW w:w="2902" w:type="dxa"/>
                                  <w:gridSpan w:val="2"/>
                                  <w:shd w:val="clear" w:color="auto" w:fill="auto"/>
                                  <w:vAlign w:val="center"/>
                                </w:tcPr>
                                <w:p w14:paraId="7F58D415" w14:textId="77777777" w:rsidR="00A0212B" w:rsidRPr="00435748" w:rsidRDefault="00A0212B" w:rsidP="000131EC">
                                  <w:pPr>
                                    <w:snapToGrid w:val="0"/>
                                    <w:jc w:val="center"/>
                                    <w:rPr>
                                      <w:rFonts w:ascii="標楷體" w:eastAsia="標楷體" w:hAnsi="標楷體"/>
                                      <w:b/>
                                      <w:color w:val="000000"/>
                                      <w:sz w:val="20"/>
                                    </w:rPr>
                                  </w:pPr>
                                  <w:r w:rsidRPr="00435748">
                                    <w:rPr>
                                      <w:rFonts w:ascii="標楷體" w:eastAsia="標楷體" w:hAnsi="標楷體" w:hint="eastAsia"/>
                                      <w:b/>
                                      <w:color w:val="000000"/>
                                      <w:sz w:val="20"/>
                                    </w:rPr>
                                    <w:t>合計</w:t>
                                  </w:r>
                                </w:p>
                              </w:tc>
                              <w:tc>
                                <w:tcPr>
                                  <w:tcW w:w="702" w:type="dxa"/>
                                  <w:vAlign w:val="center"/>
                                </w:tcPr>
                                <w:p w14:paraId="0DCD3872" w14:textId="77777777" w:rsidR="00A0212B" w:rsidRPr="00435748" w:rsidRDefault="00A0212B" w:rsidP="000131EC">
                                  <w:pPr>
                                    <w:jc w:val="right"/>
                                    <w:rPr>
                                      <w:rFonts w:ascii="標楷體" w:eastAsia="標楷體" w:hAnsi="標楷體"/>
                                      <w:b/>
                                      <w:color w:val="000000"/>
                                      <w:sz w:val="20"/>
                                    </w:rPr>
                                  </w:pPr>
                                  <w:r w:rsidRPr="00435748">
                                    <w:rPr>
                                      <w:rFonts w:ascii="標楷體" w:eastAsia="標楷體" w:hAnsi="標楷體" w:hint="eastAsia"/>
                                      <w:b/>
                                      <w:color w:val="000000"/>
                                      <w:sz w:val="20"/>
                                    </w:rPr>
                                    <w:t>1</w:t>
                                  </w:r>
                                  <w:r w:rsidRPr="00435748">
                                    <w:rPr>
                                      <w:rFonts w:ascii="標楷體" w:eastAsia="標楷體" w:hAnsi="標楷體"/>
                                      <w:b/>
                                      <w:color w:val="000000"/>
                                      <w:sz w:val="20"/>
                                    </w:rPr>
                                    <w:t>17</w:t>
                                  </w:r>
                                </w:p>
                              </w:tc>
                              <w:tc>
                                <w:tcPr>
                                  <w:tcW w:w="716" w:type="dxa"/>
                                  <w:vAlign w:val="center"/>
                                </w:tcPr>
                                <w:p w14:paraId="14FB28FC" w14:textId="77777777" w:rsidR="00A0212B" w:rsidRPr="00435748" w:rsidRDefault="00A0212B" w:rsidP="000131EC">
                                  <w:pPr>
                                    <w:jc w:val="right"/>
                                    <w:rPr>
                                      <w:rFonts w:ascii="標楷體" w:eastAsia="標楷體" w:hAnsi="標楷體"/>
                                      <w:b/>
                                      <w:color w:val="000000"/>
                                      <w:sz w:val="20"/>
                                    </w:rPr>
                                  </w:pPr>
                                  <w:r w:rsidRPr="00435748">
                                    <w:rPr>
                                      <w:rFonts w:ascii="標楷體" w:eastAsia="標楷體" w:hAnsi="標楷體" w:hint="eastAsia"/>
                                      <w:b/>
                                      <w:color w:val="000000"/>
                                      <w:sz w:val="20"/>
                                    </w:rPr>
                                    <w:t>1</w:t>
                                  </w:r>
                                  <w:r w:rsidRPr="00435748">
                                    <w:rPr>
                                      <w:rFonts w:ascii="標楷體" w:eastAsia="標楷體" w:hAnsi="標楷體"/>
                                      <w:b/>
                                      <w:color w:val="000000"/>
                                      <w:sz w:val="20"/>
                                    </w:rPr>
                                    <w:t>00.00</w:t>
                                  </w:r>
                                </w:p>
                              </w:tc>
                            </w:tr>
                            <w:tr w:rsidR="00A0212B" w:rsidRPr="002D6081" w14:paraId="34B88BA1" w14:textId="77777777" w:rsidTr="000131EC">
                              <w:trPr>
                                <w:jc w:val="center"/>
                              </w:trPr>
                              <w:tc>
                                <w:tcPr>
                                  <w:tcW w:w="425" w:type="dxa"/>
                                  <w:shd w:val="clear" w:color="auto" w:fill="auto"/>
                                  <w:vAlign w:val="center"/>
                                </w:tcPr>
                                <w:p w14:paraId="3A1A6015"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1</w:t>
                                  </w:r>
                                </w:p>
                              </w:tc>
                              <w:tc>
                                <w:tcPr>
                                  <w:tcW w:w="2477" w:type="dxa"/>
                                  <w:shd w:val="clear" w:color="auto" w:fill="auto"/>
                                  <w:vAlign w:val="center"/>
                                </w:tcPr>
                                <w:p w14:paraId="20E4D5F5" w14:textId="0486F5DC" w:rsidR="00A0212B" w:rsidRPr="002D6081" w:rsidRDefault="00A0212B" w:rsidP="000131EC">
                                  <w:pPr>
                                    <w:snapToGrid w:val="0"/>
                                    <w:jc w:val="both"/>
                                    <w:rPr>
                                      <w:rFonts w:ascii="標楷體" w:eastAsia="標楷體" w:hAnsi="標楷體"/>
                                      <w:color w:val="000000"/>
                                      <w:sz w:val="20"/>
                                    </w:rPr>
                                  </w:pPr>
                                  <w:r>
                                    <w:rPr>
                                      <w:rFonts w:ascii="標楷體" w:eastAsia="標楷體" w:hAnsi="標楷體" w:hint="eastAsia"/>
                                      <w:color w:val="000000"/>
                                      <w:sz w:val="20"/>
                                    </w:rPr>
                                    <w:t>同一採購案，廠商所提供不同日期履約照片雷同</w:t>
                                  </w:r>
                                </w:p>
                              </w:tc>
                              <w:tc>
                                <w:tcPr>
                                  <w:tcW w:w="702" w:type="dxa"/>
                                  <w:vAlign w:val="center"/>
                                </w:tcPr>
                                <w:p w14:paraId="05F0D7B2" w14:textId="77777777" w:rsidR="00A0212B" w:rsidRPr="002D6081" w:rsidRDefault="00A0212B" w:rsidP="000131EC">
                                  <w:pPr>
                                    <w:jc w:val="right"/>
                                    <w:rPr>
                                      <w:rFonts w:ascii="標楷體" w:eastAsia="標楷體" w:hAnsi="標楷體"/>
                                      <w:color w:val="000000"/>
                                      <w:sz w:val="20"/>
                                    </w:rPr>
                                  </w:pPr>
                                  <w:r w:rsidRPr="002D6081">
                                    <w:rPr>
                                      <w:rFonts w:ascii="標楷體" w:eastAsia="標楷體" w:hAnsi="標楷體" w:hint="eastAsia"/>
                                      <w:color w:val="000000"/>
                                      <w:sz w:val="20"/>
                                    </w:rPr>
                                    <w:t>7</w:t>
                                  </w:r>
                                  <w:r w:rsidRPr="002D6081">
                                    <w:rPr>
                                      <w:rFonts w:ascii="標楷體" w:eastAsia="標楷體" w:hAnsi="標楷體"/>
                                      <w:color w:val="000000"/>
                                      <w:sz w:val="20"/>
                                    </w:rPr>
                                    <w:t>0</w:t>
                                  </w:r>
                                </w:p>
                              </w:tc>
                              <w:tc>
                                <w:tcPr>
                                  <w:tcW w:w="716" w:type="dxa"/>
                                  <w:vAlign w:val="center"/>
                                </w:tcPr>
                                <w:p w14:paraId="038F8A48" w14:textId="77777777" w:rsidR="00A0212B" w:rsidRPr="002D6081" w:rsidRDefault="00A0212B" w:rsidP="000131EC">
                                  <w:pPr>
                                    <w:jc w:val="right"/>
                                    <w:rPr>
                                      <w:rFonts w:ascii="標楷體" w:eastAsia="標楷體" w:hAnsi="標楷體"/>
                                      <w:color w:val="000000"/>
                                      <w:sz w:val="20"/>
                                    </w:rPr>
                                  </w:pPr>
                                  <w:r w:rsidRPr="002D6081">
                                    <w:rPr>
                                      <w:rFonts w:ascii="標楷體" w:eastAsia="標楷體" w:hAnsi="標楷體" w:hint="eastAsia"/>
                                      <w:color w:val="000000"/>
                                      <w:sz w:val="20"/>
                                    </w:rPr>
                                    <w:t>5</w:t>
                                  </w:r>
                                  <w:r w:rsidRPr="002D6081">
                                    <w:rPr>
                                      <w:rFonts w:ascii="標楷體" w:eastAsia="標楷體" w:hAnsi="標楷體"/>
                                      <w:color w:val="000000"/>
                                      <w:sz w:val="20"/>
                                    </w:rPr>
                                    <w:t>9.8</w:t>
                                  </w:r>
                                  <w:r>
                                    <w:rPr>
                                      <w:rFonts w:ascii="標楷體" w:eastAsia="標楷體" w:hAnsi="標楷體"/>
                                      <w:color w:val="000000"/>
                                      <w:sz w:val="20"/>
                                    </w:rPr>
                                    <w:t>3</w:t>
                                  </w:r>
                                </w:p>
                              </w:tc>
                            </w:tr>
                            <w:tr w:rsidR="00A0212B" w:rsidRPr="002D6081" w14:paraId="60F6EDF6" w14:textId="77777777" w:rsidTr="000131EC">
                              <w:trPr>
                                <w:jc w:val="center"/>
                              </w:trPr>
                              <w:tc>
                                <w:tcPr>
                                  <w:tcW w:w="425" w:type="dxa"/>
                                  <w:shd w:val="clear" w:color="auto" w:fill="auto"/>
                                  <w:vAlign w:val="center"/>
                                </w:tcPr>
                                <w:p w14:paraId="26D15E0E"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2</w:t>
                                  </w:r>
                                </w:p>
                              </w:tc>
                              <w:tc>
                                <w:tcPr>
                                  <w:tcW w:w="2477" w:type="dxa"/>
                                  <w:shd w:val="clear" w:color="auto" w:fill="auto"/>
                                  <w:vAlign w:val="center"/>
                                </w:tcPr>
                                <w:p w14:paraId="49120C43" w14:textId="56714848" w:rsidR="00A0212B" w:rsidRPr="002D6081" w:rsidRDefault="00A0212B" w:rsidP="000131EC">
                                  <w:pPr>
                                    <w:snapToGrid w:val="0"/>
                                    <w:jc w:val="both"/>
                                    <w:rPr>
                                      <w:rFonts w:ascii="標楷體" w:eastAsia="標楷體" w:hAnsi="標楷體"/>
                                      <w:color w:val="000000"/>
                                      <w:sz w:val="20"/>
                                    </w:rPr>
                                  </w:pPr>
                                  <w:r>
                                    <w:rPr>
                                      <w:rFonts w:ascii="標楷體" w:eastAsia="標楷體" w:hAnsi="標楷體" w:hint="eastAsia"/>
                                      <w:color w:val="000000"/>
                                      <w:sz w:val="20"/>
                                    </w:rPr>
                                    <w:t>同一採購案，廠商所提供不同履約範圍照片雷同</w:t>
                                  </w:r>
                                </w:p>
                              </w:tc>
                              <w:tc>
                                <w:tcPr>
                                  <w:tcW w:w="702" w:type="dxa"/>
                                  <w:vAlign w:val="center"/>
                                </w:tcPr>
                                <w:p w14:paraId="546D43A0" w14:textId="77777777" w:rsidR="00A0212B" w:rsidRPr="002D6081" w:rsidRDefault="00A0212B" w:rsidP="000131EC">
                                  <w:pPr>
                                    <w:snapToGrid w:val="0"/>
                                    <w:jc w:val="right"/>
                                    <w:rPr>
                                      <w:rFonts w:ascii="標楷體" w:eastAsia="標楷體" w:hAnsi="標楷體"/>
                                      <w:color w:val="000000"/>
                                      <w:sz w:val="20"/>
                                    </w:rPr>
                                  </w:pPr>
                                  <w:r w:rsidRPr="002D6081">
                                    <w:rPr>
                                      <w:rFonts w:ascii="標楷體" w:eastAsia="標楷體" w:hAnsi="標楷體"/>
                                      <w:color w:val="000000"/>
                                      <w:sz w:val="20"/>
                                    </w:rPr>
                                    <w:t>23</w:t>
                                  </w:r>
                                </w:p>
                              </w:tc>
                              <w:tc>
                                <w:tcPr>
                                  <w:tcW w:w="716" w:type="dxa"/>
                                  <w:vAlign w:val="center"/>
                                </w:tcPr>
                                <w:p w14:paraId="7EC8306E" w14:textId="77777777" w:rsidR="00A0212B" w:rsidRPr="002D6081" w:rsidRDefault="00A0212B" w:rsidP="000131EC">
                                  <w:pPr>
                                    <w:jc w:val="right"/>
                                    <w:rPr>
                                      <w:rFonts w:ascii="標楷體" w:eastAsia="標楷體" w:hAnsi="標楷體"/>
                                      <w:color w:val="000000"/>
                                      <w:sz w:val="20"/>
                                    </w:rPr>
                                  </w:pPr>
                                  <w:r w:rsidRPr="002D6081">
                                    <w:rPr>
                                      <w:rFonts w:ascii="標楷體" w:eastAsia="標楷體" w:hAnsi="標楷體" w:hint="eastAsia"/>
                                      <w:color w:val="000000"/>
                                      <w:sz w:val="20"/>
                                    </w:rPr>
                                    <w:t>1</w:t>
                                  </w:r>
                                  <w:r w:rsidRPr="002D6081">
                                    <w:rPr>
                                      <w:rFonts w:ascii="標楷體" w:eastAsia="標楷體" w:hAnsi="標楷體"/>
                                      <w:color w:val="000000"/>
                                      <w:sz w:val="20"/>
                                    </w:rPr>
                                    <w:t>9.6</w:t>
                                  </w:r>
                                  <w:r>
                                    <w:rPr>
                                      <w:rFonts w:ascii="標楷體" w:eastAsia="標楷體" w:hAnsi="標楷體"/>
                                      <w:color w:val="000000"/>
                                      <w:sz w:val="20"/>
                                    </w:rPr>
                                    <w:t>6</w:t>
                                  </w:r>
                                </w:p>
                              </w:tc>
                            </w:tr>
                            <w:tr w:rsidR="00A0212B" w:rsidRPr="002D6081" w14:paraId="52B360F1" w14:textId="77777777" w:rsidTr="000131EC">
                              <w:trPr>
                                <w:jc w:val="center"/>
                              </w:trPr>
                              <w:tc>
                                <w:tcPr>
                                  <w:tcW w:w="425" w:type="dxa"/>
                                  <w:shd w:val="clear" w:color="auto" w:fill="auto"/>
                                  <w:vAlign w:val="center"/>
                                </w:tcPr>
                                <w:p w14:paraId="7C13D5E6"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3</w:t>
                                  </w:r>
                                </w:p>
                              </w:tc>
                              <w:tc>
                                <w:tcPr>
                                  <w:tcW w:w="2477" w:type="dxa"/>
                                  <w:shd w:val="clear" w:color="auto" w:fill="auto"/>
                                  <w:vAlign w:val="center"/>
                                </w:tcPr>
                                <w:p w14:paraId="2001C919" w14:textId="71989418" w:rsidR="00A0212B" w:rsidRPr="002D6081" w:rsidRDefault="00A0212B" w:rsidP="000131EC">
                                  <w:pPr>
                                    <w:snapToGrid w:val="0"/>
                                    <w:jc w:val="both"/>
                                    <w:rPr>
                                      <w:rFonts w:ascii="標楷體" w:eastAsia="標楷體" w:hAnsi="標楷體"/>
                                      <w:color w:val="000000"/>
                                      <w:sz w:val="20"/>
                                    </w:rPr>
                                  </w:pPr>
                                  <w:r>
                                    <w:rPr>
                                      <w:rFonts w:ascii="標楷體" w:eastAsia="標楷體" w:hAnsi="標楷體" w:hint="eastAsia"/>
                                      <w:color w:val="000000"/>
                                      <w:sz w:val="20"/>
                                    </w:rPr>
                                    <w:t>不同採購案，廠商所提供履約照片與前年度採購案履約照片雷同</w:t>
                                  </w:r>
                                </w:p>
                              </w:tc>
                              <w:tc>
                                <w:tcPr>
                                  <w:tcW w:w="702" w:type="dxa"/>
                                  <w:vAlign w:val="center"/>
                                </w:tcPr>
                                <w:p w14:paraId="7F8C9753" w14:textId="77777777" w:rsidR="00A0212B" w:rsidRPr="002D6081" w:rsidRDefault="00A0212B" w:rsidP="000131EC">
                                  <w:pPr>
                                    <w:snapToGrid w:val="0"/>
                                    <w:jc w:val="right"/>
                                    <w:rPr>
                                      <w:rFonts w:ascii="標楷體" w:eastAsia="標楷體" w:hAnsi="標楷體"/>
                                      <w:color w:val="000000"/>
                                      <w:sz w:val="20"/>
                                    </w:rPr>
                                  </w:pPr>
                                  <w:r w:rsidRPr="002D6081">
                                    <w:rPr>
                                      <w:rFonts w:ascii="標楷體" w:eastAsia="標楷體" w:hAnsi="標楷體" w:hint="eastAsia"/>
                                      <w:color w:val="000000"/>
                                      <w:sz w:val="20"/>
                                    </w:rPr>
                                    <w:t>2</w:t>
                                  </w:r>
                                  <w:r w:rsidRPr="002D6081">
                                    <w:rPr>
                                      <w:rFonts w:ascii="標楷體" w:eastAsia="標楷體" w:hAnsi="標楷體"/>
                                      <w:color w:val="000000"/>
                                      <w:sz w:val="20"/>
                                    </w:rPr>
                                    <w:t>4</w:t>
                                  </w:r>
                                </w:p>
                              </w:tc>
                              <w:tc>
                                <w:tcPr>
                                  <w:tcW w:w="716" w:type="dxa"/>
                                  <w:vAlign w:val="center"/>
                                </w:tcPr>
                                <w:p w14:paraId="4F9643C9" w14:textId="77777777" w:rsidR="00A0212B" w:rsidRPr="002D6081" w:rsidRDefault="00A0212B" w:rsidP="000131EC">
                                  <w:pPr>
                                    <w:jc w:val="right"/>
                                    <w:rPr>
                                      <w:rFonts w:ascii="標楷體" w:eastAsia="標楷體" w:hAnsi="標楷體"/>
                                      <w:color w:val="000000"/>
                                      <w:sz w:val="20"/>
                                    </w:rPr>
                                  </w:pPr>
                                  <w:r w:rsidRPr="002D6081">
                                    <w:rPr>
                                      <w:rFonts w:ascii="標楷體" w:eastAsia="標楷體" w:hAnsi="標楷體" w:hint="eastAsia"/>
                                      <w:color w:val="000000"/>
                                      <w:sz w:val="20"/>
                                    </w:rPr>
                                    <w:t>2</w:t>
                                  </w:r>
                                  <w:r w:rsidRPr="002D6081">
                                    <w:rPr>
                                      <w:rFonts w:ascii="標楷體" w:eastAsia="標楷體" w:hAnsi="標楷體"/>
                                      <w:color w:val="000000"/>
                                      <w:sz w:val="20"/>
                                    </w:rPr>
                                    <w:t>0.51</w:t>
                                  </w:r>
                                </w:p>
                              </w:tc>
                            </w:tr>
                          </w:tbl>
                          <w:p w14:paraId="469ADF1B" w14:textId="2DAE53E7" w:rsidR="00A0212B" w:rsidRPr="002D6081" w:rsidRDefault="00A0212B" w:rsidP="00E31547">
                            <w:pPr>
                              <w:ind w:leftChars="50" w:left="1020" w:rightChars="50" w:right="120" w:hangingChars="500" w:hanging="900"/>
                              <w:jc w:val="both"/>
                              <w:rPr>
                                <w:rFonts w:ascii="標楷體" w:eastAsia="標楷體" w:hAnsi="標楷體"/>
                                <w:color w:val="000000"/>
                                <w:sz w:val="18"/>
                                <w:szCs w:val="18"/>
                              </w:rPr>
                            </w:pPr>
                            <w:r w:rsidRPr="002D6081">
                              <w:rPr>
                                <w:rFonts w:ascii="標楷體" w:eastAsia="標楷體" w:hAnsi="標楷體" w:hint="eastAsia"/>
                                <w:color w:val="000000"/>
                                <w:sz w:val="18"/>
                                <w:szCs w:val="18"/>
                              </w:rPr>
                              <w:t>資料來源：整理自本部調查案件</w:t>
                            </w:r>
                            <w:r>
                              <w:rPr>
                                <w:rFonts w:ascii="標楷體" w:eastAsia="標楷體" w:hAnsi="標楷體" w:hint="eastAsia"/>
                                <w:color w:val="000000"/>
                                <w:sz w:val="18"/>
                                <w:szCs w:val="18"/>
                              </w:rPr>
                              <w:t>（抽核</w:t>
                            </w:r>
                            <w:r w:rsidRPr="0000409D">
                              <w:rPr>
                                <w:rFonts w:ascii="標楷體" w:eastAsia="標楷體" w:hAnsi="標楷體" w:hint="eastAsia"/>
                                <w:color w:val="000000"/>
                                <w:sz w:val="18"/>
                                <w:szCs w:val="18"/>
                              </w:rPr>
                              <w:t>採購案件</w:t>
                            </w:r>
                            <w:r>
                              <w:rPr>
                                <w:rFonts w:ascii="標楷體" w:eastAsia="標楷體" w:hAnsi="標楷體" w:hint="eastAsia"/>
                                <w:color w:val="000000"/>
                                <w:sz w:val="18"/>
                                <w:szCs w:val="18"/>
                              </w:rPr>
                              <w:t>辦理期間</w:t>
                            </w:r>
                            <w:r w:rsidRPr="002D6081">
                              <w:rPr>
                                <w:rFonts w:ascii="標楷體" w:eastAsia="標楷體" w:hAnsi="標楷體" w:hint="eastAsia"/>
                                <w:color w:val="000000"/>
                                <w:sz w:val="18"/>
                                <w:szCs w:val="18"/>
                              </w:rPr>
                              <w:t>：</w:t>
                            </w:r>
                            <w:r w:rsidRPr="002610AC">
                              <w:rPr>
                                <w:rFonts w:ascii="標楷體" w:eastAsia="標楷體" w:hAnsi="標楷體" w:hint="eastAsia"/>
                                <w:color w:val="000000"/>
                                <w:sz w:val="18"/>
                                <w:szCs w:val="18"/>
                              </w:rPr>
                              <w:t>110年1月至112年6月</w:t>
                            </w:r>
                            <w:r>
                              <w:rPr>
                                <w:rFonts w:ascii="標楷體" w:eastAsia="標楷體" w:hAnsi="標楷體" w:hint="eastAsia"/>
                                <w:color w:val="000000"/>
                                <w:sz w:val="18"/>
                                <w:szCs w:val="18"/>
                              </w:rPr>
                              <w:t>）</w:t>
                            </w:r>
                            <w:r w:rsidRPr="002D6081">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99D570" id="文字方塊 80" o:spid="_x0000_s1132" type="#_x0000_t202" style="position:absolute;left:0;text-align:left;margin-left:251.45pt;margin-top:237.55pt;width:243.75pt;height:228.9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" stroked="f">
                <v:textbox>
                  <w:txbxContent>
                    <w:p w14:paraId="7DC8C396" w14:textId="6F799F99" w:rsidR="00A0212B" w:rsidRPr="00EB2D24" w:rsidRDefault="00A0212B" w:rsidP="00FE689C">
                      <w:pPr>
                        <w:ind w:leftChars="75" w:left="949" w:rightChars="-2" w:right="-5" w:hangingChars="320" w:hanging="769"/>
                        <w:rPr>
                          <w:rFonts w:ascii="標楷體" w:eastAsia="標楷體" w:hAnsi="標楷體"/>
                          <w:b/>
                          <w:color w:val="000000"/>
                        </w:rPr>
                      </w:pPr>
                      <w:r w:rsidRPr="00EB2D24">
                        <w:rPr>
                          <w:rFonts w:ascii="標楷體" w:eastAsia="標楷體" w:hAnsi="標楷體" w:hint="eastAsia"/>
                          <w:b/>
                          <w:color w:val="000000"/>
                        </w:rPr>
                        <w:t>表</w:t>
                      </w:r>
                      <w:r>
                        <w:rPr>
                          <w:rFonts w:ascii="標楷體" w:eastAsia="標楷體" w:hAnsi="標楷體"/>
                          <w:b/>
                          <w:color w:val="000000"/>
                        </w:rPr>
                        <w:t>43</w:t>
                      </w:r>
                      <w:r w:rsidRPr="00EB2D24">
                        <w:rPr>
                          <w:rFonts w:ascii="標楷體" w:eastAsia="標楷體" w:hAnsi="標楷體" w:hint="eastAsia"/>
                          <w:b/>
                          <w:color w:val="000000"/>
                        </w:rPr>
                        <w:t xml:space="preserve">　各級政府機關辦理採購案</w:t>
                      </w:r>
                      <w:r w:rsidRPr="00EB2D24">
                        <w:rPr>
                          <w:rFonts w:ascii="標楷體" w:eastAsia="標楷體" w:hAnsi="標楷體" w:hint="eastAsia"/>
                          <w:b/>
                          <w:snapToGrid w:val="0"/>
                          <w:color w:val="000000"/>
                          <w:kern w:val="32"/>
                        </w:rPr>
                        <w:t>履約照片</w:t>
                      </w:r>
                      <w:r>
                        <w:rPr>
                          <w:rFonts w:ascii="標楷體" w:eastAsia="標楷體" w:hAnsi="標楷體" w:hint="eastAsia"/>
                          <w:b/>
                          <w:snapToGrid w:val="0"/>
                          <w:color w:val="000000"/>
                          <w:kern w:val="32"/>
                        </w:rPr>
                        <w:t>涉有偽造或變造</w:t>
                      </w:r>
                      <w:r w:rsidRPr="00EB2D24">
                        <w:rPr>
                          <w:rFonts w:ascii="標楷體" w:eastAsia="標楷體" w:hAnsi="標楷體" w:hint="eastAsia"/>
                          <w:b/>
                          <w:snapToGrid w:val="0"/>
                          <w:color w:val="000000"/>
                          <w:kern w:val="32"/>
                        </w:rPr>
                        <w:t>之態樣</w:t>
                      </w:r>
                    </w:p>
                    <w:p w14:paraId="1A04555E" w14:textId="77777777" w:rsidR="00A0212B" w:rsidRPr="002D6081" w:rsidRDefault="00A0212B" w:rsidP="007C2144">
                      <w:pPr>
                        <w:wordWrap w:val="0"/>
                        <w:ind w:leftChars="460" w:left="1104" w:rightChars="69" w:right="166" w:firstLineChars="7" w:firstLine="14"/>
                        <w:jc w:val="right"/>
                        <w:rPr>
                          <w:rFonts w:ascii="標楷體" w:eastAsia="標楷體" w:hAnsi="標楷體"/>
                          <w:color w:val="000000"/>
                          <w:sz w:val="20"/>
                        </w:rPr>
                      </w:pPr>
                      <w:r w:rsidRPr="002D6081">
                        <w:rPr>
                          <w:rFonts w:ascii="標楷體" w:eastAsia="標楷體" w:hAnsi="標楷體" w:hint="eastAsia"/>
                          <w:color w:val="000000"/>
                          <w:sz w:val="20"/>
                        </w:rPr>
                        <w:t>單位：件次、％</w:t>
                      </w:r>
                    </w:p>
                    <w:tbl>
                      <w:tblPr>
                        <w:tblW w:w="4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
                        <w:gridCol w:w="2385"/>
                        <w:gridCol w:w="693"/>
                        <w:gridCol w:w="818"/>
                      </w:tblGrid>
                      <w:tr w:rsidR="00A0212B" w:rsidRPr="002D6081" w14:paraId="33EBFD15" w14:textId="77777777" w:rsidTr="000131EC">
                        <w:trPr>
                          <w:jc w:val="center"/>
                        </w:trPr>
                        <w:tc>
                          <w:tcPr>
                            <w:tcW w:w="425" w:type="dxa"/>
                            <w:shd w:val="clear" w:color="auto" w:fill="auto"/>
                            <w:vAlign w:val="center"/>
                          </w:tcPr>
                          <w:p w14:paraId="334BC500"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序號</w:t>
                            </w:r>
                          </w:p>
                        </w:tc>
                        <w:tc>
                          <w:tcPr>
                            <w:tcW w:w="2477" w:type="dxa"/>
                            <w:shd w:val="clear" w:color="auto" w:fill="auto"/>
                            <w:vAlign w:val="center"/>
                          </w:tcPr>
                          <w:p w14:paraId="7CD16045"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snapToGrid w:val="0"/>
                                <w:color w:val="000000"/>
                                <w:kern w:val="32"/>
                                <w:sz w:val="20"/>
                              </w:rPr>
                              <w:t>履約照片</w:t>
                            </w:r>
                            <w:r w:rsidRPr="00AE7097">
                              <w:rPr>
                                <w:rFonts w:ascii="標楷體" w:eastAsia="標楷體" w:hAnsi="標楷體" w:hint="eastAsia"/>
                                <w:snapToGrid w:val="0"/>
                                <w:color w:val="000000"/>
                                <w:kern w:val="32"/>
                                <w:sz w:val="20"/>
                              </w:rPr>
                              <w:t>涉有偽造或變造</w:t>
                            </w:r>
                            <w:r w:rsidRPr="002D6081">
                              <w:rPr>
                                <w:rFonts w:ascii="標楷體" w:eastAsia="標楷體" w:hAnsi="標楷體" w:hint="eastAsia"/>
                                <w:snapToGrid w:val="0"/>
                                <w:color w:val="000000"/>
                                <w:kern w:val="32"/>
                                <w:sz w:val="20"/>
                              </w:rPr>
                              <w:t>之態樣</w:t>
                            </w:r>
                          </w:p>
                        </w:tc>
                        <w:tc>
                          <w:tcPr>
                            <w:tcW w:w="702" w:type="dxa"/>
                            <w:vAlign w:val="center"/>
                          </w:tcPr>
                          <w:p w14:paraId="07673E04"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件次</w:t>
                            </w:r>
                          </w:p>
                        </w:tc>
                        <w:tc>
                          <w:tcPr>
                            <w:tcW w:w="716" w:type="dxa"/>
                            <w:vAlign w:val="center"/>
                          </w:tcPr>
                          <w:p w14:paraId="1EC2D82D" w14:textId="77777777" w:rsidR="00A0212B" w:rsidRPr="002D6081" w:rsidRDefault="00A0212B" w:rsidP="000131EC">
                            <w:pPr>
                              <w:jc w:val="center"/>
                              <w:rPr>
                                <w:rFonts w:ascii="標楷體" w:eastAsia="標楷體" w:hAnsi="標楷體"/>
                                <w:color w:val="000000"/>
                                <w:sz w:val="20"/>
                              </w:rPr>
                            </w:pPr>
                            <w:r>
                              <w:rPr>
                                <w:rFonts w:ascii="標楷體" w:eastAsia="標楷體" w:hAnsi="標楷體" w:hint="eastAsia"/>
                                <w:color w:val="000000"/>
                                <w:sz w:val="20"/>
                              </w:rPr>
                              <w:t>占</w:t>
                            </w:r>
                            <w:r w:rsidRPr="002D6081">
                              <w:rPr>
                                <w:rFonts w:ascii="標楷體" w:eastAsia="標楷體" w:hAnsi="標楷體" w:hint="eastAsia"/>
                                <w:color w:val="000000"/>
                                <w:sz w:val="20"/>
                              </w:rPr>
                              <w:t>比</w:t>
                            </w:r>
                          </w:p>
                        </w:tc>
                      </w:tr>
                      <w:tr w:rsidR="00A0212B" w:rsidRPr="002D6081" w14:paraId="02600E89" w14:textId="77777777" w:rsidTr="000131EC">
                        <w:trPr>
                          <w:jc w:val="center"/>
                        </w:trPr>
                        <w:tc>
                          <w:tcPr>
                            <w:tcW w:w="2902" w:type="dxa"/>
                            <w:gridSpan w:val="2"/>
                            <w:shd w:val="clear" w:color="auto" w:fill="auto"/>
                            <w:vAlign w:val="center"/>
                          </w:tcPr>
                          <w:p w14:paraId="7F58D415" w14:textId="77777777" w:rsidR="00A0212B" w:rsidRPr="00435748" w:rsidRDefault="00A0212B" w:rsidP="000131EC">
                            <w:pPr>
                              <w:snapToGrid w:val="0"/>
                              <w:jc w:val="center"/>
                              <w:rPr>
                                <w:rFonts w:ascii="標楷體" w:eastAsia="標楷體" w:hAnsi="標楷體"/>
                                <w:b/>
                                <w:color w:val="000000"/>
                                <w:sz w:val="20"/>
                              </w:rPr>
                            </w:pPr>
                            <w:r w:rsidRPr="00435748">
                              <w:rPr>
                                <w:rFonts w:ascii="標楷體" w:eastAsia="標楷體" w:hAnsi="標楷體" w:hint="eastAsia"/>
                                <w:b/>
                                <w:color w:val="000000"/>
                                <w:sz w:val="20"/>
                              </w:rPr>
                              <w:t>合計</w:t>
                            </w:r>
                          </w:p>
                        </w:tc>
                        <w:tc>
                          <w:tcPr>
                            <w:tcW w:w="702" w:type="dxa"/>
                            <w:vAlign w:val="center"/>
                          </w:tcPr>
                          <w:p w14:paraId="0DCD3872" w14:textId="77777777" w:rsidR="00A0212B" w:rsidRPr="00435748" w:rsidRDefault="00A0212B" w:rsidP="000131EC">
                            <w:pPr>
                              <w:jc w:val="right"/>
                              <w:rPr>
                                <w:rFonts w:ascii="標楷體" w:eastAsia="標楷體" w:hAnsi="標楷體"/>
                                <w:b/>
                                <w:color w:val="000000"/>
                                <w:sz w:val="20"/>
                              </w:rPr>
                            </w:pPr>
                            <w:r w:rsidRPr="00435748">
                              <w:rPr>
                                <w:rFonts w:ascii="標楷體" w:eastAsia="標楷體" w:hAnsi="標楷體" w:hint="eastAsia"/>
                                <w:b/>
                                <w:color w:val="000000"/>
                                <w:sz w:val="20"/>
                              </w:rPr>
                              <w:t>1</w:t>
                            </w:r>
                            <w:r w:rsidRPr="00435748">
                              <w:rPr>
                                <w:rFonts w:ascii="標楷體" w:eastAsia="標楷體" w:hAnsi="標楷體"/>
                                <w:b/>
                                <w:color w:val="000000"/>
                                <w:sz w:val="20"/>
                              </w:rPr>
                              <w:t>17</w:t>
                            </w:r>
                          </w:p>
                        </w:tc>
                        <w:tc>
                          <w:tcPr>
                            <w:tcW w:w="716" w:type="dxa"/>
                            <w:vAlign w:val="center"/>
                          </w:tcPr>
                          <w:p w14:paraId="14FB28FC" w14:textId="77777777" w:rsidR="00A0212B" w:rsidRPr="00435748" w:rsidRDefault="00A0212B" w:rsidP="000131EC">
                            <w:pPr>
                              <w:jc w:val="right"/>
                              <w:rPr>
                                <w:rFonts w:ascii="標楷體" w:eastAsia="標楷體" w:hAnsi="標楷體"/>
                                <w:b/>
                                <w:color w:val="000000"/>
                                <w:sz w:val="20"/>
                              </w:rPr>
                            </w:pPr>
                            <w:r w:rsidRPr="00435748">
                              <w:rPr>
                                <w:rFonts w:ascii="標楷體" w:eastAsia="標楷體" w:hAnsi="標楷體" w:hint="eastAsia"/>
                                <w:b/>
                                <w:color w:val="000000"/>
                                <w:sz w:val="20"/>
                              </w:rPr>
                              <w:t>1</w:t>
                            </w:r>
                            <w:r w:rsidRPr="00435748">
                              <w:rPr>
                                <w:rFonts w:ascii="標楷體" w:eastAsia="標楷體" w:hAnsi="標楷體"/>
                                <w:b/>
                                <w:color w:val="000000"/>
                                <w:sz w:val="20"/>
                              </w:rPr>
                              <w:t>00.00</w:t>
                            </w:r>
                          </w:p>
                        </w:tc>
                      </w:tr>
                      <w:tr w:rsidR="00A0212B" w:rsidRPr="002D6081" w14:paraId="34B88BA1" w14:textId="77777777" w:rsidTr="000131EC">
                        <w:trPr>
                          <w:jc w:val="center"/>
                        </w:trPr>
                        <w:tc>
                          <w:tcPr>
                            <w:tcW w:w="425" w:type="dxa"/>
                            <w:shd w:val="clear" w:color="auto" w:fill="auto"/>
                            <w:vAlign w:val="center"/>
                          </w:tcPr>
                          <w:p w14:paraId="3A1A6015"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1</w:t>
                            </w:r>
                          </w:p>
                        </w:tc>
                        <w:tc>
                          <w:tcPr>
                            <w:tcW w:w="2477" w:type="dxa"/>
                            <w:shd w:val="clear" w:color="auto" w:fill="auto"/>
                            <w:vAlign w:val="center"/>
                          </w:tcPr>
                          <w:p w14:paraId="20E4D5F5" w14:textId="0486F5DC" w:rsidR="00A0212B" w:rsidRPr="002D6081" w:rsidRDefault="00A0212B" w:rsidP="000131EC">
                            <w:pPr>
                              <w:snapToGrid w:val="0"/>
                              <w:jc w:val="both"/>
                              <w:rPr>
                                <w:rFonts w:ascii="標楷體" w:eastAsia="標楷體" w:hAnsi="標楷體"/>
                                <w:color w:val="000000"/>
                                <w:sz w:val="20"/>
                              </w:rPr>
                            </w:pPr>
                            <w:r>
                              <w:rPr>
                                <w:rFonts w:ascii="標楷體" w:eastAsia="標楷體" w:hAnsi="標楷體" w:hint="eastAsia"/>
                                <w:color w:val="000000"/>
                                <w:sz w:val="20"/>
                              </w:rPr>
                              <w:t>同一採購案，廠商所提供不同日期履約照片雷同</w:t>
                            </w:r>
                          </w:p>
                        </w:tc>
                        <w:tc>
                          <w:tcPr>
                            <w:tcW w:w="702" w:type="dxa"/>
                            <w:vAlign w:val="center"/>
                          </w:tcPr>
                          <w:p w14:paraId="05F0D7B2" w14:textId="77777777" w:rsidR="00A0212B" w:rsidRPr="002D6081" w:rsidRDefault="00A0212B" w:rsidP="000131EC">
                            <w:pPr>
                              <w:jc w:val="right"/>
                              <w:rPr>
                                <w:rFonts w:ascii="標楷體" w:eastAsia="標楷體" w:hAnsi="標楷體"/>
                                <w:color w:val="000000"/>
                                <w:sz w:val="20"/>
                              </w:rPr>
                            </w:pPr>
                            <w:r w:rsidRPr="002D6081">
                              <w:rPr>
                                <w:rFonts w:ascii="標楷體" w:eastAsia="標楷體" w:hAnsi="標楷體" w:hint="eastAsia"/>
                                <w:color w:val="000000"/>
                                <w:sz w:val="20"/>
                              </w:rPr>
                              <w:t>7</w:t>
                            </w:r>
                            <w:r w:rsidRPr="002D6081">
                              <w:rPr>
                                <w:rFonts w:ascii="標楷體" w:eastAsia="標楷體" w:hAnsi="標楷體"/>
                                <w:color w:val="000000"/>
                                <w:sz w:val="20"/>
                              </w:rPr>
                              <w:t>0</w:t>
                            </w:r>
                          </w:p>
                        </w:tc>
                        <w:tc>
                          <w:tcPr>
                            <w:tcW w:w="716" w:type="dxa"/>
                            <w:vAlign w:val="center"/>
                          </w:tcPr>
                          <w:p w14:paraId="038F8A48" w14:textId="77777777" w:rsidR="00A0212B" w:rsidRPr="002D6081" w:rsidRDefault="00A0212B" w:rsidP="000131EC">
                            <w:pPr>
                              <w:jc w:val="right"/>
                              <w:rPr>
                                <w:rFonts w:ascii="標楷體" w:eastAsia="標楷體" w:hAnsi="標楷體"/>
                                <w:color w:val="000000"/>
                                <w:sz w:val="20"/>
                              </w:rPr>
                            </w:pPr>
                            <w:r w:rsidRPr="002D6081">
                              <w:rPr>
                                <w:rFonts w:ascii="標楷體" w:eastAsia="標楷體" w:hAnsi="標楷體" w:hint="eastAsia"/>
                                <w:color w:val="000000"/>
                                <w:sz w:val="20"/>
                              </w:rPr>
                              <w:t>5</w:t>
                            </w:r>
                            <w:r w:rsidRPr="002D6081">
                              <w:rPr>
                                <w:rFonts w:ascii="標楷體" w:eastAsia="標楷體" w:hAnsi="標楷體"/>
                                <w:color w:val="000000"/>
                                <w:sz w:val="20"/>
                              </w:rPr>
                              <w:t>9.8</w:t>
                            </w:r>
                            <w:r>
                              <w:rPr>
                                <w:rFonts w:ascii="標楷體" w:eastAsia="標楷體" w:hAnsi="標楷體"/>
                                <w:color w:val="000000"/>
                                <w:sz w:val="20"/>
                              </w:rPr>
                              <w:t>3</w:t>
                            </w:r>
                          </w:p>
                        </w:tc>
                      </w:tr>
                      <w:tr w:rsidR="00A0212B" w:rsidRPr="002D6081" w14:paraId="60F6EDF6" w14:textId="77777777" w:rsidTr="000131EC">
                        <w:trPr>
                          <w:jc w:val="center"/>
                        </w:trPr>
                        <w:tc>
                          <w:tcPr>
                            <w:tcW w:w="425" w:type="dxa"/>
                            <w:shd w:val="clear" w:color="auto" w:fill="auto"/>
                            <w:vAlign w:val="center"/>
                          </w:tcPr>
                          <w:p w14:paraId="26D15E0E"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2</w:t>
                            </w:r>
                          </w:p>
                        </w:tc>
                        <w:tc>
                          <w:tcPr>
                            <w:tcW w:w="2477" w:type="dxa"/>
                            <w:shd w:val="clear" w:color="auto" w:fill="auto"/>
                            <w:vAlign w:val="center"/>
                          </w:tcPr>
                          <w:p w14:paraId="49120C43" w14:textId="56714848" w:rsidR="00A0212B" w:rsidRPr="002D6081" w:rsidRDefault="00A0212B" w:rsidP="000131EC">
                            <w:pPr>
                              <w:snapToGrid w:val="0"/>
                              <w:jc w:val="both"/>
                              <w:rPr>
                                <w:rFonts w:ascii="標楷體" w:eastAsia="標楷體" w:hAnsi="標楷體"/>
                                <w:color w:val="000000"/>
                                <w:sz w:val="20"/>
                              </w:rPr>
                            </w:pPr>
                            <w:r>
                              <w:rPr>
                                <w:rFonts w:ascii="標楷體" w:eastAsia="標楷體" w:hAnsi="標楷體" w:hint="eastAsia"/>
                                <w:color w:val="000000"/>
                                <w:sz w:val="20"/>
                              </w:rPr>
                              <w:t>同一採購案，廠商所提供不同履約範圍照片雷同</w:t>
                            </w:r>
                          </w:p>
                        </w:tc>
                        <w:tc>
                          <w:tcPr>
                            <w:tcW w:w="702" w:type="dxa"/>
                            <w:vAlign w:val="center"/>
                          </w:tcPr>
                          <w:p w14:paraId="546D43A0" w14:textId="77777777" w:rsidR="00A0212B" w:rsidRPr="002D6081" w:rsidRDefault="00A0212B" w:rsidP="000131EC">
                            <w:pPr>
                              <w:snapToGrid w:val="0"/>
                              <w:jc w:val="right"/>
                              <w:rPr>
                                <w:rFonts w:ascii="標楷體" w:eastAsia="標楷體" w:hAnsi="標楷體"/>
                                <w:color w:val="000000"/>
                                <w:sz w:val="20"/>
                              </w:rPr>
                            </w:pPr>
                            <w:r w:rsidRPr="002D6081">
                              <w:rPr>
                                <w:rFonts w:ascii="標楷體" w:eastAsia="標楷體" w:hAnsi="標楷體"/>
                                <w:color w:val="000000"/>
                                <w:sz w:val="20"/>
                              </w:rPr>
                              <w:t>23</w:t>
                            </w:r>
                          </w:p>
                        </w:tc>
                        <w:tc>
                          <w:tcPr>
                            <w:tcW w:w="716" w:type="dxa"/>
                            <w:vAlign w:val="center"/>
                          </w:tcPr>
                          <w:p w14:paraId="7EC8306E" w14:textId="77777777" w:rsidR="00A0212B" w:rsidRPr="002D6081" w:rsidRDefault="00A0212B" w:rsidP="000131EC">
                            <w:pPr>
                              <w:jc w:val="right"/>
                              <w:rPr>
                                <w:rFonts w:ascii="標楷體" w:eastAsia="標楷體" w:hAnsi="標楷體"/>
                                <w:color w:val="000000"/>
                                <w:sz w:val="20"/>
                              </w:rPr>
                            </w:pPr>
                            <w:r w:rsidRPr="002D6081">
                              <w:rPr>
                                <w:rFonts w:ascii="標楷體" w:eastAsia="標楷體" w:hAnsi="標楷體" w:hint="eastAsia"/>
                                <w:color w:val="000000"/>
                                <w:sz w:val="20"/>
                              </w:rPr>
                              <w:t>1</w:t>
                            </w:r>
                            <w:r w:rsidRPr="002D6081">
                              <w:rPr>
                                <w:rFonts w:ascii="標楷體" w:eastAsia="標楷體" w:hAnsi="標楷體"/>
                                <w:color w:val="000000"/>
                                <w:sz w:val="20"/>
                              </w:rPr>
                              <w:t>9.6</w:t>
                            </w:r>
                            <w:r>
                              <w:rPr>
                                <w:rFonts w:ascii="標楷體" w:eastAsia="標楷體" w:hAnsi="標楷體"/>
                                <w:color w:val="000000"/>
                                <w:sz w:val="20"/>
                              </w:rPr>
                              <w:t>6</w:t>
                            </w:r>
                          </w:p>
                        </w:tc>
                      </w:tr>
                      <w:tr w:rsidR="00A0212B" w:rsidRPr="002D6081" w14:paraId="52B360F1" w14:textId="77777777" w:rsidTr="000131EC">
                        <w:trPr>
                          <w:jc w:val="center"/>
                        </w:trPr>
                        <w:tc>
                          <w:tcPr>
                            <w:tcW w:w="425" w:type="dxa"/>
                            <w:shd w:val="clear" w:color="auto" w:fill="auto"/>
                            <w:vAlign w:val="center"/>
                          </w:tcPr>
                          <w:p w14:paraId="7C13D5E6" w14:textId="77777777" w:rsidR="00A0212B" w:rsidRPr="002D6081" w:rsidRDefault="00A0212B" w:rsidP="000131EC">
                            <w:pPr>
                              <w:jc w:val="center"/>
                              <w:rPr>
                                <w:rFonts w:ascii="標楷體" w:eastAsia="標楷體" w:hAnsi="標楷體"/>
                                <w:color w:val="000000"/>
                                <w:sz w:val="20"/>
                              </w:rPr>
                            </w:pPr>
                            <w:r w:rsidRPr="002D6081">
                              <w:rPr>
                                <w:rFonts w:ascii="標楷體" w:eastAsia="標楷體" w:hAnsi="標楷體" w:hint="eastAsia"/>
                                <w:color w:val="000000"/>
                                <w:sz w:val="20"/>
                              </w:rPr>
                              <w:t>3</w:t>
                            </w:r>
                          </w:p>
                        </w:tc>
                        <w:tc>
                          <w:tcPr>
                            <w:tcW w:w="2477" w:type="dxa"/>
                            <w:shd w:val="clear" w:color="auto" w:fill="auto"/>
                            <w:vAlign w:val="center"/>
                          </w:tcPr>
                          <w:p w14:paraId="2001C919" w14:textId="71989418" w:rsidR="00A0212B" w:rsidRPr="002D6081" w:rsidRDefault="00A0212B" w:rsidP="000131EC">
                            <w:pPr>
                              <w:snapToGrid w:val="0"/>
                              <w:jc w:val="both"/>
                              <w:rPr>
                                <w:rFonts w:ascii="標楷體" w:eastAsia="標楷體" w:hAnsi="標楷體"/>
                                <w:color w:val="000000"/>
                                <w:sz w:val="20"/>
                              </w:rPr>
                            </w:pPr>
                            <w:r>
                              <w:rPr>
                                <w:rFonts w:ascii="標楷體" w:eastAsia="標楷體" w:hAnsi="標楷體" w:hint="eastAsia"/>
                                <w:color w:val="000000"/>
                                <w:sz w:val="20"/>
                              </w:rPr>
                              <w:t>不同採購案，廠商所提供履約照片與前年度採購案履約照片雷同</w:t>
                            </w:r>
                          </w:p>
                        </w:tc>
                        <w:tc>
                          <w:tcPr>
                            <w:tcW w:w="702" w:type="dxa"/>
                            <w:vAlign w:val="center"/>
                          </w:tcPr>
                          <w:p w14:paraId="7F8C9753" w14:textId="77777777" w:rsidR="00A0212B" w:rsidRPr="002D6081" w:rsidRDefault="00A0212B" w:rsidP="000131EC">
                            <w:pPr>
                              <w:snapToGrid w:val="0"/>
                              <w:jc w:val="right"/>
                              <w:rPr>
                                <w:rFonts w:ascii="標楷體" w:eastAsia="標楷體" w:hAnsi="標楷體"/>
                                <w:color w:val="000000"/>
                                <w:sz w:val="20"/>
                              </w:rPr>
                            </w:pPr>
                            <w:r w:rsidRPr="002D6081">
                              <w:rPr>
                                <w:rFonts w:ascii="標楷體" w:eastAsia="標楷體" w:hAnsi="標楷體" w:hint="eastAsia"/>
                                <w:color w:val="000000"/>
                                <w:sz w:val="20"/>
                              </w:rPr>
                              <w:t>2</w:t>
                            </w:r>
                            <w:r w:rsidRPr="002D6081">
                              <w:rPr>
                                <w:rFonts w:ascii="標楷體" w:eastAsia="標楷體" w:hAnsi="標楷體"/>
                                <w:color w:val="000000"/>
                                <w:sz w:val="20"/>
                              </w:rPr>
                              <w:t>4</w:t>
                            </w:r>
                          </w:p>
                        </w:tc>
                        <w:tc>
                          <w:tcPr>
                            <w:tcW w:w="716" w:type="dxa"/>
                            <w:vAlign w:val="center"/>
                          </w:tcPr>
                          <w:p w14:paraId="4F9643C9" w14:textId="77777777" w:rsidR="00A0212B" w:rsidRPr="002D6081" w:rsidRDefault="00A0212B" w:rsidP="000131EC">
                            <w:pPr>
                              <w:jc w:val="right"/>
                              <w:rPr>
                                <w:rFonts w:ascii="標楷體" w:eastAsia="標楷體" w:hAnsi="標楷體"/>
                                <w:color w:val="000000"/>
                                <w:sz w:val="20"/>
                              </w:rPr>
                            </w:pPr>
                            <w:r w:rsidRPr="002D6081">
                              <w:rPr>
                                <w:rFonts w:ascii="標楷體" w:eastAsia="標楷體" w:hAnsi="標楷體" w:hint="eastAsia"/>
                                <w:color w:val="000000"/>
                                <w:sz w:val="20"/>
                              </w:rPr>
                              <w:t>2</w:t>
                            </w:r>
                            <w:r w:rsidRPr="002D6081">
                              <w:rPr>
                                <w:rFonts w:ascii="標楷體" w:eastAsia="標楷體" w:hAnsi="標楷體"/>
                                <w:color w:val="000000"/>
                                <w:sz w:val="20"/>
                              </w:rPr>
                              <w:t>0.51</w:t>
                            </w:r>
                          </w:p>
                        </w:tc>
                      </w:tr>
                    </w:tbl>
                    <w:p w14:paraId="469ADF1B" w14:textId="2DAE53E7" w:rsidR="00A0212B" w:rsidRPr="002D6081" w:rsidRDefault="00A0212B" w:rsidP="00E31547">
                      <w:pPr>
                        <w:ind w:leftChars="50" w:left="1020" w:rightChars="50" w:right="120" w:hangingChars="500" w:hanging="900"/>
                        <w:jc w:val="both"/>
                        <w:rPr>
                          <w:rFonts w:ascii="標楷體" w:eastAsia="標楷體" w:hAnsi="標楷體"/>
                          <w:color w:val="000000"/>
                          <w:sz w:val="18"/>
                          <w:szCs w:val="18"/>
                        </w:rPr>
                      </w:pPr>
                      <w:r w:rsidRPr="002D6081">
                        <w:rPr>
                          <w:rFonts w:ascii="標楷體" w:eastAsia="標楷體" w:hAnsi="標楷體" w:hint="eastAsia"/>
                          <w:color w:val="000000"/>
                          <w:sz w:val="18"/>
                          <w:szCs w:val="18"/>
                        </w:rPr>
                        <w:t>資料來源：整理自本部調查案件</w:t>
                      </w:r>
                      <w:r>
                        <w:rPr>
                          <w:rFonts w:ascii="標楷體" w:eastAsia="標楷體" w:hAnsi="標楷體" w:hint="eastAsia"/>
                          <w:color w:val="000000"/>
                          <w:sz w:val="18"/>
                          <w:szCs w:val="18"/>
                        </w:rPr>
                        <w:t>（抽核</w:t>
                      </w:r>
                      <w:r w:rsidRPr="0000409D">
                        <w:rPr>
                          <w:rFonts w:ascii="標楷體" w:eastAsia="標楷體" w:hAnsi="標楷體" w:hint="eastAsia"/>
                          <w:color w:val="000000"/>
                          <w:sz w:val="18"/>
                          <w:szCs w:val="18"/>
                        </w:rPr>
                        <w:t>採購案件</w:t>
                      </w:r>
                      <w:r>
                        <w:rPr>
                          <w:rFonts w:ascii="標楷體" w:eastAsia="標楷體" w:hAnsi="標楷體" w:hint="eastAsia"/>
                          <w:color w:val="000000"/>
                          <w:sz w:val="18"/>
                          <w:szCs w:val="18"/>
                        </w:rPr>
                        <w:t>辦理期間</w:t>
                      </w:r>
                      <w:r w:rsidRPr="002D6081">
                        <w:rPr>
                          <w:rFonts w:ascii="標楷體" w:eastAsia="標楷體" w:hAnsi="標楷體" w:hint="eastAsia"/>
                          <w:color w:val="000000"/>
                          <w:sz w:val="18"/>
                          <w:szCs w:val="18"/>
                        </w:rPr>
                        <w:t>：</w:t>
                      </w:r>
                      <w:r w:rsidRPr="002610AC">
                        <w:rPr>
                          <w:rFonts w:ascii="標楷體" w:eastAsia="標楷體" w:hAnsi="標楷體" w:hint="eastAsia"/>
                          <w:color w:val="000000"/>
                          <w:sz w:val="18"/>
                          <w:szCs w:val="18"/>
                        </w:rPr>
                        <w:t>110年1月至112年6月</w:t>
                      </w:r>
                      <w:r>
                        <w:rPr>
                          <w:rFonts w:ascii="標楷體" w:eastAsia="標楷體" w:hAnsi="標楷體" w:hint="eastAsia"/>
                          <w:color w:val="000000"/>
                          <w:sz w:val="18"/>
                          <w:szCs w:val="18"/>
                        </w:rPr>
                        <w:t>）</w:t>
                      </w:r>
                      <w:r w:rsidRPr="002D6081">
                        <w:rPr>
                          <w:rFonts w:ascii="標楷體" w:eastAsia="標楷體" w:hAnsi="標楷體" w:hint="eastAsia"/>
                          <w:color w:val="000000"/>
                          <w:sz w:val="18"/>
                          <w:szCs w:val="18"/>
                        </w:rPr>
                        <w:t>。</w:t>
                      </w:r>
                    </w:p>
                  </w:txbxContent>
                </v:textbox>
                <w10:wrap type="tight" anchorx="margin"/>
              </v:shape>
            </w:pict>
          </mc:Fallback>
        </mc:AlternateContent>
      </w:r>
      <w:r w:rsidR="002B2085" w:rsidRPr="00296785">
        <w:rPr>
          <w:rFonts w:ascii="標楷體" w:eastAsia="標楷體" w:hAnsi="標楷體" w:hint="eastAsia"/>
        </w:rPr>
        <w:t>機關辦理勞務採購案件，舉如：公園或場館維護、景觀維護、環境清潔、海岸清理、共同管道維護、水利設施維護、橋梁、隧道及邊坡安全檢測等勞務採購案，其履約管理及驗收過程，常以廠商提供之履約照片，作為廠商確有依契約規定履行之佐證資料；機關則依廠商所提供照片等履約資料進行驗收，並據以付款。惟各機關辦理以照片輔助履約管理與驗收之勞務採購案，因履約照片數量龐巨，機關不易比對，致間有不肖廠商透過偽造、變造履約照片，製造履約假象，據以向機關請領契約款項，影響政府採購品質及效益。經本部抽核中央政府各機關</w:t>
      </w:r>
      <w:r w:rsidR="002B2085" w:rsidRPr="00296785">
        <w:rPr>
          <w:rFonts w:ascii="標楷體" w:eastAsia="標楷體" w:hAnsi="標楷體"/>
        </w:rPr>
        <w:t>110年1月至112年6月辦理以照片輔助履約管理與驗收且決標金額大於500萬元之勞務採購案件執行情形，核有：1.行政院公共工程委員會（下稱工程會）所訂定勞務採購契約範本，尚未就廠商提供履約過程照片，明定須提供原始電子檔案，且未就檔案格式及解析度明定相關規定，不利機關運用電腦軟體比對照片真實性，確保履約驗收品質；2.各級政府機關辦理以照片輔助履約管理與驗收之採購案執行情形，經本部調查結果計有</w:t>
      </w:r>
      <w:r w:rsidR="00CA76BC" w:rsidRPr="00296785">
        <w:rPr>
          <w:rFonts w:ascii="標楷體" w:eastAsia="標楷體" w:hAnsi="標楷體"/>
        </w:rPr>
        <w:t>117</w:t>
      </w:r>
      <w:r w:rsidR="002B2085" w:rsidRPr="00296785">
        <w:rPr>
          <w:rFonts w:ascii="標楷體" w:eastAsia="標楷體" w:hAnsi="標楷體" w:hint="eastAsia"/>
        </w:rPr>
        <w:t>件</w:t>
      </w:r>
      <w:r w:rsidR="00CA76BC" w:rsidRPr="00296785">
        <w:rPr>
          <w:rFonts w:ascii="標楷體" w:eastAsia="標楷體" w:hAnsi="標楷體" w:hint="eastAsia"/>
        </w:rPr>
        <w:t>次</w:t>
      </w:r>
      <w:r w:rsidR="00B7540E">
        <w:rPr>
          <w:rFonts w:ascii="標楷體" w:eastAsia="標楷體" w:hAnsi="標楷體" w:hint="eastAsia"/>
        </w:rPr>
        <w:t>之</w:t>
      </w:r>
      <w:r w:rsidR="002B2085" w:rsidRPr="00296785">
        <w:rPr>
          <w:rFonts w:ascii="標楷體" w:eastAsia="標楷體" w:hAnsi="標楷體" w:hint="eastAsia"/>
        </w:rPr>
        <w:t>採購案，廠商所提送之履約照片疑涉有偽造或變造情事（</w:t>
      </w:r>
      <w:r w:rsidR="002B2085" w:rsidRPr="00463203">
        <w:rPr>
          <w:rFonts w:ascii="標楷體" w:eastAsia="標楷體" w:hAnsi="標楷體" w:hint="eastAsia"/>
        </w:rPr>
        <w:t>表</w:t>
      </w:r>
      <w:r w:rsidR="0065120E" w:rsidRPr="00463203">
        <w:rPr>
          <w:rFonts w:ascii="標楷體" w:eastAsia="標楷體" w:hAnsi="標楷體"/>
        </w:rPr>
        <w:t>4</w:t>
      </w:r>
      <w:r w:rsidR="009821F7" w:rsidRPr="00463203">
        <w:rPr>
          <w:rFonts w:ascii="標楷體" w:eastAsia="標楷體" w:hAnsi="標楷體" w:hint="eastAsia"/>
        </w:rPr>
        <w:t>3</w:t>
      </w:r>
      <w:r w:rsidR="002B2085" w:rsidRPr="00296785">
        <w:rPr>
          <w:rFonts w:ascii="標楷體" w:eastAsia="標楷體" w:hAnsi="標楷體" w:hint="eastAsia"/>
        </w:rPr>
        <w:t>），惟因該等案件履約照片數量龐巨，又機關對於照片比對技術不熟稔等因素，致仍有經機關准予驗收合格，並支付履約款項，其驗收過程未盡確實；</w:t>
      </w:r>
      <w:r w:rsidR="002B2085" w:rsidRPr="00296785">
        <w:rPr>
          <w:rFonts w:ascii="標楷體" w:eastAsia="標楷體" w:hAnsi="標楷體"/>
        </w:rPr>
        <w:t>3.部分採購案其工作履約範圍甚廣，常係多個履約地點或數十公里長之帶狀履約地點，惟機關僅依履約照片採書面驗收，即據以認定驗收合格並付款，其履約管理及驗收作業未盡嚴謹，尚待導入合宜之管理方式，以有效掌握廠商履約情形等情事，經函請工程會研謀改善。據復：1.為利機關運用科技比對廠商履約照片，將修正勞務採購契約範本，機關倘有廠商提供履約過程照片之需求</w:t>
      </w:r>
      <w:r w:rsidR="002B2085" w:rsidRPr="00296785">
        <w:rPr>
          <w:rFonts w:ascii="標楷體" w:eastAsia="標楷體" w:hAnsi="標楷體" w:hint="eastAsia"/>
        </w:rPr>
        <w:t>，可要求廠商提供電子檔，並就所提檔案格式及解析度預予約定；</w:t>
      </w:r>
      <w:r w:rsidR="002B2085" w:rsidRPr="00296785">
        <w:rPr>
          <w:rFonts w:ascii="標楷體" w:eastAsia="標楷體" w:hAnsi="標楷體"/>
        </w:rPr>
        <w:t>2.為提升採購效率及品質管理，將通函提醒機關善用科技，必要時得導入照片比對技術；3.為強化履約管理，將通函各機關可採現場查驗方式者，應以現場查驗為宜，並依案件屬性，於適當階段導入合宜之科技技術。</w:t>
      </w:r>
    </w:p>
    <w:p w14:paraId="5B1D792D" w14:textId="668B66AA" w:rsidR="00215CEF" w:rsidRPr="00FF0427" w:rsidRDefault="005A568F" w:rsidP="001E782A">
      <w:pPr>
        <w:pStyle w:val="10"/>
        <w:overflowPunct w:val="0"/>
        <w:spacing w:beforeLines="20" w:before="72" w:afterLines="20" w:after="72" w:line="460" w:lineRule="exact"/>
        <w:ind w:firstLineChars="100" w:firstLine="320"/>
        <w:rPr>
          <w:rFonts w:ascii="標楷體" w:eastAsia="標楷體" w:hAnsi="標楷體"/>
          <w:color w:val="000000" w:themeColor="text1"/>
          <w:sz w:val="32"/>
          <w:szCs w:val="32"/>
        </w:rPr>
      </w:pPr>
      <w:r w:rsidRPr="00FF0427">
        <w:rPr>
          <w:rFonts w:ascii="標楷體" w:eastAsia="標楷體" w:hAnsi="標楷體" w:hint="eastAsia"/>
          <w:color w:val="000000" w:themeColor="text1"/>
          <w:sz w:val="32"/>
          <w:szCs w:val="32"/>
        </w:rPr>
        <w:lastRenderedPageBreak/>
        <w:t>五</w:t>
      </w:r>
      <w:r w:rsidR="00215CEF" w:rsidRPr="00FF0427">
        <w:rPr>
          <w:rFonts w:ascii="標楷體" w:eastAsia="標楷體" w:hAnsi="標楷體" w:hint="eastAsia"/>
          <w:color w:val="000000" w:themeColor="text1"/>
          <w:sz w:val="32"/>
          <w:szCs w:val="32"/>
        </w:rPr>
        <w:t>、</w:t>
      </w:r>
      <w:r w:rsidR="00FD2B62" w:rsidRPr="00FF0427">
        <w:rPr>
          <w:rFonts w:ascii="標楷體" w:eastAsia="標楷體" w:hAnsi="標楷體" w:hint="eastAsia"/>
          <w:color w:val="000000" w:themeColor="text1"/>
          <w:sz w:val="32"/>
          <w:szCs w:val="32"/>
        </w:rPr>
        <w:t>111</w:t>
      </w:r>
      <w:r w:rsidR="00215CEF" w:rsidRPr="00FF0427">
        <w:rPr>
          <w:rFonts w:ascii="標楷體" w:eastAsia="標楷體" w:hAnsi="標楷體" w:hint="eastAsia"/>
          <w:color w:val="000000" w:themeColor="text1"/>
          <w:sz w:val="32"/>
          <w:szCs w:val="32"/>
        </w:rPr>
        <w:t>年度重要審核意見追蹤查核情形</w:t>
      </w:r>
    </w:p>
    <w:p w14:paraId="14BEA59E" w14:textId="5EE47853" w:rsidR="00215CEF" w:rsidRPr="00FF0427" w:rsidRDefault="00B60947" w:rsidP="001E782A">
      <w:pPr>
        <w:pStyle w:val="af9"/>
        <w:overflowPunct w:val="0"/>
        <w:spacing w:beforeLines="0" w:before="0" w:afterLines="0" w:after="0" w:line="404" w:lineRule="exact"/>
        <w:ind w:firstLine="480"/>
        <w:rPr>
          <w:rFonts w:ascii="標楷體" w:hAnsi="標楷體"/>
          <w:b w:val="0"/>
          <w:color w:val="000000" w:themeColor="text1"/>
          <w:sz w:val="24"/>
          <w:szCs w:val="24"/>
        </w:rPr>
      </w:pPr>
      <w:r w:rsidRPr="00FF0427">
        <w:rPr>
          <w:rFonts w:ascii="標楷體" w:hAnsi="標楷體" w:hint="eastAsia"/>
          <w:b w:val="0"/>
          <w:color w:val="000000" w:themeColor="text1"/>
          <w:sz w:val="24"/>
          <w:szCs w:val="24"/>
        </w:rPr>
        <w:t>本部於</w:t>
      </w:r>
      <w:r w:rsidR="00CC59D2" w:rsidRPr="00FF0427">
        <w:rPr>
          <w:rFonts w:ascii="標楷體" w:hAnsi="標楷體" w:hint="eastAsia"/>
          <w:b w:val="0"/>
          <w:color w:val="000000" w:themeColor="text1"/>
          <w:sz w:val="24"/>
          <w:szCs w:val="24"/>
        </w:rPr>
        <w:t>1</w:t>
      </w:r>
      <w:r w:rsidR="00014F93" w:rsidRPr="00FF0427">
        <w:rPr>
          <w:rFonts w:ascii="標楷體" w:hAnsi="標楷體" w:hint="eastAsia"/>
          <w:b w:val="0"/>
          <w:color w:val="000000" w:themeColor="text1"/>
          <w:sz w:val="24"/>
          <w:szCs w:val="24"/>
        </w:rPr>
        <w:t>1</w:t>
      </w:r>
      <w:r w:rsidR="00FF0427" w:rsidRPr="00FF0427">
        <w:rPr>
          <w:rFonts w:ascii="標楷體" w:hAnsi="標楷體" w:hint="eastAsia"/>
          <w:b w:val="0"/>
          <w:color w:val="000000" w:themeColor="text1"/>
          <w:sz w:val="24"/>
          <w:szCs w:val="24"/>
        </w:rPr>
        <w:t>1</w:t>
      </w:r>
      <w:r w:rsidRPr="00FF0427">
        <w:rPr>
          <w:rFonts w:ascii="標楷體" w:hAnsi="標楷體" w:hint="eastAsia"/>
          <w:b w:val="0"/>
          <w:color w:val="000000" w:themeColor="text1"/>
          <w:sz w:val="24"/>
          <w:szCs w:val="24"/>
        </w:rPr>
        <w:t>年度審核報告內列普通公務相關</w:t>
      </w:r>
      <w:r w:rsidR="00EF1AEF" w:rsidRPr="00FF0427">
        <w:rPr>
          <w:rFonts w:ascii="標楷體" w:hAnsi="標楷體" w:hint="eastAsia"/>
          <w:b w:val="0"/>
          <w:color w:val="000000" w:themeColor="text1"/>
          <w:sz w:val="24"/>
          <w:szCs w:val="24"/>
        </w:rPr>
        <w:t>重要審核意見</w:t>
      </w:r>
      <w:r w:rsidR="00FF0427">
        <w:rPr>
          <w:rFonts w:ascii="標楷體" w:hAnsi="標楷體"/>
          <w:b w:val="0"/>
          <w:color w:val="000000" w:themeColor="text1"/>
          <w:sz w:val="24"/>
          <w:szCs w:val="24"/>
        </w:rPr>
        <w:t>40</w:t>
      </w:r>
      <w:r w:rsidR="00EF1AEF" w:rsidRPr="00FF0427">
        <w:rPr>
          <w:rFonts w:ascii="標楷體" w:hAnsi="標楷體" w:hint="eastAsia"/>
          <w:b w:val="0"/>
          <w:color w:val="000000" w:themeColor="text1"/>
          <w:sz w:val="24"/>
          <w:szCs w:val="24"/>
        </w:rPr>
        <w:t>項，經賡續追蹤查核實際辦理結果，仍待繼續改善者</w:t>
      </w:r>
      <w:r w:rsidR="00FF0427">
        <w:rPr>
          <w:rFonts w:ascii="標楷體" w:hAnsi="標楷體"/>
          <w:b w:val="0"/>
          <w:color w:val="000000" w:themeColor="text1"/>
          <w:sz w:val="24"/>
          <w:szCs w:val="24"/>
        </w:rPr>
        <w:t>4</w:t>
      </w:r>
      <w:r w:rsidR="00EF1AEF" w:rsidRPr="00FF0427">
        <w:rPr>
          <w:rFonts w:ascii="標楷體" w:hAnsi="標楷體" w:hint="eastAsia"/>
          <w:b w:val="0"/>
          <w:color w:val="000000" w:themeColor="text1"/>
          <w:sz w:val="24"/>
          <w:szCs w:val="24"/>
        </w:rPr>
        <w:t>項、</w:t>
      </w:r>
      <w:r w:rsidR="00D53C51" w:rsidRPr="00FF0427">
        <w:rPr>
          <w:rFonts w:ascii="標楷體" w:hAnsi="標楷體" w:hint="eastAsia"/>
          <w:b w:val="0"/>
          <w:color w:val="000000" w:themeColor="text1"/>
          <w:sz w:val="24"/>
          <w:szCs w:val="24"/>
        </w:rPr>
        <w:t>處理中</w:t>
      </w:r>
      <w:r w:rsidR="00FF0427">
        <w:rPr>
          <w:rFonts w:ascii="標楷體" w:hAnsi="標楷體"/>
          <w:b w:val="0"/>
          <w:color w:val="000000" w:themeColor="text1"/>
          <w:sz w:val="24"/>
          <w:szCs w:val="24"/>
        </w:rPr>
        <w:t>7</w:t>
      </w:r>
      <w:r w:rsidR="00D53C51" w:rsidRPr="00FF0427">
        <w:rPr>
          <w:rFonts w:ascii="標楷體" w:hAnsi="標楷體" w:hint="eastAsia"/>
          <w:b w:val="0"/>
          <w:color w:val="000000" w:themeColor="text1"/>
          <w:sz w:val="24"/>
          <w:szCs w:val="24"/>
        </w:rPr>
        <w:t>項、</w:t>
      </w:r>
      <w:r w:rsidR="00832971" w:rsidRPr="00FF0427">
        <w:rPr>
          <w:rFonts w:ascii="標楷體" w:hAnsi="標楷體" w:hint="eastAsia"/>
          <w:b w:val="0"/>
          <w:color w:val="000000" w:themeColor="text1"/>
          <w:sz w:val="24"/>
          <w:szCs w:val="24"/>
        </w:rPr>
        <w:t>已</w:t>
      </w:r>
      <w:r w:rsidR="00EF1AEF" w:rsidRPr="00FF0427">
        <w:rPr>
          <w:rFonts w:ascii="標楷體" w:hAnsi="標楷體" w:hint="eastAsia"/>
          <w:b w:val="0"/>
          <w:color w:val="000000" w:themeColor="text1"/>
          <w:sz w:val="24"/>
          <w:szCs w:val="24"/>
        </w:rPr>
        <w:t>研謀改善或依改善措施持續辦理者</w:t>
      </w:r>
      <w:r w:rsidR="00D53C51" w:rsidRPr="00FF0427">
        <w:rPr>
          <w:rFonts w:ascii="標楷體" w:hAnsi="標楷體"/>
          <w:b w:val="0"/>
          <w:color w:val="000000" w:themeColor="text1"/>
          <w:sz w:val="24"/>
          <w:szCs w:val="24"/>
        </w:rPr>
        <w:t>29</w:t>
      </w:r>
      <w:r w:rsidR="00EF1AEF" w:rsidRPr="00FF0427">
        <w:rPr>
          <w:rFonts w:ascii="標楷體" w:hAnsi="標楷體" w:hint="eastAsia"/>
          <w:b w:val="0"/>
          <w:color w:val="000000" w:themeColor="text1"/>
          <w:sz w:val="24"/>
          <w:szCs w:val="24"/>
        </w:rPr>
        <w:t>項（</w:t>
      </w:r>
      <w:r w:rsidR="00821BB0" w:rsidRPr="00463203">
        <w:rPr>
          <w:rFonts w:ascii="標楷體" w:hAnsi="標楷體" w:hint="eastAsia"/>
          <w:b w:val="0"/>
          <w:color w:val="000000" w:themeColor="text1"/>
          <w:sz w:val="24"/>
          <w:szCs w:val="24"/>
        </w:rPr>
        <w:t>表</w:t>
      </w:r>
      <w:r w:rsidR="00FD1F79" w:rsidRPr="00463203">
        <w:rPr>
          <w:rFonts w:ascii="標楷體" w:hAnsi="標楷體" w:hint="eastAsia"/>
          <w:b w:val="0"/>
          <w:color w:val="000000" w:themeColor="text1"/>
          <w:sz w:val="24"/>
          <w:szCs w:val="24"/>
        </w:rPr>
        <w:t>4</w:t>
      </w:r>
      <w:r w:rsidR="009821F7" w:rsidRPr="00463203">
        <w:rPr>
          <w:rFonts w:ascii="標楷體" w:hAnsi="標楷體" w:hint="eastAsia"/>
          <w:b w:val="0"/>
          <w:color w:val="000000" w:themeColor="text1"/>
          <w:sz w:val="24"/>
          <w:szCs w:val="24"/>
        </w:rPr>
        <w:t>4</w:t>
      </w:r>
      <w:r w:rsidR="00EF1AEF" w:rsidRPr="00FF0427">
        <w:rPr>
          <w:rFonts w:ascii="標楷體" w:hAnsi="標楷體" w:hint="eastAsia"/>
          <w:b w:val="0"/>
          <w:color w:val="000000" w:themeColor="text1"/>
          <w:sz w:val="24"/>
          <w:szCs w:val="24"/>
        </w:rPr>
        <w:t>），其中仍待繼續改善者，經再研提審核意見</w:t>
      </w:r>
      <w:r w:rsidR="00FF0427">
        <w:rPr>
          <w:rFonts w:ascii="標楷體" w:hAnsi="標楷體"/>
          <w:b w:val="0"/>
          <w:color w:val="000000" w:themeColor="text1"/>
          <w:sz w:val="24"/>
          <w:szCs w:val="24"/>
        </w:rPr>
        <w:t>5</w:t>
      </w:r>
      <w:r w:rsidR="00EF1AEF" w:rsidRPr="00FF0427">
        <w:rPr>
          <w:rFonts w:ascii="標楷體" w:hAnsi="標楷體" w:hint="eastAsia"/>
          <w:b w:val="0"/>
          <w:color w:val="000000" w:themeColor="text1"/>
          <w:sz w:val="24"/>
          <w:szCs w:val="24"/>
        </w:rPr>
        <w:t>項通知檢討改善。</w:t>
      </w:r>
    </w:p>
    <w:p w14:paraId="70E451F2" w14:textId="7DE8FE76" w:rsidR="00215CEF" w:rsidRPr="00FF0427" w:rsidRDefault="00821BB0" w:rsidP="001E782A">
      <w:pPr>
        <w:overflowPunct w:val="0"/>
        <w:spacing w:beforeLines="50" w:before="180" w:afterLines="30" w:after="108" w:line="240" w:lineRule="exact"/>
        <w:jc w:val="center"/>
        <w:rPr>
          <w:rFonts w:ascii="標楷體" w:eastAsia="標楷體" w:hAnsi="標楷體"/>
          <w:b/>
          <w:color w:val="000000" w:themeColor="text1"/>
          <w:szCs w:val="24"/>
        </w:rPr>
      </w:pPr>
      <w:r w:rsidRPr="00FF0427">
        <w:rPr>
          <w:rFonts w:ascii="標楷體" w:eastAsia="標楷體" w:hAnsi="標楷體" w:hint="eastAsia"/>
          <w:b/>
          <w:color w:val="000000" w:themeColor="text1"/>
          <w:szCs w:val="24"/>
        </w:rPr>
        <w:t>表</w:t>
      </w:r>
      <w:r w:rsidR="00FD1F79">
        <w:rPr>
          <w:rFonts w:ascii="標楷體" w:eastAsia="標楷體" w:hAnsi="標楷體" w:hint="eastAsia"/>
          <w:b/>
          <w:color w:val="000000" w:themeColor="text1"/>
          <w:szCs w:val="24"/>
        </w:rPr>
        <w:t>4</w:t>
      </w:r>
      <w:r w:rsidR="009821F7">
        <w:rPr>
          <w:rFonts w:ascii="標楷體" w:eastAsia="標楷體" w:hAnsi="標楷體" w:hint="eastAsia"/>
          <w:b/>
          <w:color w:val="000000" w:themeColor="text1"/>
          <w:szCs w:val="24"/>
        </w:rPr>
        <w:t>4</w:t>
      </w:r>
      <w:r w:rsidR="00215CEF" w:rsidRPr="00FF0427">
        <w:rPr>
          <w:rFonts w:ascii="標楷體" w:eastAsia="標楷體" w:hAnsi="標楷體" w:hint="eastAsia"/>
          <w:b/>
          <w:color w:val="000000" w:themeColor="text1"/>
          <w:szCs w:val="24"/>
        </w:rPr>
        <w:t xml:space="preserve">　</w:t>
      </w:r>
      <w:r w:rsidR="00215CEF" w:rsidRPr="00FF0427">
        <w:rPr>
          <w:rFonts w:ascii="標楷體" w:eastAsia="標楷體" w:hAnsi="標楷體"/>
          <w:b/>
          <w:color w:val="000000" w:themeColor="text1"/>
          <w:szCs w:val="24"/>
        </w:rPr>
        <w:t>1</w:t>
      </w:r>
      <w:r w:rsidR="00516442" w:rsidRPr="00FF0427">
        <w:rPr>
          <w:rFonts w:ascii="標楷體" w:eastAsia="標楷體" w:hAnsi="標楷體" w:hint="eastAsia"/>
          <w:b/>
          <w:color w:val="000000" w:themeColor="text1"/>
          <w:szCs w:val="24"/>
        </w:rPr>
        <w:t>1</w:t>
      </w:r>
      <w:r w:rsidR="00255CDC">
        <w:rPr>
          <w:rFonts w:ascii="標楷體" w:eastAsia="標楷體" w:hAnsi="標楷體" w:hint="eastAsia"/>
          <w:b/>
          <w:color w:val="000000" w:themeColor="text1"/>
          <w:szCs w:val="24"/>
        </w:rPr>
        <w:t>1</w:t>
      </w:r>
      <w:r w:rsidR="00940033" w:rsidRPr="00FF0427">
        <w:rPr>
          <w:rFonts w:ascii="標楷體" w:eastAsia="標楷體" w:hAnsi="標楷體" w:hint="eastAsia"/>
          <w:b/>
          <w:color w:val="000000" w:themeColor="text1"/>
          <w:szCs w:val="24"/>
        </w:rPr>
        <w:t>年度審核報告所列行政院主管</w:t>
      </w:r>
      <w:r w:rsidR="00F76707" w:rsidRPr="00FF0427">
        <w:rPr>
          <w:rFonts w:ascii="標楷體" w:eastAsia="標楷體" w:hAnsi="標楷體" w:hint="eastAsia"/>
          <w:b/>
          <w:color w:val="000000" w:themeColor="text1"/>
          <w:szCs w:val="24"/>
        </w:rPr>
        <w:t>普通公務相關</w:t>
      </w:r>
      <w:r w:rsidR="00940033" w:rsidRPr="00FF0427">
        <w:rPr>
          <w:rFonts w:ascii="標楷體" w:eastAsia="標楷體" w:hAnsi="標楷體" w:hint="eastAsia"/>
          <w:b/>
          <w:color w:val="000000" w:themeColor="text1"/>
          <w:szCs w:val="24"/>
        </w:rPr>
        <w:t>重要審核意見覆核辦理情形</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96"/>
        <w:gridCol w:w="3827"/>
      </w:tblGrid>
      <w:tr w:rsidR="007A6350" w:rsidRPr="00FF0427" w14:paraId="6989050C" w14:textId="77777777" w:rsidTr="00DA2751">
        <w:trPr>
          <w:trHeight w:val="20"/>
          <w:tblHeader/>
        </w:trPr>
        <w:tc>
          <w:tcPr>
            <w:tcW w:w="6096" w:type="dxa"/>
            <w:tcBorders>
              <w:top w:val="single" w:sz="4" w:space="0" w:color="auto"/>
              <w:left w:val="single" w:sz="4" w:space="0" w:color="auto"/>
              <w:bottom w:val="single" w:sz="4" w:space="0" w:color="auto"/>
              <w:right w:val="single" w:sz="4" w:space="0" w:color="auto"/>
            </w:tcBorders>
            <w:vAlign w:val="center"/>
          </w:tcPr>
          <w:p w14:paraId="0228AFEC" w14:textId="77777777" w:rsidR="00215CEF" w:rsidRPr="00FF0427" w:rsidRDefault="00215CEF" w:rsidP="001E782A">
            <w:pPr>
              <w:overflowPunct w:val="0"/>
              <w:spacing w:line="320" w:lineRule="exact"/>
              <w:jc w:val="center"/>
              <w:rPr>
                <w:rFonts w:ascii="標楷體" w:eastAsia="標楷體" w:hAnsi="標楷體"/>
                <w:color w:val="000000" w:themeColor="text1"/>
                <w:sz w:val="20"/>
              </w:rPr>
            </w:pPr>
            <w:r w:rsidRPr="00FF0427">
              <w:rPr>
                <w:rFonts w:ascii="標楷體" w:eastAsia="標楷體" w:hAnsi="標楷體" w:hint="eastAsia"/>
                <w:color w:val="000000" w:themeColor="text1"/>
                <w:sz w:val="20"/>
              </w:rPr>
              <w:t>重要審核意見標題</w:t>
            </w:r>
          </w:p>
        </w:tc>
        <w:tc>
          <w:tcPr>
            <w:tcW w:w="3827" w:type="dxa"/>
            <w:tcBorders>
              <w:top w:val="single" w:sz="4" w:space="0" w:color="auto"/>
              <w:left w:val="single" w:sz="4" w:space="0" w:color="auto"/>
              <w:bottom w:val="single" w:sz="4" w:space="0" w:color="auto"/>
              <w:right w:val="single" w:sz="4" w:space="0" w:color="auto"/>
            </w:tcBorders>
            <w:vAlign w:val="center"/>
          </w:tcPr>
          <w:p w14:paraId="6DF19FB6" w14:textId="77777777" w:rsidR="00215CEF" w:rsidRPr="00FF0427" w:rsidRDefault="00215CEF" w:rsidP="001E782A">
            <w:pPr>
              <w:overflowPunct w:val="0"/>
              <w:spacing w:line="320" w:lineRule="exact"/>
              <w:jc w:val="center"/>
              <w:rPr>
                <w:rFonts w:ascii="標楷體" w:eastAsia="標楷體" w:hAnsi="標楷體"/>
                <w:color w:val="000000" w:themeColor="text1"/>
                <w:sz w:val="20"/>
              </w:rPr>
            </w:pPr>
            <w:r w:rsidRPr="00FF0427">
              <w:rPr>
                <w:rFonts w:ascii="標楷體" w:eastAsia="標楷體" w:hAnsi="標楷體" w:hint="eastAsia"/>
                <w:color w:val="000000" w:themeColor="text1"/>
                <w:sz w:val="20"/>
              </w:rPr>
              <w:t>說明</w:t>
            </w:r>
          </w:p>
        </w:tc>
      </w:tr>
      <w:tr w:rsidR="007A6350" w:rsidRPr="00FF0427" w14:paraId="6C7204F7" w14:textId="77777777" w:rsidTr="00DA2751">
        <w:trPr>
          <w:trHeight w:val="20"/>
        </w:trPr>
        <w:tc>
          <w:tcPr>
            <w:tcW w:w="6096" w:type="dxa"/>
            <w:tcBorders>
              <w:top w:val="single" w:sz="4" w:space="0" w:color="auto"/>
              <w:left w:val="single" w:sz="4" w:space="0" w:color="auto"/>
              <w:bottom w:val="single" w:sz="4" w:space="0" w:color="auto"/>
              <w:right w:val="nil"/>
            </w:tcBorders>
            <w:vAlign w:val="center"/>
          </w:tcPr>
          <w:p w14:paraId="48939EE9" w14:textId="77777777" w:rsidR="00215CEF" w:rsidRPr="00FF0427" w:rsidRDefault="00215CEF" w:rsidP="001E782A">
            <w:pPr>
              <w:overflowPunct w:val="0"/>
              <w:spacing w:line="320" w:lineRule="exact"/>
              <w:ind w:left="294" w:hanging="318"/>
              <w:jc w:val="both"/>
              <w:rPr>
                <w:rFonts w:ascii="標楷體" w:eastAsia="標楷體" w:hAnsi="標楷體"/>
                <w:b/>
                <w:color w:val="000000" w:themeColor="text1"/>
                <w:sz w:val="20"/>
              </w:rPr>
            </w:pPr>
            <w:r w:rsidRPr="00FF0427">
              <w:rPr>
                <w:rFonts w:ascii="標楷體" w:eastAsia="標楷體" w:hAnsi="標楷體" w:hint="eastAsia"/>
                <w:b/>
                <w:noProof/>
                <w:color w:val="000000" w:themeColor="text1"/>
                <w:sz w:val="20"/>
              </w:rPr>
              <w:t>仍待繼續改善</w:t>
            </w:r>
          </w:p>
        </w:tc>
        <w:tc>
          <w:tcPr>
            <w:tcW w:w="3827" w:type="dxa"/>
            <w:tcBorders>
              <w:top w:val="single" w:sz="4" w:space="0" w:color="auto"/>
              <w:left w:val="nil"/>
              <w:bottom w:val="single" w:sz="4" w:space="0" w:color="auto"/>
              <w:right w:val="single" w:sz="4" w:space="0" w:color="auto"/>
            </w:tcBorders>
            <w:vAlign w:val="center"/>
          </w:tcPr>
          <w:p w14:paraId="62442CA8" w14:textId="77777777" w:rsidR="00215CEF" w:rsidRPr="00FF0427" w:rsidRDefault="00215CEF" w:rsidP="001E782A">
            <w:pPr>
              <w:overflowPunct w:val="0"/>
              <w:spacing w:line="320" w:lineRule="exact"/>
              <w:jc w:val="both"/>
              <w:rPr>
                <w:rFonts w:ascii="標楷體" w:eastAsia="標楷體" w:hAnsi="標楷體"/>
                <w:b/>
                <w:color w:val="000000" w:themeColor="text1"/>
                <w:sz w:val="20"/>
              </w:rPr>
            </w:pPr>
          </w:p>
        </w:tc>
      </w:tr>
      <w:tr w:rsidR="00B32084" w:rsidRPr="00FF0427" w14:paraId="14B19B07" w14:textId="77777777" w:rsidTr="00DA2751">
        <w:trPr>
          <w:trHeight w:val="20"/>
        </w:trPr>
        <w:tc>
          <w:tcPr>
            <w:tcW w:w="6096" w:type="dxa"/>
            <w:tcBorders>
              <w:top w:val="single" w:sz="4" w:space="0" w:color="auto"/>
              <w:left w:val="single" w:sz="4" w:space="0" w:color="auto"/>
              <w:bottom w:val="single" w:sz="4" w:space="0" w:color="auto"/>
              <w:right w:val="single" w:sz="4" w:space="0" w:color="auto"/>
            </w:tcBorders>
          </w:tcPr>
          <w:p w14:paraId="330C5576" w14:textId="530CDD66" w:rsidR="00B32084" w:rsidRPr="00FF0427" w:rsidRDefault="00425723" w:rsidP="000808C7">
            <w:pPr>
              <w:overflowPunct w:val="0"/>
              <w:snapToGrid w:val="0"/>
              <w:spacing w:beforeLines="10" w:before="36" w:afterLines="10" w:after="36" w:line="270" w:lineRule="exact"/>
              <w:ind w:left="520" w:hangingChars="260" w:hanging="520"/>
              <w:jc w:val="both"/>
              <w:rPr>
                <w:rFonts w:ascii="標楷體" w:eastAsia="標楷體" w:hAnsi="標楷體"/>
                <w:color w:val="000000" w:themeColor="text1"/>
                <w:sz w:val="20"/>
              </w:rPr>
            </w:pPr>
            <w:r>
              <w:rPr>
                <w:rFonts w:ascii="標楷體" w:eastAsia="標楷體" w:hAnsi="標楷體" w:hint="eastAsia"/>
                <w:noProof/>
                <w:color w:val="000000" w:themeColor="text1"/>
                <w:sz w:val="20"/>
              </w:rPr>
              <w:t>（一）</w:t>
            </w:r>
            <w:r w:rsidRPr="00425723">
              <w:rPr>
                <w:rFonts w:ascii="標楷體" w:eastAsia="標楷體" w:hAnsi="標楷體" w:hint="eastAsia"/>
                <w:noProof/>
                <w:color w:val="000000" w:themeColor="text1"/>
                <w:sz w:val="20"/>
              </w:rPr>
              <w:t>政府為改善所得分配推動多項因應對策，惟受僱人員報酬占GDP比率創10年新低，復以部分上市櫃公司獲利成長與員工福利待遇提升存有落差，又受通貨膨脹影響，民生消費物資價格上漲，兼以房價連年攀升，加劇可支配所得差距，允宜持續推動各項政策，逐步減緩所得分配不均</w:t>
            </w:r>
            <w:r w:rsidR="00B32084" w:rsidRPr="00FF0427">
              <w:rPr>
                <w:rFonts w:ascii="標楷體" w:eastAsia="標楷體" w:hAnsi="標楷體" w:hint="eastAsia"/>
                <w:noProof/>
                <w:color w:val="000000" w:themeColor="text1"/>
                <w:sz w:val="20"/>
              </w:rPr>
              <w:t>。</w:t>
            </w:r>
          </w:p>
        </w:tc>
        <w:tc>
          <w:tcPr>
            <w:tcW w:w="3827" w:type="dxa"/>
            <w:tcBorders>
              <w:top w:val="single" w:sz="4" w:space="0" w:color="auto"/>
              <w:left w:val="single" w:sz="4" w:space="0" w:color="auto"/>
              <w:bottom w:val="single" w:sz="4" w:space="0" w:color="auto"/>
              <w:right w:val="single" w:sz="4" w:space="0" w:color="auto"/>
            </w:tcBorders>
          </w:tcPr>
          <w:p w14:paraId="7B375480" w14:textId="566D31B8" w:rsidR="00B32084" w:rsidRPr="00FF0427" w:rsidRDefault="00425723" w:rsidP="00425723">
            <w:pPr>
              <w:overflowPunct w:val="0"/>
              <w:snapToGrid w:val="0"/>
              <w:spacing w:line="270" w:lineRule="exact"/>
              <w:jc w:val="both"/>
              <w:rPr>
                <w:rFonts w:ascii="標楷體" w:eastAsia="標楷體" w:hAnsi="標楷體"/>
                <w:noProof/>
                <w:color w:val="000000" w:themeColor="text1"/>
                <w:sz w:val="20"/>
              </w:rPr>
            </w:pPr>
            <w:r w:rsidRPr="00425723">
              <w:rPr>
                <w:rFonts w:ascii="標楷體" w:eastAsia="標楷體" w:hAnsi="標楷體" w:hint="eastAsia"/>
                <w:noProof/>
                <w:color w:val="000000" w:themeColor="text1"/>
                <w:sz w:val="20"/>
              </w:rPr>
              <w:t>因所得差距未見改善，業再研提審核意見詳「</w:t>
            </w:r>
            <w:r>
              <w:rPr>
                <w:rFonts w:ascii="標楷體" w:eastAsia="標楷體" w:hAnsi="標楷體" w:hint="eastAsia"/>
                <w:noProof/>
                <w:color w:val="000000" w:themeColor="text1"/>
                <w:sz w:val="20"/>
              </w:rPr>
              <w:t>四</w:t>
            </w:r>
            <w:r w:rsidRPr="00425723">
              <w:rPr>
                <w:rFonts w:ascii="標楷體" w:eastAsia="標楷體" w:hAnsi="標楷體" w:hint="eastAsia"/>
                <w:noProof/>
                <w:color w:val="000000" w:themeColor="text1"/>
                <w:sz w:val="20"/>
              </w:rPr>
              <w:t>、重要審核意見（</w:t>
            </w:r>
            <w:r w:rsidR="00F7013F">
              <w:rPr>
                <w:rFonts w:ascii="標楷體" w:eastAsia="標楷體" w:hAnsi="標楷體" w:hint="eastAsia"/>
                <w:noProof/>
                <w:color w:val="000000" w:themeColor="text1"/>
                <w:sz w:val="20"/>
              </w:rPr>
              <w:t>二）、（三</w:t>
            </w:r>
            <w:r w:rsidRPr="00425723">
              <w:rPr>
                <w:rFonts w:ascii="標楷體" w:eastAsia="標楷體" w:hAnsi="標楷體" w:hint="eastAsia"/>
                <w:noProof/>
                <w:color w:val="000000" w:themeColor="text1"/>
                <w:sz w:val="20"/>
              </w:rPr>
              <w:t>）」</w:t>
            </w:r>
            <w:r w:rsidR="00B32084" w:rsidRPr="00FF0427">
              <w:rPr>
                <w:rFonts w:ascii="標楷體" w:eastAsia="標楷體" w:hAnsi="標楷體" w:hint="eastAsia"/>
                <w:noProof/>
                <w:color w:val="000000" w:themeColor="text1"/>
                <w:sz w:val="20"/>
              </w:rPr>
              <w:t>。</w:t>
            </w:r>
          </w:p>
        </w:tc>
      </w:tr>
      <w:tr w:rsidR="007A6350" w:rsidRPr="00FF0427" w14:paraId="34D10773" w14:textId="77777777" w:rsidTr="00DA2751">
        <w:trPr>
          <w:trHeight w:val="20"/>
        </w:trPr>
        <w:tc>
          <w:tcPr>
            <w:tcW w:w="6096" w:type="dxa"/>
            <w:tcBorders>
              <w:top w:val="single" w:sz="4" w:space="0" w:color="auto"/>
              <w:left w:val="single" w:sz="4" w:space="0" w:color="auto"/>
              <w:bottom w:val="single" w:sz="4" w:space="0" w:color="auto"/>
              <w:right w:val="single" w:sz="4" w:space="0" w:color="auto"/>
            </w:tcBorders>
          </w:tcPr>
          <w:p w14:paraId="6D35730F" w14:textId="4AE7BDDA" w:rsidR="00E16D34" w:rsidRPr="00FF0427" w:rsidRDefault="00B529E4" w:rsidP="00425723">
            <w:pPr>
              <w:overflowPunct w:val="0"/>
              <w:snapToGrid w:val="0"/>
              <w:spacing w:beforeLines="10" w:before="36" w:afterLines="10" w:after="36" w:line="270" w:lineRule="exact"/>
              <w:ind w:left="600" w:hangingChars="300" w:hanging="600"/>
              <w:jc w:val="both"/>
              <w:rPr>
                <w:rFonts w:ascii="標楷體" w:eastAsia="標楷體" w:hAnsi="標楷體"/>
                <w:color w:val="000000" w:themeColor="text1"/>
                <w:sz w:val="20"/>
              </w:rPr>
            </w:pPr>
            <w:r w:rsidRPr="00FF0427">
              <w:rPr>
                <w:rFonts w:ascii="標楷體" w:eastAsia="標楷體" w:hAnsi="標楷體" w:hint="eastAsia"/>
                <w:color w:val="000000" w:themeColor="text1"/>
                <w:sz w:val="20"/>
              </w:rPr>
              <w:t>（</w:t>
            </w:r>
            <w:r w:rsidR="009F4E49" w:rsidRPr="00FF0427">
              <w:rPr>
                <w:rFonts w:ascii="標楷體" w:eastAsia="標楷體" w:hAnsi="標楷體" w:hint="eastAsia"/>
                <w:color w:val="000000" w:themeColor="text1"/>
                <w:sz w:val="20"/>
              </w:rPr>
              <w:t>二</w:t>
            </w:r>
            <w:r w:rsidRPr="00FF0427">
              <w:rPr>
                <w:rFonts w:ascii="標楷體" w:eastAsia="標楷體" w:hAnsi="標楷體" w:hint="eastAsia"/>
                <w:color w:val="000000" w:themeColor="text1"/>
                <w:sz w:val="20"/>
              </w:rPr>
              <w:t>）</w:t>
            </w:r>
            <w:r w:rsidR="00425723" w:rsidRPr="00425723">
              <w:rPr>
                <w:rFonts w:ascii="標楷體" w:eastAsia="標楷體" w:hAnsi="標楷體" w:hint="eastAsia"/>
                <w:color w:val="000000" w:themeColor="text1"/>
                <w:sz w:val="20"/>
              </w:rPr>
              <w:t>政府推動能源轉型提高再生能源發電占比，惟未積極盤點中央及地方轄管工業區可參與設置屋頂型太陽光電之廠房及容量，另儲能系統攸關再生能源發展及電力穩定，尚未訂定扶植國內供應鏈相關措施，儲能案場之安全管理機制亦待強化，允宜研謀因應，以促進綠電發展及穩定供電</w:t>
            </w:r>
            <w:r w:rsidRPr="00FF0427">
              <w:rPr>
                <w:rFonts w:ascii="標楷體" w:eastAsia="標楷體" w:hAnsi="標楷體" w:hint="eastAsia"/>
                <w:color w:val="000000" w:themeColor="text1"/>
                <w:sz w:val="20"/>
              </w:rPr>
              <w:t>。</w:t>
            </w:r>
          </w:p>
        </w:tc>
        <w:tc>
          <w:tcPr>
            <w:tcW w:w="3827" w:type="dxa"/>
            <w:tcBorders>
              <w:top w:val="single" w:sz="4" w:space="0" w:color="auto"/>
              <w:left w:val="single" w:sz="4" w:space="0" w:color="auto"/>
              <w:bottom w:val="single" w:sz="4" w:space="0" w:color="auto"/>
              <w:right w:val="single" w:sz="4" w:space="0" w:color="auto"/>
            </w:tcBorders>
          </w:tcPr>
          <w:p w14:paraId="368C060E" w14:textId="0AB26ACE" w:rsidR="00886E37" w:rsidRPr="00FF0427" w:rsidRDefault="00425723" w:rsidP="001E782A">
            <w:pPr>
              <w:overflowPunct w:val="0"/>
              <w:snapToGrid w:val="0"/>
              <w:spacing w:line="270" w:lineRule="exact"/>
              <w:jc w:val="both"/>
              <w:rPr>
                <w:rFonts w:ascii="標楷體" w:eastAsia="標楷體" w:hAnsi="標楷體"/>
                <w:noProof/>
                <w:color w:val="000000" w:themeColor="text1"/>
                <w:sz w:val="20"/>
              </w:rPr>
            </w:pPr>
            <w:r w:rsidRPr="00425723">
              <w:rPr>
                <w:rFonts w:ascii="標楷體" w:eastAsia="標楷體" w:hAnsi="標楷體" w:hint="eastAsia"/>
                <w:noProof/>
                <w:color w:val="000000" w:themeColor="text1"/>
                <w:sz w:val="20"/>
              </w:rPr>
              <w:t>因國內太陽光電建置仍未達成整體預計目標，且差額逐年擴大，業再研提審核意見詳「</w:t>
            </w:r>
            <w:r>
              <w:rPr>
                <w:rFonts w:ascii="標楷體" w:eastAsia="標楷體" w:hAnsi="標楷體" w:hint="eastAsia"/>
                <w:noProof/>
                <w:color w:val="000000" w:themeColor="text1"/>
                <w:sz w:val="20"/>
              </w:rPr>
              <w:t>四、重要審核意見（</w:t>
            </w:r>
            <w:r w:rsidR="00F7013F">
              <w:rPr>
                <w:rFonts w:ascii="標楷體" w:eastAsia="標楷體" w:hAnsi="標楷體" w:hint="eastAsia"/>
                <w:noProof/>
                <w:color w:val="000000" w:themeColor="text1"/>
                <w:sz w:val="20"/>
              </w:rPr>
              <w:t>十一</w:t>
            </w:r>
            <w:r>
              <w:rPr>
                <w:rFonts w:ascii="標楷體" w:eastAsia="標楷體" w:hAnsi="標楷體" w:hint="eastAsia"/>
                <w:noProof/>
                <w:color w:val="000000" w:themeColor="text1"/>
                <w:sz w:val="20"/>
              </w:rPr>
              <w:t>）</w:t>
            </w:r>
            <w:r w:rsidRPr="00425723">
              <w:rPr>
                <w:rFonts w:ascii="標楷體" w:eastAsia="標楷體" w:hAnsi="標楷體" w:hint="eastAsia"/>
                <w:noProof/>
                <w:color w:val="000000" w:themeColor="text1"/>
                <w:sz w:val="20"/>
              </w:rPr>
              <w:t>」</w:t>
            </w:r>
            <w:r w:rsidR="00B529E4" w:rsidRPr="00FF0427">
              <w:rPr>
                <w:rFonts w:ascii="標楷體" w:eastAsia="標楷體" w:hAnsi="標楷體" w:hint="eastAsia"/>
                <w:noProof/>
                <w:color w:val="000000" w:themeColor="text1"/>
                <w:sz w:val="20"/>
              </w:rPr>
              <w:t>。</w:t>
            </w:r>
          </w:p>
        </w:tc>
      </w:tr>
      <w:tr w:rsidR="007A6350" w:rsidRPr="00FF0427" w14:paraId="1DF8834A" w14:textId="65BA2EC8" w:rsidTr="00DA2751">
        <w:trPr>
          <w:trHeight w:val="20"/>
        </w:trPr>
        <w:tc>
          <w:tcPr>
            <w:tcW w:w="6096" w:type="dxa"/>
            <w:tcBorders>
              <w:top w:val="single" w:sz="4" w:space="0" w:color="auto"/>
              <w:left w:val="single" w:sz="4" w:space="0" w:color="auto"/>
              <w:bottom w:val="single" w:sz="4" w:space="0" w:color="auto"/>
              <w:right w:val="single" w:sz="4" w:space="0" w:color="auto"/>
            </w:tcBorders>
          </w:tcPr>
          <w:p w14:paraId="5217A1BD" w14:textId="2BD69D3A" w:rsidR="00886E37" w:rsidRPr="00FF0427" w:rsidRDefault="00E31009" w:rsidP="00425723">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sidR="009F4E49" w:rsidRPr="00FF0427">
              <w:rPr>
                <w:rFonts w:ascii="標楷體" w:eastAsia="標楷體" w:hAnsi="標楷體" w:hint="eastAsia"/>
                <w:noProof/>
                <w:color w:val="000000" w:themeColor="text1"/>
                <w:sz w:val="20"/>
              </w:rPr>
              <w:t>三</w:t>
            </w:r>
            <w:r w:rsidRPr="00FF0427">
              <w:rPr>
                <w:rFonts w:ascii="標楷體" w:eastAsia="標楷體" w:hAnsi="標楷體" w:hint="eastAsia"/>
                <w:noProof/>
                <w:color w:val="000000" w:themeColor="text1"/>
                <w:sz w:val="20"/>
              </w:rPr>
              <w:t>）</w:t>
            </w:r>
            <w:r w:rsidR="00425723" w:rsidRPr="00425723">
              <w:rPr>
                <w:rFonts w:ascii="標楷體" w:eastAsia="標楷體" w:hAnsi="標楷體" w:hint="eastAsia"/>
                <w:noProof/>
                <w:color w:val="000000" w:themeColor="text1"/>
                <w:sz w:val="20"/>
              </w:rPr>
              <w:t>政府推動科技發展計畫，已有效提升我國整體競爭力，惟部分計畫執行進度落後，或未達年度績效指標，或目標與關鍵成果訂定未盡妥適；又部分機關未落實科技發展計畫之管制評核作業，不利提升計畫執行成效，允宜督促強化計畫審議及管考，以增進科研資源運用效能</w:t>
            </w:r>
            <w:r w:rsidRPr="00FF0427">
              <w:rPr>
                <w:rFonts w:ascii="標楷體" w:eastAsia="標楷體" w:hAnsi="標楷體" w:hint="eastAsia"/>
                <w:noProof/>
                <w:color w:val="000000" w:themeColor="text1"/>
                <w:sz w:val="20"/>
              </w:rPr>
              <w:t>。</w:t>
            </w:r>
          </w:p>
        </w:tc>
        <w:tc>
          <w:tcPr>
            <w:tcW w:w="3827" w:type="dxa"/>
            <w:tcBorders>
              <w:top w:val="single" w:sz="4" w:space="0" w:color="auto"/>
              <w:left w:val="single" w:sz="4" w:space="0" w:color="auto"/>
              <w:bottom w:val="single" w:sz="4" w:space="0" w:color="auto"/>
              <w:right w:val="single" w:sz="4" w:space="0" w:color="auto"/>
            </w:tcBorders>
          </w:tcPr>
          <w:p w14:paraId="6FA4BD21" w14:textId="15E284AB" w:rsidR="00886E37" w:rsidRPr="00FF0427" w:rsidRDefault="00425723" w:rsidP="001E782A">
            <w:pPr>
              <w:overflowPunct w:val="0"/>
              <w:snapToGrid w:val="0"/>
              <w:spacing w:line="270" w:lineRule="exact"/>
              <w:jc w:val="both"/>
              <w:rPr>
                <w:rFonts w:ascii="標楷體" w:eastAsia="標楷體" w:hAnsi="標楷體"/>
                <w:noProof/>
                <w:color w:val="000000" w:themeColor="text1"/>
                <w:sz w:val="20"/>
              </w:rPr>
            </w:pPr>
            <w:r w:rsidRPr="00425723">
              <w:rPr>
                <w:rFonts w:ascii="標楷體" w:eastAsia="標楷體" w:hAnsi="標楷體" w:hint="eastAsia"/>
                <w:noProof/>
                <w:color w:val="000000" w:themeColor="text1"/>
                <w:sz w:val="20"/>
              </w:rPr>
              <w:t>因尚有部分計畫執行進度落後</w:t>
            </w:r>
            <w:r>
              <w:rPr>
                <w:rFonts w:ascii="標楷體" w:eastAsia="標楷體" w:hAnsi="標楷體" w:hint="eastAsia"/>
                <w:noProof/>
                <w:color w:val="000000" w:themeColor="text1"/>
                <w:sz w:val="20"/>
              </w:rPr>
              <w:t>，或未達年度績效目標，又部分機關未落實檢討計畫退場等，業再研提</w:t>
            </w:r>
            <w:r w:rsidR="00EC39C2">
              <w:rPr>
                <w:rFonts w:ascii="標楷體" w:eastAsia="標楷體" w:hAnsi="標楷體" w:hint="eastAsia"/>
                <w:noProof/>
                <w:color w:val="000000" w:themeColor="text1"/>
                <w:sz w:val="20"/>
              </w:rPr>
              <w:t>審核意見詳「四、重要審核意見（十七</w:t>
            </w:r>
            <w:r w:rsidRPr="00425723">
              <w:rPr>
                <w:rFonts w:ascii="標楷體" w:eastAsia="標楷體" w:hAnsi="標楷體" w:hint="eastAsia"/>
                <w:noProof/>
                <w:color w:val="000000" w:themeColor="text1"/>
                <w:sz w:val="20"/>
              </w:rPr>
              <w:t>）」。</w:t>
            </w:r>
          </w:p>
        </w:tc>
      </w:tr>
      <w:tr w:rsidR="00D66F89" w:rsidRPr="00FF0427" w14:paraId="14EA1737" w14:textId="77777777" w:rsidTr="00F8778C">
        <w:trPr>
          <w:trHeight w:val="20"/>
        </w:trPr>
        <w:tc>
          <w:tcPr>
            <w:tcW w:w="6096" w:type="dxa"/>
            <w:tcBorders>
              <w:top w:val="single" w:sz="4" w:space="0" w:color="auto"/>
              <w:left w:val="single" w:sz="4" w:space="0" w:color="auto"/>
              <w:bottom w:val="single" w:sz="4" w:space="0" w:color="auto"/>
              <w:right w:val="single" w:sz="4" w:space="0" w:color="auto"/>
            </w:tcBorders>
          </w:tcPr>
          <w:p w14:paraId="5E9B936C" w14:textId="145F0473" w:rsidR="00D66F89" w:rsidRPr="00FF0427" w:rsidRDefault="00D66F89" w:rsidP="00425723">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（四）</w:t>
            </w:r>
            <w:r w:rsidR="00425723" w:rsidRPr="00425723">
              <w:rPr>
                <w:rFonts w:ascii="標楷體" w:eastAsia="標楷體" w:hAnsi="標楷體" w:hint="eastAsia"/>
                <w:noProof/>
                <w:color w:val="000000" w:themeColor="text1"/>
                <w:sz w:val="20"/>
              </w:rPr>
              <w:t>原住民族委員會辦理文化健康站實施計畫，文健站列冊長者之到站率與獲補助經費低度相關、部分文健站查核成績連年不佳、服務對象及照服員性別比例長年失衡，均待研謀改善</w:t>
            </w:r>
            <w:r w:rsidRPr="00FF0427">
              <w:rPr>
                <w:rFonts w:ascii="標楷體" w:eastAsia="標楷體" w:hAnsi="標楷體" w:hint="eastAsia"/>
                <w:noProof/>
                <w:color w:val="000000" w:themeColor="text1"/>
                <w:sz w:val="20"/>
              </w:rPr>
              <w:t>。</w:t>
            </w:r>
          </w:p>
        </w:tc>
        <w:tc>
          <w:tcPr>
            <w:tcW w:w="3827" w:type="dxa"/>
            <w:tcBorders>
              <w:top w:val="single" w:sz="4" w:space="0" w:color="auto"/>
              <w:left w:val="single" w:sz="4" w:space="0" w:color="auto"/>
              <w:bottom w:val="single" w:sz="4" w:space="0" w:color="auto"/>
              <w:right w:val="single" w:sz="4" w:space="0" w:color="auto"/>
            </w:tcBorders>
          </w:tcPr>
          <w:p w14:paraId="11737206" w14:textId="6896025B" w:rsidR="00D66F89" w:rsidRPr="00FF0427" w:rsidRDefault="00425723" w:rsidP="004A564C">
            <w:pPr>
              <w:overflowPunct w:val="0"/>
              <w:snapToGrid w:val="0"/>
              <w:spacing w:line="270" w:lineRule="exact"/>
              <w:jc w:val="both"/>
              <w:rPr>
                <w:rFonts w:ascii="標楷體" w:eastAsia="標楷體" w:hAnsi="標楷體"/>
                <w:noProof/>
                <w:color w:val="000000" w:themeColor="text1"/>
                <w:sz w:val="20"/>
              </w:rPr>
            </w:pPr>
            <w:r w:rsidRPr="00425723">
              <w:rPr>
                <w:rFonts w:ascii="標楷體" w:eastAsia="標楷體" w:hAnsi="標楷體" w:hint="eastAsia"/>
                <w:noProof/>
                <w:color w:val="000000" w:themeColor="text1"/>
                <w:sz w:val="20"/>
              </w:rPr>
              <w:t>因</w:t>
            </w:r>
            <w:r>
              <w:rPr>
                <w:rFonts w:ascii="標楷體" w:eastAsia="標楷體" w:hAnsi="標楷體" w:hint="eastAsia"/>
                <w:noProof/>
                <w:color w:val="000000" w:themeColor="text1"/>
                <w:sz w:val="20"/>
              </w:rPr>
              <w:t>文化健康站</w:t>
            </w:r>
            <w:r w:rsidRPr="00425723">
              <w:rPr>
                <w:rFonts w:ascii="標楷體" w:eastAsia="標楷體" w:hAnsi="標楷體" w:hint="eastAsia"/>
                <w:noProof/>
                <w:color w:val="000000" w:themeColor="text1"/>
                <w:sz w:val="20"/>
              </w:rPr>
              <w:t>實施計畫執行成效未如預期，業再研提審核意見詳</w:t>
            </w:r>
            <w:r w:rsidR="004A564C" w:rsidRPr="00425723">
              <w:rPr>
                <w:rFonts w:ascii="標楷體" w:eastAsia="標楷體" w:hAnsi="標楷體" w:hint="eastAsia"/>
                <w:noProof/>
                <w:color w:val="000000" w:themeColor="text1"/>
                <w:sz w:val="20"/>
              </w:rPr>
              <w:t>「</w:t>
            </w:r>
            <w:r w:rsidR="004A564C">
              <w:rPr>
                <w:rFonts w:ascii="標楷體" w:eastAsia="標楷體" w:hAnsi="標楷體" w:hint="eastAsia"/>
                <w:noProof/>
                <w:color w:val="000000" w:themeColor="text1"/>
                <w:sz w:val="20"/>
              </w:rPr>
              <w:t>審核報告非營業</w:t>
            </w:r>
            <w:r w:rsidRPr="00425723">
              <w:rPr>
                <w:rFonts w:ascii="標楷體" w:eastAsia="標楷體" w:hAnsi="標楷體" w:hint="eastAsia"/>
                <w:noProof/>
                <w:color w:val="000000" w:themeColor="text1"/>
                <w:sz w:val="20"/>
              </w:rPr>
              <w:t>乙、參、十一、衛生福利特別收入</w:t>
            </w:r>
            <w:r w:rsidRPr="006509E8">
              <w:rPr>
                <w:rFonts w:ascii="標楷體" w:eastAsia="標楷體" w:hAnsi="標楷體" w:hint="eastAsia"/>
                <w:noProof/>
                <w:color w:val="000000" w:themeColor="text1"/>
                <w:sz w:val="20"/>
              </w:rPr>
              <w:t>基金</w:t>
            </w:r>
            <w:r w:rsidR="008D3344" w:rsidRPr="006509E8">
              <w:rPr>
                <w:rFonts w:ascii="標楷體" w:eastAsia="標楷體" w:hAnsi="標楷體" w:hint="eastAsia"/>
                <w:noProof/>
                <w:color w:val="000000" w:themeColor="text1"/>
                <w:sz w:val="20"/>
              </w:rPr>
              <w:t>、</w:t>
            </w:r>
            <w:r w:rsidR="006509E8" w:rsidRPr="00E31547">
              <w:rPr>
                <w:rFonts w:ascii="標楷體" w:eastAsia="標楷體" w:hAnsi="標楷體"/>
                <w:noProof/>
                <w:color w:val="000000" w:themeColor="text1"/>
                <w:sz w:val="20"/>
              </w:rPr>
              <w:t>5.</w:t>
            </w:r>
            <w:r w:rsidR="008D3344" w:rsidRPr="00E31547">
              <w:rPr>
                <w:rFonts w:ascii="標楷體" w:eastAsia="標楷體" w:hAnsi="標楷體" w:hint="eastAsia"/>
                <w:noProof/>
                <w:color w:val="000000" w:themeColor="text1"/>
                <w:sz w:val="20"/>
              </w:rPr>
              <w:t>重要審核意見</w:t>
            </w:r>
            <w:r w:rsidR="006509E8" w:rsidRPr="00E31547">
              <w:rPr>
                <w:rFonts w:ascii="標楷體" w:eastAsia="標楷體" w:hAnsi="標楷體" w:hint="eastAsia"/>
                <w:noProof/>
                <w:color w:val="000000" w:themeColor="text1"/>
                <w:sz w:val="20"/>
              </w:rPr>
              <w:t>（</w:t>
            </w:r>
            <w:r w:rsidR="006509E8" w:rsidRPr="00E31547">
              <w:rPr>
                <w:rFonts w:ascii="標楷體" w:eastAsia="標楷體" w:hAnsi="標楷體"/>
                <w:noProof/>
                <w:color w:val="000000" w:themeColor="text1"/>
                <w:sz w:val="20"/>
              </w:rPr>
              <w:t>5）</w:t>
            </w:r>
            <w:r w:rsidRPr="006509E8">
              <w:rPr>
                <w:rFonts w:ascii="標楷體" w:eastAsia="標楷體" w:hAnsi="標楷體" w:hint="eastAsia"/>
                <w:noProof/>
                <w:color w:val="000000" w:themeColor="text1"/>
                <w:sz w:val="20"/>
              </w:rPr>
              <w:t>」</w:t>
            </w:r>
            <w:r w:rsidR="00B70D31" w:rsidRPr="006509E8">
              <w:rPr>
                <w:rFonts w:ascii="標楷體" w:eastAsia="標楷體" w:hAnsi="標楷體" w:hint="eastAsia"/>
                <w:noProof/>
                <w:color w:val="000000" w:themeColor="text1"/>
                <w:sz w:val="20"/>
              </w:rPr>
              <w:t>。</w:t>
            </w:r>
          </w:p>
        </w:tc>
      </w:tr>
      <w:tr w:rsidR="00255CDC" w:rsidRPr="00FF0427" w14:paraId="6111D1BD" w14:textId="77777777" w:rsidTr="00255CDC">
        <w:trPr>
          <w:trHeight w:val="315"/>
        </w:trPr>
        <w:tc>
          <w:tcPr>
            <w:tcW w:w="9923" w:type="dxa"/>
            <w:gridSpan w:val="2"/>
            <w:tcBorders>
              <w:top w:val="single" w:sz="4" w:space="0" w:color="auto"/>
              <w:left w:val="single" w:sz="4" w:space="0" w:color="auto"/>
              <w:bottom w:val="single" w:sz="4" w:space="0" w:color="auto"/>
              <w:right w:val="single" w:sz="4" w:space="0" w:color="auto"/>
            </w:tcBorders>
          </w:tcPr>
          <w:p w14:paraId="3E47BC5B" w14:textId="12DD497D" w:rsidR="00255CDC" w:rsidRPr="00425723" w:rsidRDefault="00255CDC" w:rsidP="004A564C">
            <w:pPr>
              <w:overflowPunct w:val="0"/>
              <w:snapToGrid w:val="0"/>
              <w:spacing w:line="270" w:lineRule="exact"/>
              <w:jc w:val="both"/>
              <w:rPr>
                <w:rFonts w:ascii="標楷體" w:eastAsia="標楷體" w:hAnsi="標楷體"/>
                <w:noProof/>
                <w:color w:val="000000" w:themeColor="text1"/>
                <w:sz w:val="20"/>
              </w:rPr>
            </w:pPr>
            <w:r w:rsidRPr="00FF0427">
              <w:rPr>
                <w:rFonts w:ascii="標楷體" w:eastAsia="標楷體" w:hAnsi="標楷體" w:hint="eastAsia"/>
                <w:b/>
                <w:noProof/>
                <w:color w:val="000000" w:themeColor="text1"/>
                <w:sz w:val="20"/>
              </w:rPr>
              <w:t>處理中</w:t>
            </w:r>
          </w:p>
        </w:tc>
      </w:tr>
      <w:tr w:rsidR="00E04C62" w:rsidRPr="00FF0427" w14:paraId="5B25F4EA" w14:textId="77777777" w:rsidTr="00E04C62">
        <w:trPr>
          <w:trHeight w:val="20"/>
        </w:trPr>
        <w:tc>
          <w:tcPr>
            <w:tcW w:w="6096" w:type="dxa"/>
            <w:tcBorders>
              <w:top w:val="single" w:sz="4" w:space="0" w:color="auto"/>
              <w:left w:val="single" w:sz="4" w:space="0" w:color="auto"/>
              <w:bottom w:val="single" w:sz="4" w:space="0" w:color="auto"/>
              <w:right w:val="single" w:sz="4" w:space="0" w:color="auto"/>
            </w:tcBorders>
          </w:tcPr>
          <w:p w14:paraId="7CBB3645" w14:textId="7A8799A1" w:rsidR="00E04C62" w:rsidRPr="00FF0427" w:rsidRDefault="00E04C62" w:rsidP="00425723">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一</w:t>
            </w:r>
            <w:r w:rsidRPr="00FF0427">
              <w:rPr>
                <w:rFonts w:ascii="標楷體" w:eastAsia="標楷體" w:hAnsi="標楷體" w:hint="eastAsia"/>
                <w:noProof/>
                <w:color w:val="000000" w:themeColor="text1"/>
                <w:sz w:val="20"/>
              </w:rPr>
              <w:t>）</w:t>
            </w:r>
            <w:r w:rsidRPr="00255CDC">
              <w:rPr>
                <w:rFonts w:ascii="標楷體" w:eastAsia="標楷體" w:hAnsi="標楷體" w:hint="eastAsia"/>
                <w:noProof/>
                <w:color w:val="000000" w:themeColor="text1"/>
                <w:sz w:val="20"/>
              </w:rPr>
              <w:t>中央銀行因應外籍勞工匯款需求，同意開放經許可之私立就業服務機構代外籍移工向銀行辦理薪資結匯，惟同意開放依據之函釋已廢止，仍沿用迄今，衍生體制之漏洞；又近半數外籍移工循非法地下匯兌管道匯款，尤以越南籍移工最為嚴重，亟待督促檢討相關法規落日時機，並研擬強化相關監理機制，俾杜絕地下匯兌發生及確保外籍移工匯款安全</w:t>
            </w:r>
            <w:r>
              <w:rPr>
                <w:rFonts w:ascii="標楷體" w:eastAsia="標楷體" w:hAnsi="標楷體" w:hint="eastAsia"/>
                <w:noProof/>
                <w:color w:val="000000" w:themeColor="text1"/>
                <w:sz w:val="20"/>
              </w:rPr>
              <w:t>。</w:t>
            </w:r>
          </w:p>
        </w:tc>
        <w:tc>
          <w:tcPr>
            <w:tcW w:w="3827" w:type="dxa"/>
            <w:vMerge w:val="restart"/>
            <w:tcBorders>
              <w:top w:val="single" w:sz="4" w:space="0" w:color="auto"/>
              <w:left w:val="single" w:sz="4" w:space="0" w:color="auto"/>
              <w:right w:val="single" w:sz="4" w:space="0" w:color="auto"/>
            </w:tcBorders>
            <w:vAlign w:val="center"/>
          </w:tcPr>
          <w:p w14:paraId="351E0155" w14:textId="690E2CAB" w:rsidR="00E04C62" w:rsidRPr="00425723" w:rsidRDefault="00E04C62" w:rsidP="00255CDC">
            <w:pPr>
              <w:overflowPunct w:val="0"/>
              <w:snapToGrid w:val="0"/>
              <w:spacing w:line="270" w:lineRule="exact"/>
              <w:jc w:val="both"/>
              <w:rPr>
                <w:rFonts w:ascii="標楷體" w:eastAsia="標楷體" w:hAnsi="標楷體"/>
                <w:noProof/>
                <w:color w:val="000000" w:themeColor="text1"/>
                <w:sz w:val="20"/>
              </w:rPr>
            </w:pPr>
            <w:r w:rsidRPr="00255CDC">
              <w:rPr>
                <w:rFonts w:ascii="標楷體" w:eastAsia="標楷體" w:hAnsi="標楷體" w:hint="eastAsia"/>
                <w:noProof/>
                <w:color w:val="000000" w:themeColor="text1"/>
                <w:sz w:val="20"/>
              </w:rPr>
              <w:t>前經監察院立案調查，該院尚在處理中。</w:t>
            </w:r>
          </w:p>
        </w:tc>
      </w:tr>
      <w:tr w:rsidR="00E04C62" w:rsidRPr="00FF0427" w14:paraId="378F4724" w14:textId="77777777" w:rsidTr="0035644D">
        <w:trPr>
          <w:trHeight w:val="20"/>
        </w:trPr>
        <w:tc>
          <w:tcPr>
            <w:tcW w:w="6096" w:type="dxa"/>
            <w:tcBorders>
              <w:top w:val="single" w:sz="4" w:space="0" w:color="auto"/>
              <w:left w:val="single" w:sz="4" w:space="0" w:color="auto"/>
              <w:bottom w:val="single" w:sz="4" w:space="0" w:color="auto"/>
              <w:right w:val="single" w:sz="4" w:space="0" w:color="auto"/>
            </w:tcBorders>
          </w:tcPr>
          <w:p w14:paraId="486E3E10" w14:textId="280D0279" w:rsidR="00E04C62" w:rsidRPr="00FF0427" w:rsidRDefault="00E04C62" w:rsidP="00425723">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二</w:t>
            </w:r>
            <w:r w:rsidRPr="00FF0427">
              <w:rPr>
                <w:rFonts w:ascii="標楷體" w:eastAsia="標楷體" w:hAnsi="標楷體" w:hint="eastAsia"/>
                <w:noProof/>
                <w:color w:val="000000" w:themeColor="text1"/>
                <w:sz w:val="20"/>
              </w:rPr>
              <w:t>）</w:t>
            </w:r>
            <w:r w:rsidRPr="00255CDC">
              <w:rPr>
                <w:rFonts w:ascii="標楷體" w:eastAsia="標楷體" w:hAnsi="標楷體" w:hint="eastAsia"/>
                <w:noProof/>
                <w:color w:val="000000" w:themeColor="text1"/>
                <w:sz w:val="20"/>
              </w:rPr>
              <w:t>部分機關獲准撥用大面積國有土地，經管多年僅提供公眾停車使用，迄未依撥用計畫用途辦理開發，又未妥善管理致土地遭長期占用，亟待研謀改善</w:t>
            </w:r>
            <w:r>
              <w:rPr>
                <w:rFonts w:ascii="標楷體" w:eastAsia="標楷體" w:hAnsi="標楷體" w:hint="eastAsia"/>
                <w:noProof/>
                <w:color w:val="000000" w:themeColor="text1"/>
                <w:sz w:val="20"/>
              </w:rPr>
              <w:t>。</w:t>
            </w:r>
          </w:p>
        </w:tc>
        <w:tc>
          <w:tcPr>
            <w:tcW w:w="3827" w:type="dxa"/>
            <w:vMerge/>
            <w:tcBorders>
              <w:left w:val="single" w:sz="4" w:space="0" w:color="auto"/>
              <w:right w:val="single" w:sz="4" w:space="0" w:color="auto"/>
            </w:tcBorders>
          </w:tcPr>
          <w:p w14:paraId="484FC6ED" w14:textId="1F4EA399" w:rsidR="00E04C62" w:rsidRPr="00425723" w:rsidRDefault="00E04C62" w:rsidP="004A564C">
            <w:pPr>
              <w:overflowPunct w:val="0"/>
              <w:snapToGrid w:val="0"/>
              <w:spacing w:line="270" w:lineRule="exact"/>
              <w:jc w:val="both"/>
              <w:rPr>
                <w:rFonts w:ascii="標楷體" w:eastAsia="標楷體" w:hAnsi="標楷體"/>
                <w:noProof/>
                <w:color w:val="000000" w:themeColor="text1"/>
                <w:sz w:val="20"/>
              </w:rPr>
            </w:pPr>
          </w:p>
        </w:tc>
      </w:tr>
      <w:tr w:rsidR="00E04C62" w:rsidRPr="00FF0427" w14:paraId="07FBBC54" w14:textId="77777777" w:rsidTr="0035644D">
        <w:trPr>
          <w:trHeight w:val="20"/>
        </w:trPr>
        <w:tc>
          <w:tcPr>
            <w:tcW w:w="6096" w:type="dxa"/>
            <w:tcBorders>
              <w:top w:val="single" w:sz="4" w:space="0" w:color="auto"/>
              <w:left w:val="single" w:sz="4" w:space="0" w:color="auto"/>
              <w:bottom w:val="single" w:sz="4" w:space="0" w:color="auto"/>
              <w:right w:val="single" w:sz="4" w:space="0" w:color="auto"/>
            </w:tcBorders>
          </w:tcPr>
          <w:p w14:paraId="66716A82" w14:textId="4F4154DD" w:rsidR="00E04C62" w:rsidRPr="00FF0427" w:rsidRDefault="00E04C62" w:rsidP="00425723">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三</w:t>
            </w:r>
            <w:r w:rsidRPr="00FF0427">
              <w:rPr>
                <w:rFonts w:ascii="標楷體" w:eastAsia="標楷體" w:hAnsi="標楷體" w:hint="eastAsia"/>
                <w:noProof/>
                <w:color w:val="000000" w:themeColor="text1"/>
                <w:sz w:val="20"/>
              </w:rPr>
              <w:t>）</w:t>
            </w:r>
            <w:r w:rsidRPr="00255CDC">
              <w:rPr>
                <w:rFonts w:ascii="標楷體" w:eastAsia="標楷體" w:hAnsi="標楷體" w:hint="eastAsia"/>
                <w:noProof/>
                <w:color w:val="000000" w:themeColor="text1"/>
                <w:sz w:val="20"/>
              </w:rPr>
              <w:t>政府推動營建剩餘土石方及營建事業廢棄物管理與再利用，有助減少天然砂石開採，促進營建資源循環，惟土石方與廢棄物認定標準未臻明確，產源至最終使用欠缺全程流向管理，去化管道受限或遭排擠，致棄置事件頻傳，亟待協調相關部會，完備管控及去化機制，促進資源有效利用</w:t>
            </w:r>
            <w:r>
              <w:rPr>
                <w:rFonts w:ascii="標楷體" w:eastAsia="標楷體" w:hAnsi="標楷體" w:hint="eastAsia"/>
                <w:noProof/>
                <w:color w:val="000000" w:themeColor="text1"/>
                <w:sz w:val="20"/>
              </w:rPr>
              <w:t>。</w:t>
            </w:r>
          </w:p>
        </w:tc>
        <w:tc>
          <w:tcPr>
            <w:tcW w:w="3827" w:type="dxa"/>
            <w:vMerge/>
            <w:tcBorders>
              <w:left w:val="single" w:sz="4" w:space="0" w:color="auto"/>
              <w:bottom w:val="single" w:sz="4" w:space="0" w:color="auto"/>
              <w:right w:val="single" w:sz="4" w:space="0" w:color="auto"/>
            </w:tcBorders>
          </w:tcPr>
          <w:p w14:paraId="280FFA22" w14:textId="26E6E120" w:rsidR="00E04C62" w:rsidRPr="00425723" w:rsidRDefault="00E04C62" w:rsidP="004A564C">
            <w:pPr>
              <w:overflowPunct w:val="0"/>
              <w:snapToGrid w:val="0"/>
              <w:spacing w:line="270" w:lineRule="exact"/>
              <w:jc w:val="both"/>
              <w:rPr>
                <w:rFonts w:ascii="標楷體" w:eastAsia="標楷體" w:hAnsi="標楷體"/>
                <w:noProof/>
                <w:color w:val="000000" w:themeColor="text1"/>
                <w:sz w:val="20"/>
              </w:rPr>
            </w:pPr>
          </w:p>
        </w:tc>
      </w:tr>
      <w:tr w:rsidR="00255CDC" w:rsidRPr="00FF0427" w14:paraId="75798E44" w14:textId="77777777" w:rsidTr="00F8778C">
        <w:trPr>
          <w:trHeight w:val="20"/>
        </w:trPr>
        <w:tc>
          <w:tcPr>
            <w:tcW w:w="6096" w:type="dxa"/>
            <w:tcBorders>
              <w:top w:val="single" w:sz="4" w:space="0" w:color="auto"/>
              <w:left w:val="single" w:sz="4" w:space="0" w:color="auto"/>
              <w:bottom w:val="single" w:sz="4" w:space="0" w:color="auto"/>
              <w:right w:val="single" w:sz="4" w:space="0" w:color="auto"/>
            </w:tcBorders>
          </w:tcPr>
          <w:p w14:paraId="0133FCD6" w14:textId="0CE62B82" w:rsidR="00255CDC" w:rsidRPr="00FF0427" w:rsidRDefault="00255CDC" w:rsidP="00425723">
            <w:pPr>
              <w:overflowPunct w:val="0"/>
              <w:snapToGrid w:val="0"/>
              <w:spacing w:beforeLines="10" w:before="36" w:afterLines="10" w:after="36" w:line="270"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四</w:t>
            </w:r>
            <w:r w:rsidRPr="00FF0427">
              <w:rPr>
                <w:rFonts w:ascii="標楷體" w:eastAsia="標楷體" w:hAnsi="標楷體" w:hint="eastAsia"/>
                <w:noProof/>
                <w:color w:val="000000" w:themeColor="text1"/>
                <w:sz w:val="20"/>
              </w:rPr>
              <w:t>）</w:t>
            </w:r>
            <w:r w:rsidRPr="00255CDC">
              <w:rPr>
                <w:rFonts w:ascii="標楷體" w:eastAsia="標楷體" w:hAnsi="標楷體" w:hint="eastAsia"/>
                <w:noProof/>
                <w:color w:val="000000" w:themeColor="text1"/>
                <w:sz w:val="20"/>
              </w:rPr>
              <w:t>故宮為維護文物及庫房保存環境，辦理文物安全、管理與修護計畫，惟間有文物保存方式及整理空間動線規劃欠妥，人員專業知能、法規遵循及文物安全維護控管機制尚待強化等情事，亟待研謀改善</w:t>
            </w:r>
            <w:r>
              <w:rPr>
                <w:rFonts w:ascii="標楷體" w:eastAsia="標楷體" w:hAnsi="標楷體" w:hint="eastAsia"/>
                <w:noProof/>
                <w:color w:val="000000" w:themeColor="text1"/>
                <w:sz w:val="20"/>
              </w:rPr>
              <w:t>。</w:t>
            </w:r>
          </w:p>
        </w:tc>
        <w:tc>
          <w:tcPr>
            <w:tcW w:w="3827" w:type="dxa"/>
            <w:tcBorders>
              <w:top w:val="single" w:sz="4" w:space="0" w:color="auto"/>
              <w:left w:val="single" w:sz="4" w:space="0" w:color="auto"/>
              <w:bottom w:val="single" w:sz="4" w:space="0" w:color="auto"/>
              <w:right w:val="single" w:sz="4" w:space="0" w:color="auto"/>
            </w:tcBorders>
          </w:tcPr>
          <w:p w14:paraId="42774AB3" w14:textId="2DF47F0F" w:rsidR="00255CDC" w:rsidRPr="00425723" w:rsidRDefault="00255CDC" w:rsidP="004A564C">
            <w:pPr>
              <w:overflowPunct w:val="0"/>
              <w:snapToGrid w:val="0"/>
              <w:spacing w:line="270" w:lineRule="exact"/>
              <w:jc w:val="both"/>
              <w:rPr>
                <w:rFonts w:ascii="標楷體" w:eastAsia="標楷體" w:hAnsi="標楷體"/>
                <w:noProof/>
                <w:color w:val="000000" w:themeColor="text1"/>
                <w:sz w:val="20"/>
              </w:rPr>
            </w:pPr>
            <w:r>
              <w:rPr>
                <w:rFonts w:ascii="標楷體" w:eastAsia="標楷體" w:hAnsi="標楷體" w:hint="eastAsia"/>
                <w:noProof/>
                <w:color w:val="000000" w:themeColor="text1"/>
                <w:sz w:val="20"/>
              </w:rPr>
              <w:t>前經監察院立案調查，該院業糾正，詳「六、其他事項（一</w:t>
            </w:r>
            <w:r w:rsidRPr="00425723">
              <w:rPr>
                <w:rFonts w:ascii="標楷體" w:eastAsia="標楷體" w:hAnsi="標楷體" w:hint="eastAsia"/>
                <w:noProof/>
                <w:color w:val="000000" w:themeColor="text1"/>
                <w:sz w:val="20"/>
              </w:rPr>
              <w:t>）」。</w:t>
            </w:r>
          </w:p>
        </w:tc>
      </w:tr>
    </w:tbl>
    <w:p w14:paraId="586ED42D" w14:textId="6E76EDCD" w:rsidR="007064BE" w:rsidRPr="00FF0427" w:rsidRDefault="007064BE" w:rsidP="001E782A">
      <w:pPr>
        <w:overflowPunct w:val="0"/>
        <w:spacing w:beforeLines="50" w:before="180" w:afterLines="30" w:after="108" w:line="240" w:lineRule="exact"/>
        <w:jc w:val="center"/>
        <w:rPr>
          <w:rFonts w:ascii="標楷體" w:eastAsia="標楷體" w:hAnsi="標楷體"/>
          <w:b/>
          <w:color w:val="000000" w:themeColor="text1"/>
          <w:szCs w:val="24"/>
        </w:rPr>
      </w:pPr>
      <w:r w:rsidRPr="00FF0427">
        <w:rPr>
          <w:rFonts w:ascii="標楷體" w:eastAsia="標楷體" w:hAnsi="標楷體" w:hint="eastAsia"/>
          <w:b/>
          <w:color w:val="000000" w:themeColor="text1"/>
          <w:szCs w:val="24"/>
        </w:rPr>
        <w:lastRenderedPageBreak/>
        <w:t>表</w:t>
      </w:r>
      <w:r w:rsidR="00FD1F79">
        <w:rPr>
          <w:rFonts w:ascii="標楷體" w:eastAsia="標楷體" w:hAnsi="標楷體" w:hint="eastAsia"/>
          <w:b/>
          <w:color w:val="000000" w:themeColor="text1"/>
          <w:szCs w:val="24"/>
        </w:rPr>
        <w:t>4</w:t>
      </w:r>
      <w:r w:rsidR="009821F7">
        <w:rPr>
          <w:rFonts w:ascii="標楷體" w:eastAsia="標楷體" w:hAnsi="標楷體" w:hint="eastAsia"/>
          <w:b/>
          <w:color w:val="000000" w:themeColor="text1"/>
          <w:szCs w:val="24"/>
        </w:rPr>
        <w:t>4</w:t>
      </w:r>
      <w:r w:rsidRPr="00FF0427">
        <w:rPr>
          <w:rFonts w:ascii="標楷體" w:eastAsia="標楷體" w:hAnsi="標楷體" w:hint="eastAsia"/>
          <w:b/>
          <w:color w:val="000000" w:themeColor="text1"/>
          <w:szCs w:val="24"/>
        </w:rPr>
        <w:t xml:space="preserve">　</w:t>
      </w:r>
      <w:r w:rsidRPr="00FF0427">
        <w:rPr>
          <w:rFonts w:ascii="標楷體" w:eastAsia="標楷體" w:hAnsi="標楷體"/>
          <w:b/>
          <w:color w:val="000000" w:themeColor="text1"/>
          <w:szCs w:val="24"/>
        </w:rPr>
        <w:t>1</w:t>
      </w:r>
      <w:r w:rsidRPr="00FF0427">
        <w:rPr>
          <w:rFonts w:ascii="標楷體" w:eastAsia="標楷體" w:hAnsi="標楷體" w:hint="eastAsia"/>
          <w:b/>
          <w:color w:val="000000" w:themeColor="text1"/>
          <w:szCs w:val="24"/>
        </w:rPr>
        <w:t>1</w:t>
      </w:r>
      <w:r w:rsidR="00255CDC">
        <w:rPr>
          <w:rFonts w:ascii="標楷體" w:eastAsia="標楷體" w:hAnsi="標楷體" w:hint="eastAsia"/>
          <w:b/>
          <w:color w:val="000000" w:themeColor="text1"/>
          <w:szCs w:val="24"/>
        </w:rPr>
        <w:t>1</w:t>
      </w:r>
      <w:r w:rsidRPr="00FF0427">
        <w:rPr>
          <w:rFonts w:ascii="標楷體" w:eastAsia="標楷體" w:hAnsi="標楷體" w:hint="eastAsia"/>
          <w:b/>
          <w:color w:val="000000" w:themeColor="text1"/>
          <w:szCs w:val="24"/>
        </w:rPr>
        <w:t>年度審核報告所列行政院主管普通公務相關重要審核意見覆核辦理情形（續）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7230"/>
        <w:gridCol w:w="2693"/>
      </w:tblGrid>
      <w:tr w:rsidR="007064BE" w:rsidRPr="00FF0427" w14:paraId="55FAF251" w14:textId="77777777" w:rsidTr="007064BE">
        <w:trPr>
          <w:trHeight w:val="20"/>
          <w:tblHeader/>
        </w:trPr>
        <w:tc>
          <w:tcPr>
            <w:tcW w:w="7230" w:type="dxa"/>
            <w:tcBorders>
              <w:top w:val="single" w:sz="4" w:space="0" w:color="auto"/>
              <w:left w:val="single" w:sz="4" w:space="0" w:color="auto"/>
              <w:bottom w:val="single" w:sz="4" w:space="0" w:color="auto"/>
              <w:right w:val="single" w:sz="4" w:space="0" w:color="auto"/>
            </w:tcBorders>
            <w:vAlign w:val="center"/>
          </w:tcPr>
          <w:p w14:paraId="2ECEA494" w14:textId="77777777" w:rsidR="007064BE" w:rsidRPr="00FF0427" w:rsidRDefault="007064BE" w:rsidP="001E782A">
            <w:pPr>
              <w:overflowPunct w:val="0"/>
              <w:spacing w:line="270" w:lineRule="exact"/>
              <w:jc w:val="center"/>
              <w:rPr>
                <w:rFonts w:ascii="標楷體" w:eastAsia="標楷體" w:hAnsi="標楷體"/>
                <w:color w:val="000000" w:themeColor="text1"/>
                <w:sz w:val="20"/>
              </w:rPr>
            </w:pPr>
            <w:r w:rsidRPr="00FF0427">
              <w:rPr>
                <w:rFonts w:ascii="標楷體" w:eastAsia="標楷體" w:hAnsi="標楷體" w:hint="eastAsia"/>
                <w:color w:val="000000" w:themeColor="text1"/>
                <w:sz w:val="20"/>
              </w:rPr>
              <w:t>重要審核意見標題</w:t>
            </w:r>
          </w:p>
        </w:tc>
        <w:tc>
          <w:tcPr>
            <w:tcW w:w="2693" w:type="dxa"/>
            <w:tcBorders>
              <w:top w:val="single" w:sz="4" w:space="0" w:color="auto"/>
              <w:left w:val="single" w:sz="4" w:space="0" w:color="auto"/>
              <w:bottom w:val="single" w:sz="4" w:space="0" w:color="auto"/>
              <w:right w:val="single" w:sz="4" w:space="0" w:color="auto"/>
            </w:tcBorders>
            <w:vAlign w:val="center"/>
          </w:tcPr>
          <w:p w14:paraId="488CA0A0" w14:textId="77777777" w:rsidR="007064BE" w:rsidRPr="00FF0427" w:rsidRDefault="007064BE" w:rsidP="001E782A">
            <w:pPr>
              <w:overflowPunct w:val="0"/>
              <w:spacing w:line="270" w:lineRule="exact"/>
              <w:jc w:val="center"/>
              <w:rPr>
                <w:rFonts w:ascii="標楷體" w:eastAsia="標楷體" w:hAnsi="標楷體"/>
                <w:color w:val="000000" w:themeColor="text1"/>
                <w:sz w:val="20"/>
              </w:rPr>
            </w:pPr>
            <w:r w:rsidRPr="00FF0427">
              <w:rPr>
                <w:rFonts w:ascii="標楷體" w:eastAsia="標楷體" w:hAnsi="標楷體" w:hint="eastAsia"/>
                <w:color w:val="000000" w:themeColor="text1"/>
                <w:sz w:val="20"/>
              </w:rPr>
              <w:t>說明</w:t>
            </w:r>
          </w:p>
        </w:tc>
      </w:tr>
      <w:tr w:rsidR="00255CDC" w:rsidRPr="00FF0427" w14:paraId="4EDC2AA9"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1A5B7DF4" w14:textId="23ED8B8E" w:rsidR="00255CDC" w:rsidRPr="00FF0427" w:rsidRDefault="00255CDC" w:rsidP="001E782A">
            <w:pPr>
              <w:overflowPunct w:val="0"/>
              <w:spacing w:line="276"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五</w:t>
            </w:r>
            <w:r w:rsidRPr="00FF0427">
              <w:rPr>
                <w:rFonts w:ascii="標楷體" w:eastAsia="標楷體" w:hAnsi="標楷體" w:hint="eastAsia"/>
                <w:noProof/>
                <w:color w:val="000000" w:themeColor="text1"/>
                <w:sz w:val="20"/>
              </w:rPr>
              <w:t>）</w:t>
            </w:r>
            <w:r w:rsidRPr="00255CDC">
              <w:rPr>
                <w:rFonts w:ascii="標楷體" w:eastAsia="標楷體" w:hAnsi="標楷體" w:hint="eastAsia"/>
                <w:noProof/>
                <w:color w:val="000000" w:themeColor="text1"/>
                <w:sz w:val="20"/>
              </w:rPr>
              <w:t>原住民族委員會原住民族文化發展中心辦理「臺灣原住民族文化園區綠珠雕琢再造7年（106至112年度）中長程計畫」，未落實評估遊園車使用效益、駕駛人力勞務委外契約規範過於粗略及未訂定相關油料使用管理作業；又未覈實評估計畫財務效益，園區內橋梁劣損構件未依檢測結果進行維修與補強作業，及歷年製作之樂舞舞碼逾半數不適合演出等，均待研謀改善</w:t>
            </w:r>
            <w:r>
              <w:rPr>
                <w:rFonts w:ascii="標楷體" w:eastAsia="標楷體" w:hAnsi="標楷體" w:hint="eastAsia"/>
                <w:noProof/>
                <w:color w:val="000000" w:themeColor="text1"/>
                <w:sz w:val="20"/>
              </w:rPr>
              <w:t>。</w:t>
            </w:r>
          </w:p>
        </w:tc>
        <w:tc>
          <w:tcPr>
            <w:tcW w:w="2693" w:type="dxa"/>
            <w:tcBorders>
              <w:top w:val="single" w:sz="4" w:space="0" w:color="auto"/>
              <w:left w:val="single" w:sz="4" w:space="0" w:color="auto"/>
              <w:bottom w:val="single" w:sz="4" w:space="0" w:color="auto"/>
              <w:right w:val="single" w:sz="4" w:space="0" w:color="auto"/>
            </w:tcBorders>
          </w:tcPr>
          <w:p w14:paraId="42FBBF06" w14:textId="40C7F814" w:rsidR="00255CDC" w:rsidRPr="00FF0427" w:rsidRDefault="00255CDC" w:rsidP="001E782A">
            <w:pPr>
              <w:overflowPunct w:val="0"/>
              <w:snapToGrid w:val="0"/>
              <w:spacing w:line="276" w:lineRule="exact"/>
              <w:jc w:val="both"/>
              <w:rPr>
                <w:rFonts w:ascii="標楷體" w:eastAsia="標楷體" w:hAnsi="標楷體"/>
                <w:noProof/>
                <w:color w:val="000000" w:themeColor="text1"/>
                <w:sz w:val="20"/>
              </w:rPr>
            </w:pPr>
            <w:r w:rsidRPr="00255CDC">
              <w:rPr>
                <w:rFonts w:ascii="標楷體" w:eastAsia="標楷體" w:hAnsi="標楷體" w:hint="eastAsia"/>
                <w:noProof/>
                <w:color w:val="000000" w:themeColor="text1"/>
                <w:sz w:val="20"/>
              </w:rPr>
              <w:t>前經監察院立案調查，該院業糾正，詳「六、其他事項（</w:t>
            </w:r>
            <w:r w:rsidR="00D57051">
              <w:rPr>
                <w:rFonts w:ascii="標楷體" w:eastAsia="標楷體" w:hAnsi="標楷體" w:hint="eastAsia"/>
                <w:noProof/>
                <w:color w:val="000000" w:themeColor="text1"/>
                <w:sz w:val="20"/>
              </w:rPr>
              <w:t>二</w:t>
            </w:r>
            <w:r w:rsidRPr="00255CDC">
              <w:rPr>
                <w:rFonts w:ascii="標楷體" w:eastAsia="標楷體" w:hAnsi="標楷體" w:hint="eastAsia"/>
                <w:noProof/>
                <w:color w:val="000000" w:themeColor="text1"/>
                <w:sz w:val="20"/>
              </w:rPr>
              <w:t>）」。</w:t>
            </w:r>
          </w:p>
        </w:tc>
      </w:tr>
      <w:tr w:rsidR="00255CDC" w:rsidRPr="00FF0427" w14:paraId="6D2E00AC"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614C58FC" w14:textId="517FD637" w:rsidR="00255CDC" w:rsidRPr="00FF0427" w:rsidRDefault="00255CDC" w:rsidP="001E782A">
            <w:pPr>
              <w:overflowPunct w:val="0"/>
              <w:spacing w:line="276"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六</w:t>
            </w:r>
            <w:r w:rsidRPr="00FF0427">
              <w:rPr>
                <w:rFonts w:ascii="標楷體" w:eastAsia="標楷體" w:hAnsi="標楷體" w:hint="eastAsia"/>
                <w:noProof/>
                <w:color w:val="000000" w:themeColor="text1"/>
                <w:sz w:val="20"/>
              </w:rPr>
              <w:t>）</w:t>
            </w:r>
            <w:r w:rsidRPr="00255CDC">
              <w:rPr>
                <w:rFonts w:ascii="標楷體" w:eastAsia="標楷體" w:hAnsi="標楷體" w:hint="eastAsia"/>
                <w:noProof/>
                <w:color w:val="000000" w:themeColor="text1"/>
                <w:sz w:val="20"/>
              </w:rPr>
              <w:t>原住民族委員會辦理國立原住民族博物館園區興建計畫，可具體推動原住民族文化保存及推廣工作，惟未依行政院核定可行性評估報告所列計畫經費，審慎檢討博物館整體空間配置及興建規模，卻大幅提高計畫經費，亦未成立有效之推動組織，肇致計畫綜合規劃報告歷經多次審議仍未通過，亟待檢討改善</w:t>
            </w:r>
            <w:r>
              <w:rPr>
                <w:rFonts w:ascii="標楷體" w:eastAsia="標楷體" w:hAnsi="標楷體" w:hint="eastAsia"/>
                <w:noProof/>
                <w:color w:val="000000" w:themeColor="text1"/>
                <w:sz w:val="20"/>
              </w:rPr>
              <w:t>。</w:t>
            </w:r>
          </w:p>
        </w:tc>
        <w:tc>
          <w:tcPr>
            <w:tcW w:w="2693" w:type="dxa"/>
            <w:tcBorders>
              <w:top w:val="single" w:sz="4" w:space="0" w:color="auto"/>
              <w:left w:val="single" w:sz="4" w:space="0" w:color="auto"/>
              <w:bottom w:val="single" w:sz="4" w:space="0" w:color="auto"/>
              <w:right w:val="single" w:sz="4" w:space="0" w:color="auto"/>
            </w:tcBorders>
          </w:tcPr>
          <w:p w14:paraId="48FEAC8A" w14:textId="68C9E35C" w:rsidR="00255CDC" w:rsidRPr="00FF0427" w:rsidRDefault="00255CDC" w:rsidP="001E782A">
            <w:pPr>
              <w:overflowPunct w:val="0"/>
              <w:snapToGrid w:val="0"/>
              <w:spacing w:line="276" w:lineRule="exact"/>
              <w:jc w:val="both"/>
              <w:rPr>
                <w:rFonts w:ascii="標楷體" w:eastAsia="標楷體" w:hAnsi="標楷體"/>
                <w:noProof/>
                <w:color w:val="000000" w:themeColor="text1"/>
                <w:sz w:val="20"/>
              </w:rPr>
            </w:pPr>
            <w:r w:rsidRPr="00255CDC">
              <w:rPr>
                <w:rFonts w:ascii="標楷體" w:eastAsia="標楷體" w:hAnsi="標楷體" w:hint="eastAsia"/>
                <w:noProof/>
                <w:color w:val="000000" w:themeColor="text1"/>
                <w:sz w:val="20"/>
              </w:rPr>
              <w:t>前經依法陳報監察院，該院業提出調查報告。</w:t>
            </w:r>
          </w:p>
        </w:tc>
      </w:tr>
      <w:tr w:rsidR="00255CDC" w:rsidRPr="00FF0427" w14:paraId="3F2DCCDA"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0E8CCC7F" w14:textId="55F021E6" w:rsidR="00255CDC" w:rsidRPr="00FF0427" w:rsidRDefault="00255CDC" w:rsidP="001E782A">
            <w:pPr>
              <w:overflowPunct w:val="0"/>
              <w:spacing w:line="276"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Pr>
                <w:rFonts w:ascii="標楷體" w:eastAsia="標楷體" w:hAnsi="標楷體" w:hint="eastAsia"/>
                <w:noProof/>
                <w:color w:val="000000" w:themeColor="text1"/>
                <w:sz w:val="20"/>
              </w:rPr>
              <w:t>七</w:t>
            </w:r>
            <w:r w:rsidRPr="00FF0427">
              <w:rPr>
                <w:rFonts w:ascii="標楷體" w:eastAsia="標楷體" w:hAnsi="標楷體" w:hint="eastAsia"/>
                <w:noProof/>
                <w:color w:val="000000" w:themeColor="text1"/>
                <w:sz w:val="20"/>
              </w:rPr>
              <w:t>）</w:t>
            </w:r>
            <w:r w:rsidRPr="00255CDC">
              <w:rPr>
                <w:rFonts w:ascii="標楷體" w:eastAsia="標楷體" w:hAnsi="標楷體" w:hint="eastAsia"/>
                <w:noProof/>
                <w:color w:val="000000" w:themeColor="text1"/>
                <w:sz w:val="20"/>
              </w:rPr>
              <w:t>政府採購法訂有行政管制與裁罰機制，以維持採購秩序，確保採購品質，並避免不良廠商危害機關採購，惟對於政府採購涉及刑事不法資訊之共享與取得、採購機關落實程度之監督與管控、裁處權時效之規範及採購全生命週期所涉法律責任之預警等事項，尚待研謀妥處，俾確保機關有效落實執行機制，發揮政府採購法藉由該等機制遏阻違法廠商之立法功能</w:t>
            </w:r>
            <w:r>
              <w:rPr>
                <w:rFonts w:ascii="標楷體" w:eastAsia="標楷體" w:hAnsi="標楷體" w:hint="eastAsia"/>
                <w:noProof/>
                <w:color w:val="000000" w:themeColor="text1"/>
                <w:sz w:val="20"/>
              </w:rPr>
              <w:t>。</w:t>
            </w:r>
          </w:p>
        </w:tc>
        <w:tc>
          <w:tcPr>
            <w:tcW w:w="2693" w:type="dxa"/>
            <w:tcBorders>
              <w:top w:val="single" w:sz="4" w:space="0" w:color="auto"/>
              <w:left w:val="single" w:sz="4" w:space="0" w:color="auto"/>
              <w:bottom w:val="single" w:sz="4" w:space="0" w:color="auto"/>
              <w:right w:val="single" w:sz="4" w:space="0" w:color="auto"/>
            </w:tcBorders>
          </w:tcPr>
          <w:p w14:paraId="4A8DDB95" w14:textId="29C57C5F" w:rsidR="00255CDC" w:rsidRPr="00FF0427" w:rsidRDefault="00255CDC" w:rsidP="001E782A">
            <w:pPr>
              <w:overflowPunct w:val="0"/>
              <w:snapToGrid w:val="0"/>
              <w:spacing w:line="276" w:lineRule="exact"/>
              <w:jc w:val="both"/>
              <w:rPr>
                <w:rFonts w:ascii="標楷體" w:eastAsia="標楷體" w:hAnsi="標楷體"/>
                <w:noProof/>
                <w:color w:val="000000" w:themeColor="text1"/>
                <w:sz w:val="20"/>
              </w:rPr>
            </w:pPr>
            <w:r w:rsidRPr="00255CDC">
              <w:rPr>
                <w:rFonts w:ascii="標楷體" w:eastAsia="標楷體" w:hAnsi="標楷體" w:hint="eastAsia"/>
                <w:noProof/>
                <w:color w:val="000000" w:themeColor="text1"/>
                <w:sz w:val="20"/>
              </w:rPr>
              <w:t>前經監察院立案調查，該院尚在處理中。</w:t>
            </w:r>
          </w:p>
        </w:tc>
      </w:tr>
      <w:tr w:rsidR="00240574" w:rsidRPr="00FF0427" w14:paraId="178ED3D9" w14:textId="77777777" w:rsidTr="009F1BF7">
        <w:trPr>
          <w:trHeight w:val="340"/>
        </w:trPr>
        <w:tc>
          <w:tcPr>
            <w:tcW w:w="9923" w:type="dxa"/>
            <w:gridSpan w:val="2"/>
            <w:tcBorders>
              <w:top w:val="single" w:sz="4" w:space="0" w:color="auto"/>
              <w:left w:val="single" w:sz="4" w:space="0" w:color="auto"/>
              <w:bottom w:val="single" w:sz="4" w:space="0" w:color="auto"/>
              <w:right w:val="single" w:sz="4" w:space="0" w:color="auto"/>
            </w:tcBorders>
          </w:tcPr>
          <w:p w14:paraId="41F60E49" w14:textId="50C3DD17" w:rsidR="00240574" w:rsidRPr="00FF0427" w:rsidRDefault="00240574" w:rsidP="001E782A">
            <w:pPr>
              <w:overflowPunct w:val="0"/>
              <w:snapToGrid w:val="0"/>
              <w:spacing w:line="276" w:lineRule="exact"/>
              <w:jc w:val="both"/>
              <w:rPr>
                <w:rFonts w:ascii="標楷體" w:eastAsia="標楷體" w:hAnsi="標楷體"/>
                <w:noProof/>
                <w:color w:val="000000" w:themeColor="text1"/>
                <w:sz w:val="20"/>
              </w:rPr>
            </w:pPr>
            <w:r w:rsidRPr="00FF0427">
              <w:rPr>
                <w:rFonts w:ascii="標楷體" w:eastAsia="標楷體" w:hAnsi="標楷體" w:hint="eastAsia"/>
                <w:b/>
                <w:noProof/>
                <w:color w:val="000000" w:themeColor="text1"/>
                <w:sz w:val="20"/>
              </w:rPr>
              <w:t>已研謀改善或依改善措施持續辦理</w:t>
            </w:r>
          </w:p>
        </w:tc>
      </w:tr>
      <w:tr w:rsidR="00240574" w:rsidRPr="00FF0427" w14:paraId="2FDB91F9"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7C63FB03" w14:textId="26951E68" w:rsidR="00240574" w:rsidRPr="00FF0427" w:rsidRDefault="00240574" w:rsidP="003609CF">
            <w:pPr>
              <w:overflowPunct w:val="0"/>
              <w:spacing w:line="276"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（一）</w:t>
            </w:r>
            <w:r w:rsidR="003609CF" w:rsidRPr="003609CF">
              <w:rPr>
                <w:rFonts w:ascii="標楷體" w:eastAsia="標楷體" w:hAnsi="標楷體" w:hint="eastAsia"/>
                <w:noProof/>
                <w:color w:val="000000" w:themeColor="text1"/>
                <w:sz w:val="20"/>
              </w:rPr>
              <w:t>客家委員會為形塑客庄產業發展環境及梳理臺三線景觀，辦理客家文化生活環境</w:t>
            </w:r>
            <w:r w:rsidR="003609CF" w:rsidRPr="00E507B2">
              <w:rPr>
                <w:rFonts w:ascii="標楷體" w:eastAsia="標楷體" w:hAnsi="標楷體" w:hint="eastAsia"/>
                <w:noProof/>
                <w:color w:val="000000" w:themeColor="text1"/>
                <w:spacing w:val="4"/>
                <w:sz w:val="20"/>
              </w:rPr>
              <w:t>營造計畫、客家浪漫臺三線計畫，惟計畫審查機制未能有效分配補助資源、效益評估作業未臻合理，又未妥為督促市縣政府依督導團訪視建議檢討改善，且運作治理平臺成果未能充分展現區域合作治理綜效等，允宜研謀改進</w:t>
            </w:r>
            <w:r w:rsidRPr="00E507B2">
              <w:rPr>
                <w:rFonts w:ascii="標楷體" w:eastAsia="標楷體" w:hAnsi="標楷體" w:hint="eastAsia"/>
                <w:noProof/>
                <w:color w:val="000000" w:themeColor="text1"/>
                <w:spacing w:val="4"/>
                <w:sz w:val="20"/>
              </w:rPr>
              <w:t>。</w:t>
            </w:r>
          </w:p>
        </w:tc>
        <w:tc>
          <w:tcPr>
            <w:tcW w:w="2693" w:type="dxa"/>
            <w:tcBorders>
              <w:top w:val="single" w:sz="4" w:space="0" w:color="auto"/>
              <w:left w:val="single" w:sz="4" w:space="0" w:color="auto"/>
              <w:bottom w:val="single" w:sz="4" w:space="0" w:color="auto"/>
              <w:right w:val="single" w:sz="4" w:space="0" w:color="auto"/>
            </w:tcBorders>
          </w:tcPr>
          <w:p w14:paraId="22A1AFA2" w14:textId="5284F380" w:rsidR="00240574" w:rsidRPr="00FF0427" w:rsidRDefault="00240574" w:rsidP="001E782A">
            <w:pPr>
              <w:overflowPunct w:val="0"/>
              <w:snapToGrid w:val="0"/>
              <w:spacing w:line="276" w:lineRule="exact"/>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前經依法陳報監察院，該院業同意備查，詳「六、其他事項</w:t>
            </w:r>
            <w:r w:rsidR="003609CF" w:rsidRPr="00255CDC">
              <w:rPr>
                <w:rFonts w:ascii="標楷體" w:eastAsia="標楷體" w:hAnsi="標楷體" w:hint="eastAsia"/>
                <w:noProof/>
                <w:color w:val="000000" w:themeColor="text1"/>
                <w:sz w:val="20"/>
              </w:rPr>
              <w:t>（</w:t>
            </w:r>
            <w:r w:rsidR="00D57051">
              <w:rPr>
                <w:rFonts w:ascii="標楷體" w:eastAsia="標楷體" w:hAnsi="標楷體" w:hint="eastAsia"/>
                <w:noProof/>
                <w:color w:val="000000" w:themeColor="text1"/>
                <w:sz w:val="20"/>
              </w:rPr>
              <w:t>三</w:t>
            </w:r>
            <w:r w:rsidR="003609CF" w:rsidRPr="00255CDC">
              <w:rPr>
                <w:rFonts w:ascii="標楷體" w:eastAsia="標楷體" w:hAnsi="標楷體" w:hint="eastAsia"/>
                <w:noProof/>
                <w:color w:val="000000" w:themeColor="text1"/>
                <w:sz w:val="20"/>
              </w:rPr>
              <w:t>）</w:t>
            </w:r>
            <w:r w:rsidRPr="00FF0427">
              <w:rPr>
                <w:rFonts w:ascii="標楷體" w:eastAsia="標楷體" w:hAnsi="標楷體" w:hint="eastAsia"/>
                <w:noProof/>
                <w:color w:val="000000" w:themeColor="text1"/>
                <w:sz w:val="20"/>
              </w:rPr>
              <w:t>」</w:t>
            </w:r>
            <w:r w:rsidR="00B70D31" w:rsidRPr="00FF0427">
              <w:rPr>
                <w:rFonts w:ascii="標楷體" w:eastAsia="標楷體" w:hAnsi="標楷體" w:hint="eastAsia"/>
                <w:noProof/>
                <w:color w:val="000000" w:themeColor="text1"/>
                <w:sz w:val="20"/>
              </w:rPr>
              <w:t>。</w:t>
            </w:r>
          </w:p>
        </w:tc>
      </w:tr>
      <w:tr w:rsidR="003609CF" w:rsidRPr="00FF0427" w14:paraId="4E96E2FB"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2A152779" w14:textId="7E2AEEA5" w:rsidR="003609CF" w:rsidRPr="00FF0427" w:rsidRDefault="003609CF" w:rsidP="001E782A">
            <w:pPr>
              <w:overflowPunct w:val="0"/>
              <w:spacing w:line="276"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（二）</w:t>
            </w:r>
            <w:r w:rsidRPr="003609CF">
              <w:rPr>
                <w:rFonts w:ascii="標楷體" w:eastAsia="標楷體" w:hAnsi="標楷體" w:hint="eastAsia"/>
                <w:noProof/>
                <w:color w:val="000000" w:themeColor="text1"/>
                <w:sz w:val="20"/>
              </w:rPr>
              <w:t>原住民族委員會建置及營運原住民族產品電子商務平臺，推動前期未測試市場反應、中後期則未能提出有效行銷策略，致營運成效欠佳，且非屬短期完成之勞務採購案，卻以因應COVID－19疫情需求為由辦理緊急採購，允宜研謀改進</w:t>
            </w:r>
            <w:r>
              <w:rPr>
                <w:rFonts w:ascii="標楷體" w:eastAsia="標楷體" w:hAnsi="標楷體" w:hint="eastAsia"/>
                <w:noProof/>
                <w:color w:val="000000" w:themeColor="text1"/>
                <w:sz w:val="20"/>
              </w:rPr>
              <w:t>。</w:t>
            </w:r>
          </w:p>
        </w:tc>
        <w:tc>
          <w:tcPr>
            <w:tcW w:w="2693" w:type="dxa"/>
            <w:tcBorders>
              <w:top w:val="single" w:sz="4" w:space="0" w:color="auto"/>
              <w:left w:val="single" w:sz="4" w:space="0" w:color="auto"/>
              <w:bottom w:val="single" w:sz="4" w:space="0" w:color="auto"/>
              <w:right w:val="single" w:sz="4" w:space="0" w:color="auto"/>
            </w:tcBorders>
          </w:tcPr>
          <w:p w14:paraId="08981CD6" w14:textId="6FCCB99A" w:rsidR="003609CF" w:rsidRPr="00FF0427" w:rsidRDefault="003609CF" w:rsidP="001E782A">
            <w:pPr>
              <w:overflowPunct w:val="0"/>
              <w:snapToGrid w:val="0"/>
              <w:spacing w:line="276" w:lineRule="exact"/>
              <w:jc w:val="both"/>
              <w:rPr>
                <w:rFonts w:ascii="標楷體" w:eastAsia="標楷體" w:hAnsi="標楷體"/>
                <w:noProof/>
                <w:color w:val="000000" w:themeColor="text1"/>
                <w:sz w:val="20"/>
              </w:rPr>
            </w:pPr>
            <w:r w:rsidRPr="003609CF">
              <w:rPr>
                <w:rFonts w:ascii="標楷體" w:eastAsia="標楷體" w:hAnsi="標楷體" w:hint="eastAsia"/>
                <w:noProof/>
                <w:color w:val="000000" w:themeColor="text1"/>
                <w:sz w:val="20"/>
              </w:rPr>
              <w:t>前經依法陳報監察院，該院業同意備查。</w:t>
            </w:r>
          </w:p>
        </w:tc>
      </w:tr>
      <w:tr w:rsidR="007064BE" w:rsidRPr="00FF0427" w14:paraId="552DEE87"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249DDC19" w14:textId="69DE7872" w:rsidR="007064BE" w:rsidRPr="00FF0427" w:rsidRDefault="007064BE" w:rsidP="00E507B2">
            <w:pPr>
              <w:overflowPunct w:val="0"/>
              <w:spacing w:line="276"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（三）</w:t>
            </w:r>
            <w:r w:rsidR="00E507B2" w:rsidRPr="00E507B2">
              <w:rPr>
                <w:rFonts w:ascii="標楷體" w:eastAsia="標楷體" w:hAnsi="標楷體" w:hint="eastAsia"/>
                <w:noProof/>
                <w:color w:val="000000" w:themeColor="text1"/>
                <w:sz w:val="20"/>
              </w:rPr>
              <w:t>受全球終端消費需求弱化影響，我國111年度經濟成長趨緩，112年度再因全球經濟成長放緩，抑制出口及民間投資成長動能，預測經濟成長幅度將較111年度減緩，並以民間消費為助力挹注我國經濟成長。惟國內物價壓力持續增加，薪資成長未及物價上漲幅度，限縮民眾購買能力，恐抑減民間消費成長動能，允宜持續落實推動各項穩定物價作為，提振民眾購買能力及信心，以擴張民間消費需求貢獻經濟成長，減緩全球經濟風險對經濟之影響</w:t>
            </w:r>
            <w:r w:rsidRPr="00FF0427">
              <w:rPr>
                <w:rFonts w:ascii="標楷體" w:eastAsia="標楷體" w:hAnsi="標楷體" w:hint="eastAsia"/>
                <w:noProof/>
                <w:color w:val="000000" w:themeColor="text1"/>
                <w:sz w:val="20"/>
              </w:rPr>
              <w:t>。</w:t>
            </w:r>
          </w:p>
        </w:tc>
        <w:tc>
          <w:tcPr>
            <w:tcW w:w="2693" w:type="dxa"/>
            <w:vMerge w:val="restart"/>
            <w:tcBorders>
              <w:left w:val="single" w:sz="4" w:space="0" w:color="auto"/>
              <w:right w:val="single" w:sz="4" w:space="0" w:color="auto"/>
              <w:tl2br w:val="single" w:sz="4" w:space="0" w:color="auto"/>
            </w:tcBorders>
          </w:tcPr>
          <w:p w14:paraId="57117E7A" w14:textId="7D252475" w:rsidR="007064BE" w:rsidRPr="00FF0427" w:rsidRDefault="007064BE" w:rsidP="001E782A">
            <w:pPr>
              <w:overflowPunct w:val="0"/>
              <w:snapToGrid w:val="0"/>
              <w:spacing w:line="276" w:lineRule="exact"/>
              <w:jc w:val="both"/>
              <w:rPr>
                <w:rFonts w:ascii="標楷體" w:eastAsia="標楷體" w:hAnsi="標楷體"/>
                <w:noProof/>
                <w:color w:val="000000" w:themeColor="text1"/>
                <w:sz w:val="20"/>
              </w:rPr>
            </w:pPr>
          </w:p>
        </w:tc>
      </w:tr>
      <w:tr w:rsidR="007064BE" w:rsidRPr="00FF0427" w14:paraId="32AC34CE"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79BF9FCF" w14:textId="3C404717" w:rsidR="007064BE" w:rsidRPr="00FF0427" w:rsidRDefault="007064BE" w:rsidP="00E507B2">
            <w:pPr>
              <w:overflowPunct w:val="0"/>
              <w:spacing w:line="276"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（四）</w:t>
            </w:r>
            <w:r w:rsidR="00E507B2" w:rsidRPr="00E507B2">
              <w:rPr>
                <w:rFonts w:ascii="標楷體" w:eastAsia="標楷體" w:hAnsi="標楷體" w:hint="eastAsia"/>
                <w:noProof/>
                <w:color w:val="000000" w:themeColor="text1"/>
                <w:sz w:val="20"/>
              </w:rPr>
              <w:t>政府以移用以前年度歲計賸餘及舉借債務為財源編列疫後特別預算，並優先以特別預算執行期間之以前年度歲計賸餘支應。惟近年度中央政府稅課收入決算數超逾預算數甚多，稅課收入估計編列有待精進，且中央政府歷年度累計餘絀包含保留多年未執行之歲入預算保留，為利政府財政穩健及增加對未來經濟不確定性可能造成歲入短收之因應彈性，尚不宜全數移用以前年度歲計賸餘支應政府支出，允宜加強研議提升稅收預測之精準度，強化財務管理效能，並妥善運用政府預算資源，確保財政永續發展</w:t>
            </w:r>
            <w:r w:rsidRPr="00FF0427">
              <w:rPr>
                <w:rFonts w:ascii="標楷體" w:eastAsia="標楷體" w:hAnsi="標楷體" w:hint="eastAsia"/>
                <w:noProof/>
                <w:color w:val="000000" w:themeColor="text1"/>
                <w:sz w:val="20"/>
              </w:rPr>
              <w:t>。</w:t>
            </w:r>
          </w:p>
        </w:tc>
        <w:tc>
          <w:tcPr>
            <w:tcW w:w="2693" w:type="dxa"/>
            <w:vMerge/>
            <w:tcBorders>
              <w:left w:val="single" w:sz="4" w:space="0" w:color="auto"/>
              <w:right w:val="single" w:sz="4" w:space="0" w:color="auto"/>
              <w:tl2br w:val="single" w:sz="4" w:space="0" w:color="auto"/>
            </w:tcBorders>
          </w:tcPr>
          <w:p w14:paraId="4762C1A8" w14:textId="77777777" w:rsidR="007064BE" w:rsidRPr="00FF0427" w:rsidRDefault="007064BE" w:rsidP="001E782A">
            <w:pPr>
              <w:overflowPunct w:val="0"/>
              <w:snapToGrid w:val="0"/>
              <w:spacing w:line="276" w:lineRule="exact"/>
              <w:jc w:val="both"/>
              <w:rPr>
                <w:rFonts w:ascii="標楷體" w:eastAsia="標楷體" w:hAnsi="標楷體"/>
                <w:noProof/>
                <w:color w:val="000000" w:themeColor="text1"/>
                <w:sz w:val="20"/>
              </w:rPr>
            </w:pPr>
          </w:p>
        </w:tc>
      </w:tr>
      <w:tr w:rsidR="007064BE" w:rsidRPr="00FF0427" w14:paraId="3DBBF4C8"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13729675" w14:textId="2BDD23A2" w:rsidR="007064BE" w:rsidRPr="00FF0427" w:rsidRDefault="007064BE" w:rsidP="00E507B2">
            <w:pPr>
              <w:overflowPunct w:val="0"/>
              <w:spacing w:line="276"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（五）</w:t>
            </w:r>
            <w:r w:rsidR="00E507B2" w:rsidRPr="00E507B2">
              <w:rPr>
                <w:rFonts w:ascii="標楷體" w:eastAsia="標楷體" w:hAnsi="標楷體" w:hint="eastAsia"/>
                <w:noProof/>
                <w:color w:val="000000" w:themeColor="text1"/>
                <w:sz w:val="20"/>
              </w:rPr>
              <w:t>政府持續加碼補助育兒家庭，幼兒家外送托率及入園率已有顯著增加，惟育齡國人逾5成未婚不利提升生育率，且高房價加重家庭經濟負擔、婦女難以兼顧家庭與就業影響婚育意願，有待研議設置少子女化對策督導會報專責統籌解決少子女化議題相關事務，強化對未婚族群之關注政策鼓勵適齡結婚，並增加家庭教育宣導方式及內容之多樣性，導引年輕人重視婚育價值</w:t>
            </w:r>
            <w:r w:rsidRPr="00FF0427">
              <w:rPr>
                <w:rFonts w:ascii="標楷體" w:eastAsia="標楷體" w:hAnsi="標楷體" w:hint="eastAsia"/>
                <w:noProof/>
                <w:color w:val="000000" w:themeColor="text1"/>
                <w:sz w:val="20"/>
              </w:rPr>
              <w:t>。</w:t>
            </w:r>
          </w:p>
        </w:tc>
        <w:tc>
          <w:tcPr>
            <w:tcW w:w="2693" w:type="dxa"/>
            <w:vMerge/>
            <w:tcBorders>
              <w:left w:val="single" w:sz="4" w:space="0" w:color="auto"/>
              <w:right w:val="single" w:sz="4" w:space="0" w:color="auto"/>
              <w:tl2br w:val="single" w:sz="4" w:space="0" w:color="auto"/>
            </w:tcBorders>
          </w:tcPr>
          <w:p w14:paraId="2E02D541" w14:textId="77777777" w:rsidR="007064BE" w:rsidRPr="00FF0427" w:rsidRDefault="007064BE" w:rsidP="001E782A">
            <w:pPr>
              <w:overflowPunct w:val="0"/>
              <w:snapToGrid w:val="0"/>
              <w:spacing w:line="276" w:lineRule="exact"/>
              <w:jc w:val="both"/>
              <w:rPr>
                <w:rFonts w:ascii="標楷體" w:eastAsia="標楷體" w:hAnsi="標楷體"/>
                <w:noProof/>
                <w:color w:val="000000" w:themeColor="text1"/>
                <w:sz w:val="20"/>
              </w:rPr>
            </w:pPr>
          </w:p>
        </w:tc>
      </w:tr>
      <w:tr w:rsidR="007064BE" w:rsidRPr="00FF0427" w14:paraId="350A29BF" w14:textId="77777777" w:rsidTr="007064BE">
        <w:trPr>
          <w:trHeight w:val="340"/>
        </w:trPr>
        <w:tc>
          <w:tcPr>
            <w:tcW w:w="7230" w:type="dxa"/>
            <w:tcBorders>
              <w:top w:val="single" w:sz="4" w:space="0" w:color="auto"/>
              <w:left w:val="single" w:sz="4" w:space="0" w:color="auto"/>
              <w:bottom w:val="single" w:sz="4" w:space="0" w:color="auto"/>
              <w:right w:val="single" w:sz="4" w:space="0" w:color="auto"/>
            </w:tcBorders>
          </w:tcPr>
          <w:p w14:paraId="35EF8EFF" w14:textId="22D50BAD" w:rsidR="007064BE" w:rsidRPr="00FF0427" w:rsidRDefault="007064BE" w:rsidP="00E507B2">
            <w:pPr>
              <w:overflowPunct w:val="0"/>
              <w:spacing w:line="276"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（六）</w:t>
            </w:r>
            <w:r w:rsidR="00E507B2" w:rsidRPr="00E507B2">
              <w:rPr>
                <w:rFonts w:ascii="標楷體" w:eastAsia="標楷體" w:hAnsi="標楷體" w:hint="eastAsia"/>
                <w:noProof/>
                <w:color w:val="000000" w:themeColor="text1"/>
                <w:sz w:val="20"/>
              </w:rPr>
              <w:t>政府推動毒品防制政策，已逐步降低毒品新生人口，惟毒品再犯比率仍高，部分防制工作受限於反毒教育宣導資源、社區處遇量能不足，與新興毒品快速變化，國內鑑檢量能未及配合提升，影響執行成效，允宜研謀強化跨域合作，擴大反毒宣導成效，並持續推動各項防制工作，以提升反毒整體成效</w:t>
            </w:r>
            <w:r w:rsidRPr="00FF0427">
              <w:rPr>
                <w:rFonts w:ascii="標楷體" w:eastAsia="標楷體" w:hAnsi="標楷體" w:hint="eastAsia"/>
                <w:noProof/>
                <w:color w:val="000000" w:themeColor="text1"/>
                <w:sz w:val="20"/>
              </w:rPr>
              <w:t>。</w:t>
            </w:r>
          </w:p>
        </w:tc>
        <w:tc>
          <w:tcPr>
            <w:tcW w:w="2693" w:type="dxa"/>
            <w:vMerge/>
            <w:tcBorders>
              <w:left w:val="single" w:sz="4" w:space="0" w:color="auto"/>
              <w:right w:val="single" w:sz="4" w:space="0" w:color="auto"/>
              <w:tl2br w:val="single" w:sz="4" w:space="0" w:color="auto"/>
            </w:tcBorders>
          </w:tcPr>
          <w:p w14:paraId="424D92EB" w14:textId="77777777" w:rsidR="007064BE" w:rsidRPr="00FF0427" w:rsidRDefault="007064BE" w:rsidP="001E782A">
            <w:pPr>
              <w:overflowPunct w:val="0"/>
              <w:snapToGrid w:val="0"/>
              <w:spacing w:line="276" w:lineRule="exact"/>
              <w:jc w:val="both"/>
              <w:rPr>
                <w:rFonts w:ascii="標楷體" w:eastAsia="標楷體" w:hAnsi="標楷體"/>
                <w:noProof/>
                <w:color w:val="000000" w:themeColor="text1"/>
                <w:sz w:val="20"/>
              </w:rPr>
            </w:pPr>
          </w:p>
        </w:tc>
      </w:tr>
    </w:tbl>
    <w:p w14:paraId="04A9CA7D" w14:textId="638DB1E7" w:rsidR="008704F1" w:rsidRPr="00FF0427" w:rsidRDefault="008704F1" w:rsidP="001E782A">
      <w:pPr>
        <w:overflowPunct w:val="0"/>
        <w:spacing w:beforeLines="50" w:before="180" w:afterLines="30" w:after="108" w:line="240" w:lineRule="exact"/>
        <w:jc w:val="center"/>
        <w:rPr>
          <w:rFonts w:ascii="標楷體" w:eastAsia="標楷體" w:hAnsi="標楷體"/>
          <w:b/>
          <w:color w:val="000000" w:themeColor="text1"/>
          <w:szCs w:val="24"/>
        </w:rPr>
      </w:pPr>
      <w:r w:rsidRPr="00FF0427">
        <w:rPr>
          <w:rFonts w:ascii="標楷體" w:eastAsia="標楷體" w:hAnsi="標楷體" w:hint="eastAsia"/>
          <w:b/>
          <w:color w:val="000000" w:themeColor="text1"/>
          <w:szCs w:val="24"/>
        </w:rPr>
        <w:lastRenderedPageBreak/>
        <w:t>表</w:t>
      </w:r>
      <w:r w:rsidR="00FD1F79">
        <w:rPr>
          <w:rFonts w:ascii="標楷體" w:eastAsia="標楷體" w:hAnsi="標楷體" w:hint="eastAsia"/>
          <w:b/>
          <w:color w:val="000000" w:themeColor="text1"/>
          <w:szCs w:val="24"/>
        </w:rPr>
        <w:t>4</w:t>
      </w:r>
      <w:r w:rsidR="009821F7">
        <w:rPr>
          <w:rFonts w:ascii="標楷體" w:eastAsia="標楷體" w:hAnsi="標楷體" w:hint="eastAsia"/>
          <w:b/>
          <w:color w:val="000000" w:themeColor="text1"/>
          <w:szCs w:val="24"/>
        </w:rPr>
        <w:t>4</w:t>
      </w:r>
      <w:r w:rsidRPr="00FF0427">
        <w:rPr>
          <w:rFonts w:ascii="標楷體" w:eastAsia="標楷體" w:hAnsi="標楷體" w:hint="eastAsia"/>
          <w:b/>
          <w:color w:val="000000" w:themeColor="text1"/>
          <w:szCs w:val="24"/>
        </w:rPr>
        <w:t xml:space="preserve">　</w:t>
      </w:r>
      <w:r w:rsidRPr="00FF0427">
        <w:rPr>
          <w:rFonts w:ascii="標楷體" w:eastAsia="標楷體" w:hAnsi="標楷體"/>
          <w:b/>
          <w:color w:val="000000" w:themeColor="text1"/>
          <w:szCs w:val="24"/>
        </w:rPr>
        <w:t>1</w:t>
      </w:r>
      <w:r w:rsidRPr="00FF0427">
        <w:rPr>
          <w:rFonts w:ascii="標楷體" w:eastAsia="標楷體" w:hAnsi="標楷體" w:hint="eastAsia"/>
          <w:b/>
          <w:color w:val="000000" w:themeColor="text1"/>
          <w:szCs w:val="24"/>
        </w:rPr>
        <w:t>1</w:t>
      </w:r>
      <w:r w:rsidR="00834BE9">
        <w:rPr>
          <w:rFonts w:ascii="標楷體" w:eastAsia="標楷體" w:hAnsi="標楷體" w:hint="eastAsia"/>
          <w:b/>
          <w:color w:val="000000" w:themeColor="text1"/>
          <w:szCs w:val="24"/>
        </w:rPr>
        <w:t>1</w:t>
      </w:r>
      <w:r w:rsidRPr="00FF0427">
        <w:rPr>
          <w:rFonts w:ascii="標楷體" w:eastAsia="標楷體" w:hAnsi="標楷體" w:hint="eastAsia"/>
          <w:b/>
          <w:color w:val="000000" w:themeColor="text1"/>
          <w:szCs w:val="24"/>
        </w:rPr>
        <w:t>年度審核報告所列行政院主管普通公務相關重要審核意見覆核辦理情形（續）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364"/>
        <w:gridCol w:w="1559"/>
      </w:tblGrid>
      <w:tr w:rsidR="008704F1" w:rsidRPr="00FF0427" w14:paraId="26188DA8" w14:textId="77777777" w:rsidTr="007A0A90">
        <w:trPr>
          <w:trHeight w:val="280"/>
          <w:tblHeader/>
        </w:trPr>
        <w:tc>
          <w:tcPr>
            <w:tcW w:w="8364" w:type="dxa"/>
            <w:tcBorders>
              <w:top w:val="single" w:sz="4" w:space="0" w:color="auto"/>
              <w:left w:val="single" w:sz="4" w:space="0" w:color="auto"/>
              <w:bottom w:val="single" w:sz="4" w:space="0" w:color="auto"/>
              <w:right w:val="single" w:sz="4" w:space="0" w:color="auto"/>
            </w:tcBorders>
            <w:vAlign w:val="center"/>
          </w:tcPr>
          <w:p w14:paraId="00C9D550" w14:textId="77777777" w:rsidR="008704F1" w:rsidRPr="00FF0427" w:rsidRDefault="008704F1" w:rsidP="001E782A">
            <w:pPr>
              <w:overflowPunct w:val="0"/>
              <w:spacing w:line="320" w:lineRule="exact"/>
              <w:jc w:val="center"/>
              <w:rPr>
                <w:rFonts w:ascii="標楷體" w:eastAsia="標楷體" w:hAnsi="標楷體"/>
                <w:color w:val="000000" w:themeColor="text1"/>
                <w:sz w:val="20"/>
              </w:rPr>
            </w:pPr>
            <w:r w:rsidRPr="00FF0427">
              <w:rPr>
                <w:rFonts w:ascii="標楷體" w:eastAsia="標楷體" w:hAnsi="標楷體" w:hint="eastAsia"/>
                <w:color w:val="000000" w:themeColor="text1"/>
                <w:sz w:val="20"/>
              </w:rPr>
              <w:t>重要審核意見標題</w:t>
            </w:r>
          </w:p>
        </w:tc>
        <w:tc>
          <w:tcPr>
            <w:tcW w:w="1559" w:type="dxa"/>
            <w:tcBorders>
              <w:top w:val="single" w:sz="4" w:space="0" w:color="auto"/>
              <w:left w:val="single" w:sz="4" w:space="0" w:color="auto"/>
              <w:bottom w:val="single" w:sz="4" w:space="0" w:color="auto"/>
              <w:right w:val="single" w:sz="4" w:space="0" w:color="auto"/>
            </w:tcBorders>
            <w:vAlign w:val="center"/>
          </w:tcPr>
          <w:p w14:paraId="5A08FE81" w14:textId="77777777" w:rsidR="008704F1" w:rsidRPr="00FF0427" w:rsidRDefault="008704F1" w:rsidP="001E782A">
            <w:pPr>
              <w:overflowPunct w:val="0"/>
              <w:spacing w:line="320" w:lineRule="exact"/>
              <w:jc w:val="center"/>
              <w:rPr>
                <w:rFonts w:ascii="標楷體" w:eastAsia="標楷體" w:hAnsi="標楷體"/>
                <w:color w:val="000000" w:themeColor="text1"/>
                <w:sz w:val="20"/>
              </w:rPr>
            </w:pPr>
            <w:r w:rsidRPr="00FF0427">
              <w:rPr>
                <w:rFonts w:ascii="標楷體" w:eastAsia="標楷體" w:hAnsi="標楷體" w:hint="eastAsia"/>
                <w:color w:val="000000" w:themeColor="text1"/>
                <w:sz w:val="20"/>
              </w:rPr>
              <w:t>說明</w:t>
            </w:r>
          </w:p>
        </w:tc>
      </w:tr>
      <w:tr w:rsidR="00FF55AB" w:rsidRPr="00FF0427" w14:paraId="022E9C51" w14:textId="77777777" w:rsidTr="007A0A90">
        <w:tc>
          <w:tcPr>
            <w:tcW w:w="8364" w:type="dxa"/>
            <w:tcBorders>
              <w:top w:val="single" w:sz="4" w:space="0" w:color="auto"/>
              <w:left w:val="single" w:sz="4" w:space="0" w:color="auto"/>
              <w:bottom w:val="single" w:sz="4" w:space="0" w:color="auto"/>
              <w:right w:val="single" w:sz="4" w:space="0" w:color="auto"/>
            </w:tcBorders>
          </w:tcPr>
          <w:p w14:paraId="2B1E0AD1" w14:textId="6FCBE014" w:rsidR="00FF55AB" w:rsidRPr="00FF0427" w:rsidRDefault="00FF55AB" w:rsidP="007A0A90">
            <w:pPr>
              <w:overflowPunct w:val="0"/>
              <w:snapToGrid w:val="0"/>
              <w:spacing w:line="270"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w:t>
            </w:r>
            <w:r w:rsidR="00E507B2">
              <w:rPr>
                <w:rFonts w:ascii="標楷體" w:eastAsia="標楷體" w:hAnsi="標楷體" w:hint="eastAsia"/>
                <w:noProof/>
                <w:color w:val="000000" w:themeColor="text1"/>
                <w:sz w:val="20"/>
              </w:rPr>
              <w:t>七</w:t>
            </w:r>
            <w:r w:rsidRPr="00FF0427">
              <w:rPr>
                <w:rFonts w:ascii="標楷體" w:eastAsia="標楷體" w:hAnsi="標楷體" w:hint="eastAsia"/>
                <w:noProof/>
                <w:color w:val="000000" w:themeColor="text1"/>
                <w:sz w:val="20"/>
              </w:rPr>
              <w:t>）</w:t>
            </w:r>
            <w:r w:rsidR="00E507B2" w:rsidRPr="00E507B2">
              <w:rPr>
                <w:rFonts w:ascii="標楷體" w:eastAsia="標楷體" w:hAnsi="標楷體" w:hint="eastAsia"/>
                <w:noProof/>
                <w:color w:val="000000" w:themeColor="text1"/>
                <w:sz w:val="20"/>
              </w:rPr>
              <w:t>政府秉持養殖為本、綠能加值之精神推動漁電共生，惟漁電公告區夾雜不符編定用途土地且未揭露合法用水資訊，不利業者整合申辦；又特定農業區無養殖事實之養殖池不符申設條件，卻仍劃入漁電公告區、屋頂型漁電共生未經生態環境影響檢核、核准設置案場養殖產量與品質之驗證措施不足等，亟待研謀妥處及強化管控機制</w:t>
            </w:r>
            <w:r w:rsidRPr="00FF0427">
              <w:rPr>
                <w:rFonts w:ascii="標楷體" w:eastAsia="標楷體" w:hAnsi="標楷體" w:hint="eastAsia"/>
                <w:noProof/>
                <w:color w:val="000000" w:themeColor="text1"/>
                <w:sz w:val="20"/>
              </w:rPr>
              <w:t>。</w:t>
            </w:r>
          </w:p>
        </w:tc>
        <w:tc>
          <w:tcPr>
            <w:tcW w:w="1559" w:type="dxa"/>
            <w:vMerge w:val="restart"/>
            <w:tcBorders>
              <w:left w:val="single" w:sz="4" w:space="0" w:color="auto"/>
              <w:right w:val="single" w:sz="4" w:space="0" w:color="auto"/>
              <w:tl2br w:val="single" w:sz="4" w:space="0" w:color="auto"/>
            </w:tcBorders>
          </w:tcPr>
          <w:p w14:paraId="3A91B08B"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E507B2" w:rsidRPr="00FF0427" w14:paraId="6B04191D" w14:textId="77777777" w:rsidTr="007A0A90">
        <w:tc>
          <w:tcPr>
            <w:tcW w:w="8364" w:type="dxa"/>
            <w:tcBorders>
              <w:top w:val="single" w:sz="4" w:space="0" w:color="auto"/>
              <w:left w:val="single" w:sz="4" w:space="0" w:color="auto"/>
              <w:bottom w:val="single" w:sz="4" w:space="0" w:color="auto"/>
              <w:right w:val="single" w:sz="4" w:space="0" w:color="auto"/>
            </w:tcBorders>
          </w:tcPr>
          <w:p w14:paraId="3CF1F7EC" w14:textId="4FAD2A66" w:rsidR="00E507B2" w:rsidRPr="00FF0427" w:rsidRDefault="00E507B2" w:rsidP="007A0A90">
            <w:pPr>
              <w:overflowPunct w:val="0"/>
              <w:snapToGrid w:val="0"/>
              <w:spacing w:line="270" w:lineRule="exact"/>
              <w:ind w:left="560" w:hangingChars="280" w:hanging="5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（八）</w:t>
            </w:r>
            <w:r w:rsidRPr="00E507B2">
              <w:rPr>
                <w:rFonts w:ascii="標楷體" w:eastAsia="標楷體" w:hAnsi="標楷體" w:hint="eastAsia"/>
                <w:noProof/>
                <w:color w:val="000000" w:themeColor="text1"/>
                <w:sz w:val="20"/>
              </w:rPr>
              <w:t>政府為保障國民居住權益，已積極推動社會住宅及租金補貼等各項住宅政策及協助措施，惟房價居高不下及租屋黑市普遍存在，以致相關政策措施在解決青年世代之居住問題，尚無法有效協助並發揮作用，允宜妥謀因應善策，協助青年有穩定可負擔的安居之所，以落實居住正義</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29C0F858" w14:textId="77777777" w:rsidR="00E507B2" w:rsidRPr="00FF0427" w:rsidRDefault="00E507B2"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12982A6E" w14:textId="77777777" w:rsidTr="007A0A90">
        <w:tc>
          <w:tcPr>
            <w:tcW w:w="8364" w:type="dxa"/>
            <w:tcBorders>
              <w:top w:val="single" w:sz="4" w:space="0" w:color="auto"/>
              <w:left w:val="single" w:sz="4" w:space="0" w:color="auto"/>
              <w:bottom w:val="single" w:sz="4" w:space="0" w:color="auto"/>
              <w:right w:val="single" w:sz="4" w:space="0" w:color="auto"/>
            </w:tcBorders>
          </w:tcPr>
          <w:p w14:paraId="02DB61D0" w14:textId="082C4743" w:rsidR="00FF55AB" w:rsidRPr="00FF0427" w:rsidRDefault="00FF55AB" w:rsidP="00E507B2">
            <w:pPr>
              <w:overflowPunct w:val="0"/>
              <w:snapToGrid w:val="0"/>
              <w:spacing w:line="270"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（九）</w:t>
            </w:r>
            <w:r w:rsidR="00E507B2" w:rsidRPr="00E507B2">
              <w:rPr>
                <w:rFonts w:ascii="標楷體" w:eastAsia="標楷體" w:hAnsi="標楷體" w:hint="eastAsia"/>
                <w:noProof/>
                <w:color w:val="000000" w:themeColor="text1"/>
                <w:sz w:val="20"/>
              </w:rPr>
              <w:t>行政院為強化企業個資外洩罰責，推動個人資料保護法修正，業經立法院三讀通過，惟該法尚無規範公務機關個資外洩事件通報與應變機制及非公務機關延遲通報相關罰則，又部分主管機關辦理個資外洩案件通報與行政檢查有未臻周妥之處，亟待督促研謀因應，以維民眾權益</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354426FB"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69B5E03C" w14:textId="77777777" w:rsidTr="007A0A90">
        <w:tc>
          <w:tcPr>
            <w:tcW w:w="8364" w:type="dxa"/>
            <w:tcBorders>
              <w:top w:val="single" w:sz="4" w:space="0" w:color="auto"/>
              <w:left w:val="single" w:sz="4" w:space="0" w:color="auto"/>
              <w:bottom w:val="single" w:sz="4" w:space="0" w:color="auto"/>
              <w:right w:val="single" w:sz="4" w:space="0" w:color="auto"/>
            </w:tcBorders>
          </w:tcPr>
          <w:p w14:paraId="21E94E44" w14:textId="4D3B4291" w:rsidR="00FF55AB" w:rsidRPr="00FF0427" w:rsidRDefault="00FF55AB" w:rsidP="007A0A90">
            <w:pPr>
              <w:overflowPunct w:val="0"/>
              <w:snapToGrid w:val="0"/>
              <w:spacing w:line="270" w:lineRule="exact"/>
              <w:ind w:left="600" w:hangingChars="300" w:hanging="6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w:t>
            </w:r>
            <w:r w:rsidR="00E507B2" w:rsidRPr="00E507B2">
              <w:rPr>
                <w:rFonts w:ascii="標楷體" w:eastAsia="標楷體" w:hAnsi="標楷體" w:hint="eastAsia"/>
                <w:noProof/>
                <w:color w:val="000000" w:themeColor="text1"/>
                <w:sz w:val="20"/>
              </w:rPr>
              <w:t>政府為加速建構完善之國家資通安全環境，制定公布資通安全管理法並自108年1月1日施行，惟施行以來部分中央公務機關資安專職人力仍欠適足，資安督導業務亦未盡落實等情形，有待督促相關機關研謀善策，以提升國家整體資安防護量能</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0E6C3EE7"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4AA857FC" w14:textId="77777777" w:rsidTr="007A0A90">
        <w:tc>
          <w:tcPr>
            <w:tcW w:w="8364" w:type="dxa"/>
            <w:tcBorders>
              <w:top w:val="single" w:sz="4" w:space="0" w:color="auto"/>
              <w:left w:val="single" w:sz="4" w:space="0" w:color="auto"/>
              <w:bottom w:val="single" w:sz="4" w:space="0" w:color="auto"/>
              <w:right w:val="single" w:sz="4" w:space="0" w:color="auto"/>
            </w:tcBorders>
          </w:tcPr>
          <w:p w14:paraId="0D77BB42" w14:textId="51F89CCB" w:rsidR="00FF55AB" w:rsidRPr="00FF0427" w:rsidRDefault="00FF55AB" w:rsidP="007A0A90">
            <w:pPr>
              <w:overflowPunct w:val="0"/>
              <w:snapToGrid w:val="0"/>
              <w:spacing w:line="270" w:lineRule="exact"/>
              <w:ind w:left="800" w:hangingChars="400" w:hanging="8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（十一）</w:t>
            </w:r>
            <w:r w:rsidR="00E507B2" w:rsidRPr="00E507B2">
              <w:rPr>
                <w:rFonts w:ascii="標楷體" w:eastAsia="標楷體" w:hAnsi="標楷體" w:hint="eastAsia"/>
                <w:noProof/>
                <w:color w:val="000000" w:themeColor="text1"/>
                <w:sz w:val="20"/>
              </w:rPr>
              <w:t>行政院為建立國人對政府行動化應用軟體使用安全之信賴感，已修正行動化服務作業原則，明定機關開發之App應通過資安檢測，始得提供民眾下載使用，惟未明確規範檢測作業方式及頻率、未將機關內部使用之App納入作業原則適用對象，及未落實相關管考機制等，易衍生個資外洩及資安風險，亟待相關權責機關研謀因應</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45578C26"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34B22F26" w14:textId="77777777" w:rsidTr="007A0A90">
        <w:tc>
          <w:tcPr>
            <w:tcW w:w="8364" w:type="dxa"/>
            <w:tcBorders>
              <w:top w:val="single" w:sz="4" w:space="0" w:color="auto"/>
              <w:left w:val="single" w:sz="4" w:space="0" w:color="auto"/>
              <w:bottom w:val="single" w:sz="4" w:space="0" w:color="auto"/>
              <w:right w:val="single" w:sz="4" w:space="0" w:color="auto"/>
            </w:tcBorders>
          </w:tcPr>
          <w:p w14:paraId="2C927009" w14:textId="33CC1D6E" w:rsidR="00FF55AB" w:rsidRPr="00FF0427" w:rsidRDefault="00FF55AB" w:rsidP="007A0A90">
            <w:pPr>
              <w:overflowPunct w:val="0"/>
              <w:snapToGrid w:val="0"/>
              <w:spacing w:line="270" w:lineRule="exact"/>
              <w:ind w:left="800" w:hangingChars="400" w:hanging="8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（十二）</w:t>
            </w:r>
            <w:r w:rsidR="00E507B2" w:rsidRPr="00E507B2">
              <w:rPr>
                <w:rFonts w:ascii="標楷體" w:eastAsia="標楷體" w:hAnsi="標楷體" w:hint="eastAsia"/>
                <w:noProof/>
                <w:color w:val="000000" w:themeColor="text1"/>
                <w:sz w:val="20"/>
              </w:rPr>
              <w:t>政府推動AI行動計畫已獲得相當成果，各產業對AI技術之應用益趨普及，惟伴隨AI應用所帶來之負面效應與風險已逐漸浮現，允宜參酌發展現況、社會各界之建議及各主要國家實務作法，儘速完成人工智慧基本法之立法及相關配套措施之研訂，以完備人工智慧法制基礎環境</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08E0D759"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2040688D" w14:textId="77777777" w:rsidTr="007A0A90">
        <w:tc>
          <w:tcPr>
            <w:tcW w:w="8364" w:type="dxa"/>
            <w:tcBorders>
              <w:top w:val="single" w:sz="4" w:space="0" w:color="auto"/>
              <w:left w:val="single" w:sz="4" w:space="0" w:color="auto"/>
              <w:bottom w:val="single" w:sz="4" w:space="0" w:color="auto"/>
              <w:right w:val="single" w:sz="4" w:space="0" w:color="auto"/>
            </w:tcBorders>
          </w:tcPr>
          <w:p w14:paraId="6EF553FA" w14:textId="2CB5983B" w:rsidR="00FF55AB" w:rsidRPr="00FF0427" w:rsidRDefault="00FF55AB" w:rsidP="007A0A90">
            <w:pPr>
              <w:overflowPunct w:val="0"/>
              <w:snapToGrid w:val="0"/>
              <w:spacing w:line="270" w:lineRule="exact"/>
              <w:ind w:left="800" w:hangingChars="400" w:hanging="8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（十三）</w:t>
            </w:r>
            <w:r w:rsidR="00E507B2" w:rsidRPr="00E507B2">
              <w:rPr>
                <w:rFonts w:ascii="標楷體" w:eastAsia="標楷體" w:hAnsi="標楷體" w:hint="eastAsia"/>
                <w:noProof/>
                <w:color w:val="000000" w:themeColor="text1"/>
                <w:sz w:val="20"/>
              </w:rPr>
              <w:t>行政院已指定金融監督管理委員會擔任虛擬資產平臺之主管機關，鑑於虛擬資產類型及衍生之犯罪態樣眾多，且涉及跨部會權責，允宜儘速邀集相關部會研議全面性之管理架構</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54A3855F"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6420939A" w14:textId="77777777" w:rsidTr="007A0A90">
        <w:tc>
          <w:tcPr>
            <w:tcW w:w="8364" w:type="dxa"/>
            <w:tcBorders>
              <w:top w:val="single" w:sz="4" w:space="0" w:color="auto"/>
              <w:left w:val="single" w:sz="4" w:space="0" w:color="auto"/>
              <w:bottom w:val="single" w:sz="4" w:space="0" w:color="auto"/>
              <w:right w:val="single" w:sz="4" w:space="0" w:color="auto"/>
            </w:tcBorders>
          </w:tcPr>
          <w:p w14:paraId="61F7B74C" w14:textId="3EE5BE93" w:rsidR="00FF55AB" w:rsidRPr="00FF0427" w:rsidRDefault="00FF55AB" w:rsidP="007A0A90">
            <w:pPr>
              <w:overflowPunct w:val="0"/>
              <w:snapToGrid w:val="0"/>
              <w:spacing w:line="270" w:lineRule="exact"/>
              <w:ind w:left="800" w:hangingChars="400" w:hanging="8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（十四）</w:t>
            </w:r>
            <w:r w:rsidR="00E507B2" w:rsidRPr="00E507B2">
              <w:rPr>
                <w:rFonts w:ascii="標楷體" w:eastAsia="標楷體" w:hAnsi="標楷體" w:hint="eastAsia"/>
                <w:noProof/>
                <w:color w:val="000000" w:themeColor="text1"/>
                <w:sz w:val="20"/>
              </w:rPr>
              <w:t>為加強機關政策及業務宣導經費資訊揭露，已增設媒體政策及業務宣導經費專屬預算科目暨相關預算書表，惟仍有機關辦理政策及業務宣導案件製作成本未計入宣導費、未依規定揭露機關名稱或標示廣告，資訊公開未臻完整等情事，亟待研謀改善</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773FC2C9"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41244282" w14:textId="77777777" w:rsidTr="007A0A90">
        <w:tc>
          <w:tcPr>
            <w:tcW w:w="8364" w:type="dxa"/>
            <w:tcBorders>
              <w:top w:val="single" w:sz="4" w:space="0" w:color="auto"/>
              <w:left w:val="single" w:sz="4" w:space="0" w:color="auto"/>
              <w:bottom w:val="single" w:sz="4" w:space="0" w:color="auto"/>
              <w:right w:val="single" w:sz="4" w:space="0" w:color="auto"/>
            </w:tcBorders>
          </w:tcPr>
          <w:p w14:paraId="50CB5B14" w14:textId="4FCA68AF" w:rsidR="00FF55AB" w:rsidRPr="00FF0427" w:rsidRDefault="00FF55AB" w:rsidP="007A0A90">
            <w:pPr>
              <w:overflowPunct w:val="0"/>
              <w:snapToGrid w:val="0"/>
              <w:spacing w:line="270" w:lineRule="exact"/>
              <w:ind w:left="800" w:hangingChars="400" w:hanging="8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（十五）</w:t>
            </w:r>
            <w:r w:rsidR="00E507B2" w:rsidRPr="00E507B2">
              <w:rPr>
                <w:rFonts w:ascii="標楷體" w:eastAsia="標楷體" w:hAnsi="標楷體" w:hint="eastAsia"/>
                <w:noProof/>
                <w:color w:val="000000" w:themeColor="text1"/>
                <w:sz w:val="20"/>
              </w:rPr>
              <w:t>政府公布全臺活動斷層暨其地質敏感區，便於民眾瞭解可能發生地質災害之區域，惟活動斷層地質敏感區上部分老舊窳陋區域迄未劃定更新地區，不利該區域都市更新之推動；且部分活動斷層影響區域尚未研議提高建築耐震設計標準，倘依現行標準辦理都市更新或新建建築耐震安全潛存風險，亟待檢討改進</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2471E9D4"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6709033A" w14:textId="77777777" w:rsidTr="007A0A90">
        <w:tc>
          <w:tcPr>
            <w:tcW w:w="8364" w:type="dxa"/>
            <w:tcBorders>
              <w:top w:val="single" w:sz="4" w:space="0" w:color="auto"/>
              <w:left w:val="single" w:sz="4" w:space="0" w:color="auto"/>
              <w:bottom w:val="single" w:sz="4" w:space="0" w:color="auto"/>
              <w:right w:val="single" w:sz="4" w:space="0" w:color="auto"/>
            </w:tcBorders>
          </w:tcPr>
          <w:p w14:paraId="27183C8F" w14:textId="2A603C8E" w:rsidR="00FF55AB" w:rsidRPr="00FF0427" w:rsidRDefault="00FF55AB" w:rsidP="007A0A90">
            <w:pPr>
              <w:overflowPunct w:val="0"/>
              <w:snapToGrid w:val="0"/>
              <w:spacing w:line="270" w:lineRule="exact"/>
              <w:ind w:left="800" w:hangingChars="400" w:hanging="8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（十六）</w:t>
            </w:r>
            <w:r w:rsidR="00E507B2" w:rsidRPr="00E507B2">
              <w:rPr>
                <w:rFonts w:ascii="標楷體" w:eastAsia="標楷體" w:hAnsi="標楷體" w:hint="eastAsia"/>
                <w:noProof/>
                <w:color w:val="000000" w:themeColor="text1"/>
                <w:sz w:val="20"/>
              </w:rPr>
              <w:t>政府持續投入鉅額經費推動重大公共建設計畫，有助增進國家整體發展及人民生活品質，惟國內營建人力短缺問題，及相關公共建設之計畫擬編、管控機制、總結及營運評估、評核等作業，尚待追蹤改善成效，並持續加強或落實依規定辦理，以提升計畫執行效能</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67D810CA"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603C53F0" w14:textId="77777777" w:rsidTr="007A0A90">
        <w:tc>
          <w:tcPr>
            <w:tcW w:w="8364" w:type="dxa"/>
            <w:tcBorders>
              <w:top w:val="single" w:sz="4" w:space="0" w:color="auto"/>
              <w:left w:val="single" w:sz="4" w:space="0" w:color="auto"/>
              <w:bottom w:val="single" w:sz="4" w:space="0" w:color="auto"/>
              <w:right w:val="single" w:sz="4" w:space="0" w:color="auto"/>
            </w:tcBorders>
          </w:tcPr>
          <w:p w14:paraId="343D3845" w14:textId="619620A5" w:rsidR="00FF55AB" w:rsidRPr="00FF0427" w:rsidRDefault="00FF55AB" w:rsidP="007A0A90">
            <w:pPr>
              <w:overflowPunct w:val="0"/>
              <w:snapToGrid w:val="0"/>
              <w:spacing w:line="270" w:lineRule="exact"/>
              <w:ind w:left="800" w:hangingChars="400" w:hanging="8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（十七）</w:t>
            </w:r>
            <w:r w:rsidR="00E507B2" w:rsidRPr="00E507B2">
              <w:rPr>
                <w:rFonts w:ascii="標楷體" w:eastAsia="標楷體" w:hAnsi="標楷體" w:hint="eastAsia"/>
                <w:noProof/>
                <w:color w:val="000000" w:themeColor="text1"/>
                <w:sz w:val="20"/>
              </w:rPr>
              <w:t>行政院及所屬各機關風險管理整合新制已正式施行3個年度，仍有部分機關未辦理風險管理作業並於年度施政績效報告揭露整體風險管理（含內部控制）推動情形，或未提出年度績效報告，允宜持續加強管理與輔導各機關推動風險管理及年度施政績效評核作業</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2BA47C2B"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r w:rsidR="00FF55AB" w:rsidRPr="00FF0427" w14:paraId="056126C2" w14:textId="77777777" w:rsidTr="007A0A90">
        <w:tc>
          <w:tcPr>
            <w:tcW w:w="8364" w:type="dxa"/>
            <w:tcBorders>
              <w:top w:val="single" w:sz="4" w:space="0" w:color="auto"/>
              <w:left w:val="single" w:sz="4" w:space="0" w:color="auto"/>
              <w:bottom w:val="single" w:sz="4" w:space="0" w:color="auto"/>
              <w:right w:val="single" w:sz="4" w:space="0" w:color="auto"/>
            </w:tcBorders>
          </w:tcPr>
          <w:p w14:paraId="32A9B303" w14:textId="39123254" w:rsidR="00FF55AB" w:rsidRPr="00FF0427" w:rsidRDefault="00FF55AB" w:rsidP="007A0A90">
            <w:pPr>
              <w:overflowPunct w:val="0"/>
              <w:snapToGrid w:val="0"/>
              <w:spacing w:line="270" w:lineRule="exact"/>
              <w:ind w:left="800" w:hangingChars="400" w:hanging="8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（十八）</w:t>
            </w:r>
            <w:r w:rsidR="00E507B2" w:rsidRPr="00E507B2">
              <w:rPr>
                <w:rFonts w:ascii="標楷體" w:eastAsia="標楷體" w:hAnsi="標楷體" w:hint="eastAsia"/>
                <w:noProof/>
                <w:color w:val="000000" w:themeColor="text1"/>
                <w:sz w:val="20"/>
              </w:rPr>
              <w:t>國家發展委員會辦理重要社會發展計畫之中長程個案計畫審議作業、預算先期作業審議、個案計畫管考作業、總結評估報告審查作業，部分屆期（前期）計畫總結評估報告審查建議意見未獲參採或改善，相關執行缺失仍持續於延續性計畫發生；部分計畫訂定年度績效指標仍乏產出型或成果效益型指標，不易呈現計畫推動獲致之產出及對於整體社會、經濟之實質效益；重要社會發展計畫短編預算情形嚴重，且有計畫已暫緩執行仍未辦理計畫修正或終止之報核，又中長程個案計畫編審要點尚乏得免依規定程序辦理修正計畫之具體判斷標準等，允宜檢討改善</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334551D5" w14:textId="77777777" w:rsidR="00FF55AB" w:rsidRPr="00FF0427" w:rsidRDefault="00FF55AB" w:rsidP="001E782A">
            <w:pPr>
              <w:overflowPunct w:val="0"/>
              <w:snapToGrid w:val="0"/>
              <w:spacing w:line="270" w:lineRule="exact"/>
              <w:jc w:val="both"/>
              <w:rPr>
                <w:rFonts w:ascii="標楷體" w:eastAsia="標楷體" w:hAnsi="標楷體"/>
                <w:noProof/>
                <w:color w:val="000000" w:themeColor="text1"/>
                <w:sz w:val="20"/>
              </w:rPr>
            </w:pPr>
          </w:p>
        </w:tc>
      </w:tr>
    </w:tbl>
    <w:p w14:paraId="43A2FCA8" w14:textId="4DEEE26E" w:rsidR="007064BE" w:rsidRPr="00FF0427" w:rsidRDefault="007064BE" w:rsidP="001E782A">
      <w:pPr>
        <w:overflowPunct w:val="0"/>
        <w:spacing w:beforeLines="50" w:before="180" w:afterLines="30" w:after="108" w:line="240" w:lineRule="exact"/>
        <w:jc w:val="center"/>
        <w:rPr>
          <w:rFonts w:ascii="標楷體" w:eastAsia="標楷體" w:hAnsi="標楷體"/>
          <w:b/>
          <w:color w:val="000000" w:themeColor="text1"/>
          <w:szCs w:val="24"/>
        </w:rPr>
      </w:pPr>
      <w:r w:rsidRPr="00FF0427">
        <w:rPr>
          <w:rFonts w:ascii="標楷體" w:eastAsia="標楷體" w:hAnsi="標楷體" w:hint="eastAsia"/>
          <w:b/>
          <w:color w:val="000000" w:themeColor="text1"/>
          <w:szCs w:val="24"/>
        </w:rPr>
        <w:lastRenderedPageBreak/>
        <w:t>表</w:t>
      </w:r>
      <w:r w:rsidR="00FD1F79">
        <w:rPr>
          <w:rFonts w:ascii="標楷體" w:eastAsia="標楷體" w:hAnsi="標楷體" w:hint="eastAsia"/>
          <w:b/>
          <w:color w:val="000000" w:themeColor="text1"/>
          <w:szCs w:val="24"/>
        </w:rPr>
        <w:t>4</w:t>
      </w:r>
      <w:r w:rsidR="009821F7">
        <w:rPr>
          <w:rFonts w:ascii="標楷體" w:eastAsia="標楷體" w:hAnsi="標楷體" w:hint="eastAsia"/>
          <w:b/>
          <w:color w:val="000000" w:themeColor="text1"/>
          <w:szCs w:val="24"/>
        </w:rPr>
        <w:t>4</w:t>
      </w:r>
      <w:r w:rsidRPr="00FF0427">
        <w:rPr>
          <w:rFonts w:ascii="標楷體" w:eastAsia="標楷體" w:hAnsi="標楷體" w:hint="eastAsia"/>
          <w:b/>
          <w:color w:val="000000" w:themeColor="text1"/>
          <w:szCs w:val="24"/>
        </w:rPr>
        <w:t xml:space="preserve">　</w:t>
      </w:r>
      <w:r w:rsidRPr="00FF0427">
        <w:rPr>
          <w:rFonts w:ascii="標楷體" w:eastAsia="標楷體" w:hAnsi="標楷體"/>
          <w:b/>
          <w:color w:val="000000" w:themeColor="text1"/>
          <w:szCs w:val="24"/>
        </w:rPr>
        <w:t>1</w:t>
      </w:r>
      <w:r w:rsidRPr="00FF0427">
        <w:rPr>
          <w:rFonts w:ascii="標楷體" w:eastAsia="標楷體" w:hAnsi="標楷體" w:hint="eastAsia"/>
          <w:b/>
          <w:color w:val="000000" w:themeColor="text1"/>
          <w:szCs w:val="24"/>
        </w:rPr>
        <w:t>1</w:t>
      </w:r>
      <w:r w:rsidR="00834BE9">
        <w:rPr>
          <w:rFonts w:ascii="標楷體" w:eastAsia="標楷體" w:hAnsi="標楷體" w:hint="eastAsia"/>
          <w:b/>
          <w:color w:val="000000" w:themeColor="text1"/>
          <w:szCs w:val="24"/>
        </w:rPr>
        <w:t>1</w:t>
      </w:r>
      <w:r w:rsidRPr="00FF0427">
        <w:rPr>
          <w:rFonts w:ascii="標楷體" w:eastAsia="標楷體" w:hAnsi="標楷體" w:hint="eastAsia"/>
          <w:b/>
          <w:color w:val="000000" w:themeColor="text1"/>
          <w:szCs w:val="24"/>
        </w:rPr>
        <w:t>年度審核報告所列行政院主管普通公務相關重要審核意見覆核辦理情形（續）</w:t>
      </w:r>
    </w:p>
    <w:tbl>
      <w:tblPr>
        <w:tblW w:w="992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8364"/>
        <w:gridCol w:w="1559"/>
      </w:tblGrid>
      <w:tr w:rsidR="007064BE" w:rsidRPr="00FF0427" w14:paraId="6542E198" w14:textId="77777777" w:rsidTr="007A0A90">
        <w:trPr>
          <w:trHeight w:val="280"/>
          <w:tblHeader/>
        </w:trPr>
        <w:tc>
          <w:tcPr>
            <w:tcW w:w="8364" w:type="dxa"/>
            <w:tcBorders>
              <w:top w:val="single" w:sz="4" w:space="0" w:color="auto"/>
              <w:left w:val="single" w:sz="4" w:space="0" w:color="auto"/>
              <w:bottom w:val="single" w:sz="4" w:space="0" w:color="auto"/>
              <w:right w:val="single" w:sz="4" w:space="0" w:color="auto"/>
            </w:tcBorders>
            <w:vAlign w:val="center"/>
          </w:tcPr>
          <w:p w14:paraId="5EC3835C" w14:textId="77777777" w:rsidR="007064BE" w:rsidRPr="00FF0427" w:rsidRDefault="007064BE" w:rsidP="001E782A">
            <w:pPr>
              <w:overflowPunct w:val="0"/>
              <w:spacing w:line="320" w:lineRule="exact"/>
              <w:jc w:val="center"/>
              <w:rPr>
                <w:rFonts w:ascii="標楷體" w:eastAsia="標楷體" w:hAnsi="標楷體"/>
                <w:color w:val="000000" w:themeColor="text1"/>
                <w:sz w:val="20"/>
              </w:rPr>
            </w:pPr>
            <w:r w:rsidRPr="00FF0427">
              <w:rPr>
                <w:rFonts w:ascii="標楷體" w:eastAsia="標楷體" w:hAnsi="標楷體" w:hint="eastAsia"/>
                <w:color w:val="000000" w:themeColor="text1"/>
                <w:sz w:val="20"/>
              </w:rPr>
              <w:t>重要審核意見標題</w:t>
            </w:r>
          </w:p>
        </w:tc>
        <w:tc>
          <w:tcPr>
            <w:tcW w:w="1559" w:type="dxa"/>
            <w:tcBorders>
              <w:top w:val="single" w:sz="4" w:space="0" w:color="auto"/>
              <w:left w:val="single" w:sz="4" w:space="0" w:color="auto"/>
              <w:bottom w:val="single" w:sz="4" w:space="0" w:color="auto"/>
              <w:right w:val="single" w:sz="4" w:space="0" w:color="auto"/>
            </w:tcBorders>
            <w:vAlign w:val="center"/>
          </w:tcPr>
          <w:p w14:paraId="0D934175" w14:textId="77777777" w:rsidR="007064BE" w:rsidRPr="00FF0427" w:rsidRDefault="007064BE" w:rsidP="001E782A">
            <w:pPr>
              <w:overflowPunct w:val="0"/>
              <w:spacing w:line="320" w:lineRule="exact"/>
              <w:jc w:val="center"/>
              <w:rPr>
                <w:rFonts w:ascii="標楷體" w:eastAsia="標楷體" w:hAnsi="標楷體"/>
                <w:color w:val="000000" w:themeColor="text1"/>
                <w:sz w:val="20"/>
              </w:rPr>
            </w:pPr>
            <w:r w:rsidRPr="00FF0427">
              <w:rPr>
                <w:rFonts w:ascii="標楷體" w:eastAsia="標楷體" w:hAnsi="標楷體" w:hint="eastAsia"/>
                <w:color w:val="000000" w:themeColor="text1"/>
                <w:sz w:val="20"/>
              </w:rPr>
              <w:t>說明</w:t>
            </w:r>
          </w:p>
        </w:tc>
      </w:tr>
      <w:tr w:rsidR="007064BE" w:rsidRPr="00FF0427" w14:paraId="530B6757" w14:textId="77777777" w:rsidTr="007A0A90">
        <w:tc>
          <w:tcPr>
            <w:tcW w:w="8364" w:type="dxa"/>
            <w:tcBorders>
              <w:top w:val="single" w:sz="4" w:space="0" w:color="auto"/>
              <w:left w:val="single" w:sz="4" w:space="0" w:color="auto"/>
              <w:bottom w:val="single" w:sz="4" w:space="0" w:color="auto"/>
              <w:right w:val="single" w:sz="4" w:space="0" w:color="auto"/>
            </w:tcBorders>
          </w:tcPr>
          <w:p w14:paraId="7C215ED3" w14:textId="2D2B2AE8" w:rsidR="007064BE" w:rsidRPr="00FF0427" w:rsidRDefault="007A0A90" w:rsidP="007A0A90">
            <w:pPr>
              <w:overflowPunct w:val="0"/>
              <w:snapToGrid w:val="0"/>
              <w:spacing w:line="290" w:lineRule="exact"/>
              <w:ind w:left="800" w:hangingChars="400" w:hanging="8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（十九）</w:t>
            </w:r>
            <w:r w:rsidRPr="00E507B2">
              <w:rPr>
                <w:rFonts w:ascii="標楷體" w:eastAsia="標楷體" w:hAnsi="標楷體" w:hint="eastAsia"/>
                <w:noProof/>
                <w:color w:val="000000" w:themeColor="text1"/>
                <w:sz w:val="20"/>
              </w:rPr>
              <w:t>政府參考聯合國推動並訂定臺灣永續發展目標及指標，並已提出2次國家自願檢視報告，惟對應指標僅約2成餘符合重點檢視項目，尚須另訂國際關注之補充指標；已完成近5成對應指標修正，惟仍未將對應指標與聯合國SDGs接軌情形納入修正重點；自108年度起逐年發布年度檢討報告，部分對應指標未達成年度目標，且未達成比率呈上升趨勢，或部分對應指標未達統計周期，致多年無法檢視；國家發展委員會兼辦永續會秘書處業務，未依規定期程及程序辦理110年度臺灣永續發展目標總檢討報告，永續發展政策綱領修正草案未及時提報永續會委員會議審議等情，允宜檢討改善</w:t>
            </w:r>
            <w:r w:rsidRPr="00FF0427">
              <w:rPr>
                <w:rFonts w:ascii="標楷體" w:eastAsia="標楷體" w:hAnsi="標楷體" w:hint="eastAsia"/>
                <w:noProof/>
                <w:color w:val="000000" w:themeColor="text1"/>
                <w:sz w:val="20"/>
              </w:rPr>
              <w:t>。</w:t>
            </w:r>
          </w:p>
        </w:tc>
        <w:tc>
          <w:tcPr>
            <w:tcW w:w="1559" w:type="dxa"/>
            <w:vMerge w:val="restart"/>
            <w:tcBorders>
              <w:left w:val="single" w:sz="4" w:space="0" w:color="auto"/>
              <w:right w:val="single" w:sz="4" w:space="0" w:color="auto"/>
              <w:tl2br w:val="single" w:sz="4" w:space="0" w:color="auto"/>
            </w:tcBorders>
          </w:tcPr>
          <w:p w14:paraId="273FBB91" w14:textId="77777777" w:rsidR="007064BE" w:rsidRPr="00FF0427" w:rsidRDefault="007064BE" w:rsidP="001E782A">
            <w:pPr>
              <w:overflowPunct w:val="0"/>
              <w:snapToGrid w:val="0"/>
              <w:spacing w:line="260" w:lineRule="exact"/>
              <w:jc w:val="both"/>
              <w:rPr>
                <w:rFonts w:ascii="標楷體" w:eastAsia="標楷體" w:hAnsi="標楷體"/>
                <w:noProof/>
                <w:color w:val="000000" w:themeColor="text1"/>
                <w:sz w:val="20"/>
              </w:rPr>
            </w:pPr>
          </w:p>
        </w:tc>
      </w:tr>
      <w:tr w:rsidR="007A0A90" w:rsidRPr="00FF0427" w14:paraId="17A7444C" w14:textId="77777777" w:rsidTr="007A0A90">
        <w:tc>
          <w:tcPr>
            <w:tcW w:w="8364" w:type="dxa"/>
            <w:tcBorders>
              <w:top w:val="single" w:sz="4" w:space="0" w:color="auto"/>
              <w:left w:val="single" w:sz="4" w:space="0" w:color="auto"/>
              <w:bottom w:val="single" w:sz="4" w:space="0" w:color="auto"/>
              <w:right w:val="single" w:sz="4" w:space="0" w:color="auto"/>
            </w:tcBorders>
          </w:tcPr>
          <w:p w14:paraId="027E8256" w14:textId="2FA542A1" w:rsidR="007A0A90" w:rsidRDefault="007A0A90" w:rsidP="007A0A90">
            <w:pPr>
              <w:overflowPunct w:val="0"/>
              <w:snapToGrid w:val="0"/>
              <w:spacing w:line="290" w:lineRule="exact"/>
              <w:ind w:left="800" w:hangingChars="400" w:hanging="800"/>
              <w:jc w:val="both"/>
              <w:rPr>
                <w:rFonts w:ascii="標楷體" w:eastAsia="標楷體" w:hAnsi="標楷體"/>
                <w:noProof/>
                <w:color w:val="000000" w:themeColor="text1"/>
                <w:sz w:val="20"/>
              </w:rPr>
            </w:pPr>
            <w:r>
              <w:rPr>
                <w:rFonts w:ascii="標楷體" w:eastAsia="標楷體" w:hAnsi="標楷體" w:hint="eastAsia"/>
                <w:noProof/>
                <w:color w:val="000000" w:themeColor="text1"/>
                <w:sz w:val="20"/>
              </w:rPr>
              <w:t>（二十</w:t>
            </w:r>
            <w:r w:rsidRPr="00FF0427">
              <w:rPr>
                <w:rFonts w:ascii="標楷體" w:eastAsia="標楷體" w:hAnsi="標楷體" w:hint="eastAsia"/>
                <w:noProof/>
                <w:color w:val="000000" w:themeColor="text1"/>
                <w:sz w:val="20"/>
              </w:rPr>
              <w:t>）</w:t>
            </w:r>
            <w:r w:rsidRPr="00032853">
              <w:rPr>
                <w:rFonts w:ascii="標楷體" w:eastAsia="標楷體" w:hAnsi="標楷體" w:hint="eastAsia"/>
                <w:noProof/>
                <w:color w:val="000000" w:themeColor="text1"/>
                <w:sz w:val="20"/>
              </w:rPr>
              <w:t>國家發展委員會為精準延攬5+2及六大核心產業所需人才，成立就業金卡辦公室推動全球攬才工作，並以就業金卡核發人次作為績效指標，惟卻未統計核發5+2及六大核心產業之人次，績效指標之設定尚欠周延，又未追蹤就業金卡持卡人入境及在臺就業情形，無法有效評估實際辦理成果，且就業金卡持卡人僅42.37％之人數在臺，其餘多屬於入境30日內即離境之短期停留或未曾入境者，另僅30.13％持卡人曾投保勞工保險，顯示其在臺就業情形欠佳，對提升國內重點產業升級與創新發展助益尚屬有限，允宜檢討改善</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4A5AC794" w14:textId="77777777" w:rsidR="007A0A90" w:rsidRPr="00FF0427" w:rsidRDefault="007A0A90" w:rsidP="001E782A">
            <w:pPr>
              <w:overflowPunct w:val="0"/>
              <w:snapToGrid w:val="0"/>
              <w:spacing w:line="260" w:lineRule="exact"/>
              <w:jc w:val="both"/>
              <w:rPr>
                <w:rFonts w:ascii="標楷體" w:eastAsia="標楷體" w:hAnsi="標楷體"/>
                <w:noProof/>
                <w:color w:val="000000" w:themeColor="text1"/>
                <w:sz w:val="20"/>
              </w:rPr>
            </w:pPr>
          </w:p>
        </w:tc>
      </w:tr>
      <w:tr w:rsidR="00E507B2" w:rsidRPr="00FF0427" w14:paraId="256162BC" w14:textId="77777777" w:rsidTr="007A0A90">
        <w:tc>
          <w:tcPr>
            <w:tcW w:w="8364" w:type="dxa"/>
            <w:tcBorders>
              <w:top w:val="single" w:sz="4" w:space="0" w:color="auto"/>
              <w:left w:val="single" w:sz="4" w:space="0" w:color="auto"/>
              <w:bottom w:val="single" w:sz="4" w:space="0" w:color="auto"/>
              <w:right w:val="single" w:sz="4" w:space="0" w:color="auto"/>
            </w:tcBorders>
          </w:tcPr>
          <w:p w14:paraId="1964FF03" w14:textId="2374F27D" w:rsidR="00E507B2" w:rsidRPr="00FF0427" w:rsidRDefault="00E507B2" w:rsidP="007A0A90">
            <w:pPr>
              <w:overflowPunct w:val="0"/>
              <w:snapToGrid w:val="0"/>
              <w:spacing w:line="290" w:lineRule="exact"/>
              <w:ind w:left="1000" w:hangingChars="500" w:hanging="1000"/>
              <w:jc w:val="both"/>
              <w:rPr>
                <w:rFonts w:ascii="標楷體" w:eastAsia="標楷體" w:hAnsi="標楷體"/>
                <w:noProof/>
                <w:color w:val="000000" w:themeColor="text1"/>
                <w:sz w:val="20"/>
              </w:rPr>
            </w:pPr>
            <w:r>
              <w:rPr>
                <w:rFonts w:ascii="標楷體" w:eastAsia="標楷體" w:hAnsi="標楷體" w:hint="eastAsia"/>
                <w:noProof/>
                <w:color w:val="000000" w:themeColor="text1"/>
                <w:sz w:val="20"/>
              </w:rPr>
              <w:t>（二十一</w:t>
            </w:r>
            <w:r w:rsidRPr="00FF0427">
              <w:rPr>
                <w:rFonts w:ascii="標楷體" w:eastAsia="標楷體" w:hAnsi="標楷體" w:hint="eastAsia"/>
                <w:noProof/>
                <w:color w:val="000000" w:themeColor="text1"/>
                <w:sz w:val="20"/>
              </w:rPr>
              <w:t>）</w:t>
            </w:r>
            <w:r w:rsidR="00032853" w:rsidRPr="00032853">
              <w:rPr>
                <w:rFonts w:ascii="標楷體" w:eastAsia="標楷體" w:hAnsi="標楷體" w:hint="eastAsia"/>
                <w:noProof/>
                <w:color w:val="000000" w:themeColor="text1"/>
                <w:sz w:val="20"/>
              </w:rPr>
              <w:t>政府為提升政府網站品質，已持續精進網站檢核系統，惟使用次數自108年起逐年下滑；另截至111年底輔導機關導入使用者中心設計概念或網站易用性測試之機關網站數僅95個，允宜督促各機關積極使用並擴大推廣導入，以加速各級政府機關網站服務品質再升級</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5297D208" w14:textId="77777777" w:rsidR="00E507B2" w:rsidRPr="00FF0427" w:rsidRDefault="00E507B2" w:rsidP="001E782A">
            <w:pPr>
              <w:overflowPunct w:val="0"/>
              <w:snapToGrid w:val="0"/>
              <w:spacing w:line="260" w:lineRule="exact"/>
              <w:jc w:val="both"/>
              <w:rPr>
                <w:rFonts w:ascii="標楷體" w:eastAsia="標楷體" w:hAnsi="標楷體"/>
                <w:noProof/>
                <w:color w:val="000000" w:themeColor="text1"/>
                <w:sz w:val="20"/>
              </w:rPr>
            </w:pPr>
          </w:p>
        </w:tc>
      </w:tr>
      <w:tr w:rsidR="00E507B2" w:rsidRPr="00FF0427" w14:paraId="6BC81F1C" w14:textId="77777777" w:rsidTr="007A0A90">
        <w:tc>
          <w:tcPr>
            <w:tcW w:w="8364" w:type="dxa"/>
            <w:tcBorders>
              <w:top w:val="single" w:sz="4" w:space="0" w:color="auto"/>
              <w:left w:val="single" w:sz="4" w:space="0" w:color="auto"/>
              <w:bottom w:val="single" w:sz="4" w:space="0" w:color="auto"/>
              <w:right w:val="single" w:sz="4" w:space="0" w:color="auto"/>
            </w:tcBorders>
          </w:tcPr>
          <w:p w14:paraId="2FCD256F" w14:textId="43CF53A3" w:rsidR="00E507B2" w:rsidRPr="00FF0427" w:rsidRDefault="00E507B2" w:rsidP="007A0A90">
            <w:pPr>
              <w:overflowPunct w:val="0"/>
              <w:snapToGrid w:val="0"/>
              <w:spacing w:line="290" w:lineRule="exact"/>
              <w:ind w:left="1000" w:hangingChars="500" w:hanging="10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（二十二）</w:t>
            </w:r>
            <w:r w:rsidR="00032853" w:rsidRPr="00032853">
              <w:rPr>
                <w:rFonts w:ascii="標楷體" w:eastAsia="標楷體" w:hAnsi="標楷體" w:hint="eastAsia"/>
                <w:noProof/>
                <w:color w:val="000000" w:themeColor="text1"/>
                <w:sz w:val="20"/>
              </w:rPr>
              <w:t>公平交易委員會為遏止虛偽不實或引起一般大眾錯誤認知之廣告行為，委外加強查察網路不實廣告並訂定薦證廣告相關規範，惟查察結果多以情節輕微而以行政指導方式結案，又未追蹤後續改善情形，致部分110年度發現之不實廣告迄未移除或改正，仍持續公開販售，另薦證者與廣告主之利益關係揭露義務規範對象僅限於社群網站推文或發言，涵蓋範圍與實務薦證廣告託播方式未臻契合，允宜檢討相關作為及規定，以保障民眾消費權益</w:t>
            </w:r>
            <w:r>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6C21E7D7" w14:textId="77777777" w:rsidR="00E507B2" w:rsidRPr="00FF0427" w:rsidRDefault="00E507B2" w:rsidP="001E782A">
            <w:pPr>
              <w:overflowPunct w:val="0"/>
              <w:snapToGrid w:val="0"/>
              <w:spacing w:line="260" w:lineRule="exact"/>
              <w:jc w:val="both"/>
              <w:rPr>
                <w:rFonts w:ascii="標楷體" w:eastAsia="標楷體" w:hAnsi="標楷體"/>
                <w:noProof/>
                <w:color w:val="000000" w:themeColor="text1"/>
                <w:sz w:val="20"/>
              </w:rPr>
            </w:pPr>
          </w:p>
        </w:tc>
      </w:tr>
      <w:tr w:rsidR="007064BE" w:rsidRPr="00FF0427" w14:paraId="21FDC60D" w14:textId="77777777" w:rsidTr="007A0A90">
        <w:tc>
          <w:tcPr>
            <w:tcW w:w="8364" w:type="dxa"/>
            <w:tcBorders>
              <w:top w:val="single" w:sz="4" w:space="0" w:color="auto"/>
              <w:left w:val="single" w:sz="4" w:space="0" w:color="auto"/>
              <w:bottom w:val="single" w:sz="4" w:space="0" w:color="auto"/>
              <w:right w:val="single" w:sz="4" w:space="0" w:color="auto"/>
            </w:tcBorders>
          </w:tcPr>
          <w:p w14:paraId="6027CF57" w14:textId="577079B8" w:rsidR="007064BE" w:rsidRPr="00FF0427" w:rsidRDefault="007064BE" w:rsidP="007A0A90">
            <w:pPr>
              <w:overflowPunct w:val="0"/>
              <w:snapToGrid w:val="0"/>
              <w:spacing w:line="290" w:lineRule="exact"/>
              <w:ind w:left="960" w:hangingChars="480" w:hanging="96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（二十三）</w:t>
            </w:r>
            <w:r w:rsidR="00032853" w:rsidRPr="00032853">
              <w:rPr>
                <w:rFonts w:ascii="標楷體" w:eastAsia="標楷體" w:hAnsi="標楷體" w:hint="eastAsia"/>
                <w:noProof/>
                <w:color w:val="000000" w:themeColor="text1"/>
                <w:sz w:val="20"/>
              </w:rPr>
              <w:t>政府透由報備制管理多層次傳銷事業已逾40年，惟近5年間傳銷事業查有缺失家數已逾整體6成，未報備之違法傳銷行為亦非少見，另傳銷保護機構自正式運作已屆7年，惟尚未充分發揮設立之功能，允宜研謀善策因應，俾利維護多層次傳銷市場之安定及發展</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724A286D" w14:textId="77777777" w:rsidR="007064BE" w:rsidRPr="00FF0427" w:rsidRDefault="007064BE" w:rsidP="001E782A">
            <w:pPr>
              <w:overflowPunct w:val="0"/>
              <w:snapToGrid w:val="0"/>
              <w:spacing w:line="260" w:lineRule="exact"/>
              <w:jc w:val="both"/>
              <w:rPr>
                <w:rFonts w:ascii="標楷體" w:eastAsia="標楷體" w:hAnsi="標楷體"/>
                <w:noProof/>
                <w:color w:val="000000" w:themeColor="text1"/>
                <w:sz w:val="20"/>
              </w:rPr>
            </w:pPr>
          </w:p>
        </w:tc>
      </w:tr>
      <w:tr w:rsidR="007064BE" w:rsidRPr="00FF0427" w14:paraId="5C507192" w14:textId="77777777" w:rsidTr="007A0A90">
        <w:tc>
          <w:tcPr>
            <w:tcW w:w="8364" w:type="dxa"/>
            <w:tcBorders>
              <w:top w:val="single" w:sz="4" w:space="0" w:color="auto"/>
              <w:left w:val="single" w:sz="4" w:space="0" w:color="auto"/>
              <w:bottom w:val="single" w:sz="4" w:space="0" w:color="auto"/>
              <w:right w:val="single" w:sz="4" w:space="0" w:color="auto"/>
            </w:tcBorders>
          </w:tcPr>
          <w:p w14:paraId="6859B2B4" w14:textId="521F755E" w:rsidR="007064BE" w:rsidRPr="00FF0427" w:rsidRDefault="007064BE" w:rsidP="007A0A90">
            <w:pPr>
              <w:overflowPunct w:val="0"/>
              <w:snapToGrid w:val="0"/>
              <w:spacing w:line="290" w:lineRule="exact"/>
              <w:ind w:left="994" w:hangingChars="497" w:hanging="994"/>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（二十四）</w:t>
            </w:r>
            <w:r w:rsidR="00032853" w:rsidRPr="00032853">
              <w:rPr>
                <w:rFonts w:ascii="標楷體" w:eastAsia="標楷體" w:hAnsi="標楷體" w:hint="eastAsia"/>
                <w:noProof/>
                <w:color w:val="000000" w:themeColor="text1"/>
                <w:sz w:val="20"/>
              </w:rPr>
              <w:t>國家通訊傳播委員會為提升廣電內容品質，持續強化廣電業者製播之監理機制，惟間有廣電媒體製播選舉開票新聞出現過度灌票情形，恐衍生治安事件發生風險，允宜加強監督促請善盡事實查證責任，避免因不實報導發生損及公共利益情事</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5429A29E" w14:textId="77777777" w:rsidR="007064BE" w:rsidRPr="00FF0427" w:rsidRDefault="007064BE" w:rsidP="001E782A">
            <w:pPr>
              <w:overflowPunct w:val="0"/>
              <w:snapToGrid w:val="0"/>
              <w:spacing w:line="260" w:lineRule="exact"/>
              <w:jc w:val="both"/>
              <w:rPr>
                <w:rFonts w:ascii="標楷體" w:eastAsia="標楷體" w:hAnsi="標楷體"/>
                <w:noProof/>
                <w:color w:val="000000" w:themeColor="text1"/>
                <w:sz w:val="20"/>
              </w:rPr>
            </w:pPr>
          </w:p>
        </w:tc>
      </w:tr>
      <w:tr w:rsidR="007064BE" w:rsidRPr="00FF0427" w14:paraId="1DED7971" w14:textId="77777777" w:rsidTr="007A0A90">
        <w:tc>
          <w:tcPr>
            <w:tcW w:w="8364" w:type="dxa"/>
            <w:tcBorders>
              <w:top w:val="single" w:sz="4" w:space="0" w:color="auto"/>
              <w:left w:val="single" w:sz="4" w:space="0" w:color="auto"/>
              <w:bottom w:val="single" w:sz="4" w:space="0" w:color="auto"/>
              <w:right w:val="single" w:sz="4" w:space="0" w:color="auto"/>
            </w:tcBorders>
          </w:tcPr>
          <w:p w14:paraId="515083D3" w14:textId="168CF1E0" w:rsidR="007064BE" w:rsidRPr="00FF0427" w:rsidRDefault="007064BE" w:rsidP="007A0A90">
            <w:pPr>
              <w:overflowPunct w:val="0"/>
              <w:snapToGrid w:val="0"/>
              <w:spacing w:line="290" w:lineRule="exact"/>
              <w:ind w:left="1000" w:hangingChars="500" w:hanging="10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（二十五）</w:t>
            </w:r>
            <w:r w:rsidR="00032853" w:rsidRPr="00032853">
              <w:rPr>
                <w:rFonts w:ascii="標楷體" w:eastAsia="標楷體" w:hAnsi="標楷體" w:hint="eastAsia"/>
                <w:noProof/>
                <w:color w:val="000000" w:themeColor="text1"/>
                <w:sz w:val="20"/>
              </w:rPr>
              <w:t>行動通訊網路普及率等電信產業國際競爭力，業經國際評比機構肯定，惟部分評比指標尚有精進空間，允宜賡續盤點我國通訊產業發展挑戰，引導電信業者強化電信網路競爭弱勢項目，俾提升數位國力與保障消費者使用權益</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18DE2992" w14:textId="77777777" w:rsidR="007064BE" w:rsidRPr="00FF0427" w:rsidRDefault="007064BE" w:rsidP="001E782A">
            <w:pPr>
              <w:overflowPunct w:val="0"/>
              <w:snapToGrid w:val="0"/>
              <w:spacing w:line="260" w:lineRule="exact"/>
              <w:jc w:val="both"/>
              <w:rPr>
                <w:rFonts w:ascii="標楷體" w:eastAsia="標楷體" w:hAnsi="標楷體"/>
                <w:noProof/>
                <w:color w:val="000000" w:themeColor="text1"/>
                <w:sz w:val="20"/>
              </w:rPr>
            </w:pPr>
          </w:p>
        </w:tc>
      </w:tr>
      <w:tr w:rsidR="007064BE" w:rsidRPr="00FF0427" w14:paraId="473F6AFA" w14:textId="77777777" w:rsidTr="007A0A90">
        <w:tc>
          <w:tcPr>
            <w:tcW w:w="8364" w:type="dxa"/>
            <w:tcBorders>
              <w:top w:val="single" w:sz="4" w:space="0" w:color="auto"/>
              <w:left w:val="single" w:sz="4" w:space="0" w:color="auto"/>
              <w:bottom w:val="single" w:sz="4" w:space="0" w:color="auto"/>
              <w:right w:val="single" w:sz="4" w:space="0" w:color="auto"/>
            </w:tcBorders>
          </w:tcPr>
          <w:p w14:paraId="3A58AEC1" w14:textId="73CA806E" w:rsidR="007064BE" w:rsidRPr="00FF0427" w:rsidRDefault="007064BE" w:rsidP="007A0A90">
            <w:pPr>
              <w:overflowPunct w:val="0"/>
              <w:snapToGrid w:val="0"/>
              <w:spacing w:line="290" w:lineRule="exact"/>
              <w:ind w:left="994" w:hangingChars="497" w:hanging="994"/>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（二十六）</w:t>
            </w:r>
            <w:r w:rsidR="00032853" w:rsidRPr="00032853">
              <w:rPr>
                <w:rFonts w:ascii="標楷體" w:eastAsia="標楷體" w:hAnsi="標楷體" w:hint="eastAsia"/>
                <w:noProof/>
                <w:color w:val="000000" w:themeColor="text1"/>
                <w:sz w:val="20"/>
              </w:rPr>
              <w:t>國家運輸安全調查委員會為應太空發展法施行，擴大安全調查範圍至太空領域，允宜參酌國際及國內太空產業與事故調查發展趨勢，妥謀整備相關資源並健全管理制度，俾利遂行調查職能</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7734FF9F" w14:textId="77777777" w:rsidR="007064BE" w:rsidRPr="00FF0427" w:rsidRDefault="007064BE" w:rsidP="001E782A">
            <w:pPr>
              <w:overflowPunct w:val="0"/>
              <w:snapToGrid w:val="0"/>
              <w:spacing w:line="260" w:lineRule="exact"/>
              <w:jc w:val="both"/>
              <w:rPr>
                <w:rFonts w:ascii="標楷體" w:eastAsia="標楷體" w:hAnsi="標楷體"/>
                <w:noProof/>
                <w:color w:val="000000" w:themeColor="text1"/>
                <w:sz w:val="20"/>
              </w:rPr>
            </w:pPr>
          </w:p>
        </w:tc>
      </w:tr>
      <w:tr w:rsidR="007064BE" w:rsidRPr="00FF0427" w14:paraId="4F84CFDF" w14:textId="77777777" w:rsidTr="007A0A90">
        <w:tc>
          <w:tcPr>
            <w:tcW w:w="8364" w:type="dxa"/>
            <w:tcBorders>
              <w:top w:val="single" w:sz="4" w:space="0" w:color="auto"/>
              <w:left w:val="single" w:sz="4" w:space="0" w:color="auto"/>
              <w:bottom w:val="single" w:sz="4" w:space="0" w:color="auto"/>
              <w:right w:val="single" w:sz="4" w:space="0" w:color="auto"/>
            </w:tcBorders>
          </w:tcPr>
          <w:p w14:paraId="66F7C82B" w14:textId="5C080623" w:rsidR="007064BE" w:rsidRPr="00FF0427" w:rsidRDefault="007064BE" w:rsidP="007A0A90">
            <w:pPr>
              <w:overflowPunct w:val="0"/>
              <w:snapToGrid w:val="0"/>
              <w:spacing w:line="290" w:lineRule="exact"/>
              <w:ind w:left="970" w:hangingChars="485" w:hanging="97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（二十七）</w:t>
            </w:r>
            <w:r w:rsidR="00032853" w:rsidRPr="00032853">
              <w:rPr>
                <w:rFonts w:ascii="標楷體" w:eastAsia="標楷體" w:hAnsi="標楷體" w:hint="eastAsia"/>
                <w:noProof/>
                <w:color w:val="000000" w:themeColor="text1"/>
                <w:sz w:val="20"/>
              </w:rPr>
              <w:t>政府採購品質攸關公共利益與民眾福祉，惟政府採購法施行已逾23年，仍有部分政府機關辦理採購案對於投標廠商之資格訂定不當，致有限制競爭情形，亟待檢討改善，以維政府採購公平性</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4AC7012C" w14:textId="77777777" w:rsidR="007064BE" w:rsidRPr="00FF0427" w:rsidRDefault="007064BE" w:rsidP="001E782A">
            <w:pPr>
              <w:overflowPunct w:val="0"/>
              <w:snapToGrid w:val="0"/>
              <w:spacing w:line="260" w:lineRule="exact"/>
              <w:jc w:val="both"/>
              <w:rPr>
                <w:rFonts w:ascii="標楷體" w:eastAsia="標楷體" w:hAnsi="標楷體"/>
                <w:noProof/>
                <w:color w:val="000000" w:themeColor="text1"/>
                <w:sz w:val="20"/>
              </w:rPr>
            </w:pPr>
          </w:p>
        </w:tc>
      </w:tr>
      <w:tr w:rsidR="007064BE" w:rsidRPr="00FF0427" w14:paraId="43BDDB0E" w14:textId="77777777" w:rsidTr="007A0A90">
        <w:tc>
          <w:tcPr>
            <w:tcW w:w="8364" w:type="dxa"/>
            <w:tcBorders>
              <w:top w:val="single" w:sz="4" w:space="0" w:color="auto"/>
              <w:left w:val="single" w:sz="4" w:space="0" w:color="auto"/>
              <w:bottom w:val="single" w:sz="4" w:space="0" w:color="auto"/>
              <w:right w:val="single" w:sz="4" w:space="0" w:color="auto"/>
            </w:tcBorders>
          </w:tcPr>
          <w:p w14:paraId="22A06E7A" w14:textId="5B546C1F" w:rsidR="007064BE" w:rsidRPr="00FF0427" w:rsidRDefault="007064BE" w:rsidP="007A0A90">
            <w:pPr>
              <w:overflowPunct w:val="0"/>
              <w:snapToGrid w:val="0"/>
              <w:spacing w:line="290" w:lineRule="exact"/>
              <w:ind w:left="1000" w:hangingChars="500" w:hanging="100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（二十八）</w:t>
            </w:r>
            <w:r w:rsidR="00032853" w:rsidRPr="00032853">
              <w:rPr>
                <w:rFonts w:ascii="標楷體" w:eastAsia="標楷體" w:hAnsi="標楷體" w:hint="eastAsia"/>
                <w:noProof/>
                <w:color w:val="000000" w:themeColor="text1"/>
                <w:sz w:val="20"/>
              </w:rPr>
              <w:t>行政院公共工程委員會為利機關依政府採購法第58條規定處理總標價低於底價80％之採購案件，已訂定相關執行程序，惟其內容仍未臻明確，不利機關遵循辦理，亟待研謀改善</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7FBAFE61" w14:textId="77777777" w:rsidR="007064BE" w:rsidRPr="00FF0427" w:rsidRDefault="007064BE" w:rsidP="001E782A">
            <w:pPr>
              <w:overflowPunct w:val="0"/>
              <w:snapToGrid w:val="0"/>
              <w:spacing w:line="260" w:lineRule="exact"/>
              <w:jc w:val="both"/>
              <w:rPr>
                <w:rFonts w:ascii="標楷體" w:eastAsia="標楷體" w:hAnsi="標楷體"/>
                <w:noProof/>
                <w:color w:val="000000" w:themeColor="text1"/>
                <w:sz w:val="20"/>
              </w:rPr>
            </w:pPr>
          </w:p>
        </w:tc>
      </w:tr>
      <w:tr w:rsidR="007064BE" w:rsidRPr="00CB7CDB" w14:paraId="60549696" w14:textId="77777777" w:rsidTr="007A0A90">
        <w:tc>
          <w:tcPr>
            <w:tcW w:w="8364" w:type="dxa"/>
            <w:tcBorders>
              <w:top w:val="single" w:sz="4" w:space="0" w:color="auto"/>
              <w:left w:val="single" w:sz="4" w:space="0" w:color="auto"/>
              <w:bottom w:val="single" w:sz="4" w:space="0" w:color="auto"/>
              <w:right w:val="single" w:sz="4" w:space="0" w:color="auto"/>
            </w:tcBorders>
          </w:tcPr>
          <w:p w14:paraId="22574840" w14:textId="410C3282" w:rsidR="007064BE" w:rsidRPr="00FF0427" w:rsidRDefault="007064BE" w:rsidP="007A0A90">
            <w:pPr>
              <w:overflowPunct w:val="0"/>
              <w:snapToGrid w:val="0"/>
              <w:spacing w:line="290" w:lineRule="exact"/>
              <w:ind w:left="980" w:hangingChars="490" w:hanging="980"/>
              <w:jc w:val="both"/>
              <w:rPr>
                <w:rFonts w:ascii="標楷體" w:eastAsia="標楷體" w:hAnsi="標楷體"/>
                <w:noProof/>
                <w:color w:val="000000" w:themeColor="text1"/>
                <w:sz w:val="20"/>
              </w:rPr>
            </w:pPr>
            <w:r w:rsidRPr="00FF0427">
              <w:rPr>
                <w:rFonts w:ascii="標楷體" w:eastAsia="標楷體" w:hAnsi="標楷體" w:hint="eastAsia"/>
                <w:noProof/>
                <w:color w:val="000000" w:themeColor="text1"/>
                <w:sz w:val="20"/>
              </w:rPr>
              <w:t>（二十九）</w:t>
            </w:r>
            <w:r w:rsidR="00032853" w:rsidRPr="00032853">
              <w:rPr>
                <w:rFonts w:ascii="標楷體" w:eastAsia="標楷體" w:hAnsi="標楷體" w:hint="eastAsia"/>
                <w:noProof/>
                <w:color w:val="000000" w:themeColor="text1"/>
                <w:sz w:val="20"/>
              </w:rPr>
              <w:t>政府為維護採購秩序，防止廠商圍標行為，已訂定相關課責及預防機制，惟其機制功能及執行內涵，尚待研謀強化</w:t>
            </w:r>
            <w:r w:rsidRPr="00FF0427">
              <w:rPr>
                <w:rFonts w:ascii="標楷體" w:eastAsia="標楷體" w:hAnsi="標楷體" w:hint="eastAsia"/>
                <w:noProof/>
                <w:color w:val="000000" w:themeColor="text1"/>
                <w:sz w:val="20"/>
              </w:rPr>
              <w:t>。</w:t>
            </w:r>
          </w:p>
        </w:tc>
        <w:tc>
          <w:tcPr>
            <w:tcW w:w="1559" w:type="dxa"/>
            <w:vMerge/>
            <w:tcBorders>
              <w:left w:val="single" w:sz="4" w:space="0" w:color="auto"/>
              <w:right w:val="single" w:sz="4" w:space="0" w:color="auto"/>
              <w:tl2br w:val="single" w:sz="4" w:space="0" w:color="auto"/>
            </w:tcBorders>
          </w:tcPr>
          <w:p w14:paraId="097B756D" w14:textId="77777777" w:rsidR="007064BE" w:rsidRPr="00FF0427" w:rsidRDefault="007064BE" w:rsidP="001E782A">
            <w:pPr>
              <w:overflowPunct w:val="0"/>
              <w:snapToGrid w:val="0"/>
              <w:spacing w:line="260" w:lineRule="exact"/>
              <w:jc w:val="both"/>
              <w:rPr>
                <w:rFonts w:ascii="標楷體" w:eastAsia="標楷體" w:hAnsi="標楷體"/>
                <w:noProof/>
                <w:color w:val="000000" w:themeColor="text1"/>
                <w:sz w:val="20"/>
              </w:rPr>
            </w:pPr>
          </w:p>
        </w:tc>
      </w:tr>
    </w:tbl>
    <w:p w14:paraId="0C3F71DC" w14:textId="37C8AFB2" w:rsidR="007E4578" w:rsidRPr="00893770" w:rsidRDefault="007E4578" w:rsidP="001E782A">
      <w:pPr>
        <w:pStyle w:val="10"/>
        <w:overflowPunct w:val="0"/>
        <w:spacing w:beforeLines="20" w:before="72" w:afterLines="20" w:after="72" w:line="460" w:lineRule="exact"/>
        <w:ind w:firstLineChars="100" w:firstLine="320"/>
        <w:rPr>
          <w:rFonts w:ascii="標楷體" w:eastAsia="標楷體" w:hAnsi="標楷體"/>
          <w:color w:val="000000" w:themeColor="text1"/>
          <w:sz w:val="32"/>
          <w:szCs w:val="32"/>
        </w:rPr>
      </w:pPr>
      <w:r w:rsidRPr="00893770">
        <w:rPr>
          <w:rFonts w:ascii="標楷體" w:eastAsia="標楷體" w:hAnsi="標楷體" w:hint="eastAsia"/>
          <w:color w:val="000000" w:themeColor="text1"/>
          <w:sz w:val="32"/>
          <w:szCs w:val="32"/>
        </w:rPr>
        <w:lastRenderedPageBreak/>
        <w:t>六、其他事項</w:t>
      </w:r>
    </w:p>
    <w:p w14:paraId="146A05A5" w14:textId="082025D6" w:rsidR="0066262F" w:rsidRPr="005C22EC" w:rsidRDefault="00C97278" w:rsidP="007A0A90">
      <w:pPr>
        <w:overflowPunct w:val="0"/>
        <w:autoSpaceDE w:val="0"/>
        <w:autoSpaceDN w:val="0"/>
        <w:adjustRightInd w:val="0"/>
        <w:spacing w:line="420" w:lineRule="exact"/>
        <w:ind w:firstLineChars="200" w:firstLine="480"/>
        <w:jc w:val="both"/>
        <w:rPr>
          <w:rFonts w:ascii="標楷體" w:eastAsia="標楷體" w:hAnsi="標楷體"/>
          <w:kern w:val="0"/>
          <w:szCs w:val="24"/>
        </w:rPr>
      </w:pPr>
      <w:r>
        <w:rPr>
          <w:rFonts w:ascii="標楷體" w:eastAsia="標楷體" w:hAnsi="標楷體" w:hint="eastAsia"/>
          <w:kern w:val="0"/>
          <w:szCs w:val="24"/>
        </w:rPr>
        <w:t>行政院</w:t>
      </w:r>
      <w:r w:rsidRPr="00E665B3">
        <w:rPr>
          <w:rFonts w:ascii="標楷體" w:eastAsia="標楷體" w:hAnsi="標楷體" w:hint="eastAsia"/>
          <w:kern w:val="0"/>
          <w:szCs w:val="24"/>
        </w:rPr>
        <w:t>主管推動施政計畫之執行結果，前經本</w:t>
      </w:r>
      <w:r>
        <w:rPr>
          <w:rFonts w:ascii="標楷體" w:eastAsia="標楷體" w:hAnsi="標楷體" w:hint="eastAsia"/>
          <w:kern w:val="0"/>
          <w:szCs w:val="24"/>
        </w:rPr>
        <w:t>部查核後於審核報告揭露，或依法陳報監察院，或該院請本部</w:t>
      </w:r>
      <w:r w:rsidRPr="00E665B3">
        <w:rPr>
          <w:rFonts w:ascii="標楷體" w:eastAsia="標楷體" w:hAnsi="標楷體" w:hint="eastAsia"/>
          <w:kern w:val="0"/>
          <w:szCs w:val="24"/>
        </w:rPr>
        <w:t>提供資料，嗣經監察院於11</w:t>
      </w:r>
      <w:r>
        <w:rPr>
          <w:rFonts w:ascii="標楷體" w:eastAsia="標楷體" w:hAnsi="標楷體" w:hint="eastAsia"/>
          <w:kern w:val="0"/>
          <w:szCs w:val="24"/>
        </w:rPr>
        <w:t>2</w:t>
      </w:r>
      <w:r w:rsidRPr="00E665B3">
        <w:rPr>
          <w:rFonts w:ascii="標楷體" w:eastAsia="標楷體" w:hAnsi="標楷體" w:hint="eastAsia"/>
          <w:kern w:val="0"/>
          <w:szCs w:val="24"/>
        </w:rPr>
        <w:t>年</w:t>
      </w:r>
      <w:r>
        <w:rPr>
          <w:rFonts w:ascii="標楷體" w:eastAsia="標楷體" w:hAnsi="標楷體" w:hint="eastAsia"/>
          <w:kern w:val="0"/>
          <w:szCs w:val="24"/>
        </w:rPr>
        <w:t>7</w:t>
      </w:r>
      <w:r w:rsidRPr="00E665B3">
        <w:rPr>
          <w:rFonts w:ascii="標楷體" w:eastAsia="標楷體" w:hAnsi="標楷體" w:hint="eastAsia"/>
          <w:kern w:val="0"/>
          <w:szCs w:val="24"/>
        </w:rPr>
        <w:t>月</w:t>
      </w:r>
      <w:r>
        <w:rPr>
          <w:rFonts w:ascii="標楷體" w:eastAsia="標楷體" w:hAnsi="標楷體" w:hint="eastAsia"/>
          <w:kern w:val="0"/>
          <w:szCs w:val="24"/>
        </w:rPr>
        <w:t>1</w:t>
      </w:r>
      <w:r w:rsidRPr="00E665B3">
        <w:rPr>
          <w:rFonts w:ascii="標楷體" w:eastAsia="標楷體" w:hAnsi="標楷體" w:hint="eastAsia"/>
          <w:kern w:val="0"/>
          <w:szCs w:val="24"/>
        </w:rPr>
        <w:t>日至</w:t>
      </w:r>
      <w:r>
        <w:rPr>
          <w:rFonts w:ascii="標楷體" w:eastAsia="標楷體" w:hAnsi="標楷體" w:hint="eastAsia"/>
          <w:kern w:val="0"/>
          <w:szCs w:val="24"/>
        </w:rPr>
        <w:t>113</w:t>
      </w:r>
      <w:r w:rsidRPr="00E665B3">
        <w:rPr>
          <w:rFonts w:ascii="標楷體" w:eastAsia="標楷體" w:hAnsi="標楷體" w:hint="eastAsia"/>
          <w:kern w:val="0"/>
          <w:szCs w:val="24"/>
        </w:rPr>
        <w:t>年</w:t>
      </w:r>
      <w:r>
        <w:rPr>
          <w:rFonts w:ascii="標楷體" w:eastAsia="標楷體" w:hAnsi="標楷體" w:hint="eastAsia"/>
          <w:kern w:val="0"/>
          <w:szCs w:val="24"/>
        </w:rPr>
        <w:t>6</w:t>
      </w:r>
      <w:r w:rsidRPr="00E665B3">
        <w:rPr>
          <w:rFonts w:ascii="標楷體" w:eastAsia="標楷體" w:hAnsi="標楷體" w:hint="eastAsia"/>
          <w:kern w:val="0"/>
          <w:szCs w:val="24"/>
        </w:rPr>
        <w:t>月</w:t>
      </w:r>
      <w:r>
        <w:rPr>
          <w:rFonts w:ascii="標楷體" w:eastAsia="標楷體" w:hAnsi="標楷體" w:hint="eastAsia"/>
          <w:kern w:val="0"/>
          <w:szCs w:val="24"/>
        </w:rPr>
        <w:t>30日間糾正、同意備查者，摘述如次</w:t>
      </w:r>
      <w:r w:rsidRPr="009D11AD">
        <w:rPr>
          <w:rFonts w:ascii="標楷體" w:eastAsia="標楷體" w:hAnsi="標楷體" w:hint="eastAsia"/>
          <w:kern w:val="0"/>
          <w:szCs w:val="24"/>
        </w:rPr>
        <w:t>：</w:t>
      </w:r>
    </w:p>
    <w:p w14:paraId="5D7DEFCC" w14:textId="2B5D43F9" w:rsidR="000D1A89" w:rsidRDefault="00AA78D3" w:rsidP="007A0A90">
      <w:pPr>
        <w:overflowPunct w:val="0"/>
        <w:autoSpaceDE w:val="0"/>
        <w:autoSpaceDN w:val="0"/>
        <w:adjustRightInd w:val="0"/>
        <w:spacing w:line="420" w:lineRule="exact"/>
        <w:ind w:firstLineChars="200" w:firstLine="480"/>
        <w:jc w:val="both"/>
        <w:rPr>
          <w:rFonts w:ascii="標楷體" w:eastAsia="標楷體" w:hAnsi="標楷體"/>
          <w:szCs w:val="32"/>
        </w:rPr>
      </w:pPr>
      <w:r w:rsidRPr="00C97278">
        <w:rPr>
          <w:rFonts w:ascii="標楷體" w:eastAsia="標楷體" w:hAnsi="標楷體"/>
          <w:szCs w:val="32"/>
        </w:rPr>
        <w:t>（</w:t>
      </w:r>
      <w:r w:rsidR="005C22EC">
        <w:rPr>
          <w:rFonts w:ascii="標楷體" w:eastAsia="標楷體" w:hAnsi="標楷體" w:hint="eastAsia"/>
          <w:szCs w:val="32"/>
        </w:rPr>
        <w:t>一</w:t>
      </w:r>
      <w:r w:rsidRPr="00C97278">
        <w:rPr>
          <w:rFonts w:ascii="標楷體" w:eastAsia="標楷體" w:hAnsi="標楷體"/>
          <w:szCs w:val="32"/>
        </w:rPr>
        <w:t>）</w:t>
      </w:r>
      <w:r w:rsidRPr="00C97278">
        <w:rPr>
          <w:rFonts w:ascii="標楷體" w:eastAsia="標楷體" w:hAnsi="標楷體" w:hint="eastAsia"/>
          <w:szCs w:val="32"/>
        </w:rPr>
        <w:t xml:space="preserve">　</w:t>
      </w:r>
      <w:r w:rsidRPr="00AA78D3">
        <w:rPr>
          <w:rFonts w:ascii="標楷體" w:eastAsia="標楷體" w:hAnsi="標楷體" w:hint="eastAsia"/>
          <w:szCs w:val="32"/>
        </w:rPr>
        <w:t>故宮</w:t>
      </w:r>
      <w:r w:rsidR="0066182B">
        <w:rPr>
          <w:rFonts w:ascii="標楷體" w:eastAsia="標楷體" w:hAnsi="標楷體" w:hint="eastAsia"/>
          <w:szCs w:val="32"/>
        </w:rPr>
        <w:t>博物院</w:t>
      </w:r>
      <w:r w:rsidRPr="00AA78D3">
        <w:rPr>
          <w:rFonts w:ascii="標楷體" w:eastAsia="標楷體" w:hAnsi="標楷體" w:hint="eastAsia"/>
          <w:szCs w:val="32"/>
        </w:rPr>
        <w:t>為維護文物及庫房保存環境，辦理文物安全、管理與修護計畫，惟間有文物保存方式、整理空間動線規劃欠妥及文物安全維護控管機制未臻周妥，肇致文物「清 乾隆 青花花卉盤」於入庫整理過程中，因人為疏忽而掉落破損；又未完整記錄與文物接觸之相關資訊，或未覈實登載數位化紀錄，致「明 弘治款 嬌黃綠彩雙龍小碗」經發現破損，因該院對文物開箱提件之人員接觸紀錄，未臻詳實，無法完整追蹤接觸文物之歷次紀錄，難以釐清責任，核有違失，經監察院糾正。</w:t>
      </w:r>
      <w:r>
        <w:rPr>
          <w:rFonts w:ascii="標楷體" w:eastAsia="標楷體" w:hAnsi="標楷體" w:hint="eastAsia"/>
          <w:szCs w:val="32"/>
        </w:rPr>
        <w:t>（</w:t>
      </w:r>
      <w:r w:rsidRPr="00AA78D3">
        <w:rPr>
          <w:rFonts w:ascii="標楷體" w:eastAsia="標楷體" w:hAnsi="標楷體" w:hint="eastAsia"/>
          <w:szCs w:val="32"/>
        </w:rPr>
        <w:t>112年12月27日監察院公報第3352期</w:t>
      </w:r>
      <w:r>
        <w:rPr>
          <w:rFonts w:ascii="標楷體" w:eastAsia="標楷體" w:hAnsi="標楷體" w:hint="eastAsia"/>
          <w:szCs w:val="32"/>
        </w:rPr>
        <w:t>）</w:t>
      </w:r>
    </w:p>
    <w:p w14:paraId="518F5393" w14:textId="32601346" w:rsidR="00881707" w:rsidRPr="00FE2ABC" w:rsidRDefault="00881707" w:rsidP="007A0A90">
      <w:pPr>
        <w:overflowPunct w:val="0"/>
        <w:autoSpaceDE w:val="0"/>
        <w:autoSpaceDN w:val="0"/>
        <w:adjustRightInd w:val="0"/>
        <w:spacing w:line="420" w:lineRule="exact"/>
        <w:ind w:firstLineChars="200" w:firstLine="480"/>
        <w:jc w:val="both"/>
        <w:rPr>
          <w:rFonts w:ascii="標楷體" w:eastAsia="標楷體" w:hAnsi="標楷體"/>
        </w:rPr>
      </w:pPr>
      <w:r>
        <w:rPr>
          <w:rFonts w:ascii="標楷體" w:eastAsia="標楷體" w:hAnsi="標楷體"/>
          <w:bCs/>
        </w:rPr>
        <w:t>（</w:t>
      </w:r>
      <w:r w:rsidR="00D57051">
        <w:rPr>
          <w:rFonts w:ascii="標楷體" w:eastAsia="標楷體" w:hAnsi="標楷體" w:hint="eastAsia"/>
          <w:bCs/>
        </w:rPr>
        <w:t>二</w:t>
      </w:r>
      <w:r w:rsidRPr="00E36AFC">
        <w:rPr>
          <w:rFonts w:ascii="標楷體" w:eastAsia="標楷體" w:hAnsi="標楷體"/>
          <w:bCs/>
        </w:rPr>
        <w:t>）</w:t>
      </w:r>
      <w:r w:rsidRPr="004C6716">
        <w:rPr>
          <w:rFonts w:ascii="標楷體" w:hAnsi="標楷體" w:hint="eastAsia"/>
        </w:rPr>
        <w:t xml:space="preserve">　</w:t>
      </w:r>
      <w:r w:rsidRPr="00734CE4">
        <w:rPr>
          <w:rFonts w:ascii="標楷體" w:eastAsia="標楷體" w:hAnsi="標楷體" w:hint="eastAsia"/>
        </w:rPr>
        <w:t>原住民族委員會原住民族文化發展中心辦理「臺灣原住民族文化園區綠珠雕琢再造</w:t>
      </w:r>
      <w:r>
        <w:rPr>
          <w:rFonts w:ascii="標楷體" w:eastAsia="標楷體" w:hAnsi="標楷體" w:hint="eastAsia"/>
        </w:rPr>
        <w:t>6</w:t>
      </w:r>
      <w:r w:rsidRPr="00734CE4">
        <w:rPr>
          <w:rFonts w:ascii="標楷體" w:eastAsia="標楷體" w:hAnsi="標楷體" w:hint="eastAsia"/>
        </w:rPr>
        <w:t>年（</w:t>
      </w:r>
      <w:r>
        <w:rPr>
          <w:rFonts w:ascii="標楷體" w:eastAsia="標楷體" w:hAnsi="標楷體" w:hint="eastAsia"/>
        </w:rPr>
        <w:t>106</w:t>
      </w:r>
      <w:r w:rsidRPr="00734CE4">
        <w:rPr>
          <w:rFonts w:ascii="標楷體" w:eastAsia="標楷體" w:hAnsi="標楷體" w:hint="eastAsia"/>
        </w:rPr>
        <w:t>至</w:t>
      </w:r>
      <w:r>
        <w:rPr>
          <w:rFonts w:ascii="標楷體" w:eastAsia="標楷體" w:hAnsi="標楷體" w:hint="eastAsia"/>
        </w:rPr>
        <w:t>111</w:t>
      </w:r>
      <w:r w:rsidRPr="00734CE4">
        <w:rPr>
          <w:rFonts w:ascii="標楷體" w:eastAsia="標楷體" w:hAnsi="標楷體" w:hint="eastAsia"/>
        </w:rPr>
        <w:t>年度）中長程計畫」</w:t>
      </w:r>
      <w:r>
        <w:rPr>
          <w:rFonts w:ascii="標楷體" w:eastAsia="標楷體" w:hAnsi="標楷體" w:hint="eastAsia"/>
        </w:rPr>
        <w:t>，</w:t>
      </w:r>
      <w:r w:rsidRPr="0087203E">
        <w:rPr>
          <w:rFonts w:ascii="標楷體" w:eastAsia="標楷體" w:hAnsi="標楷體" w:hint="eastAsia"/>
        </w:rPr>
        <w:t>未覈實評估</w:t>
      </w:r>
      <w:r>
        <w:rPr>
          <w:rFonts w:ascii="標楷體" w:eastAsia="標楷體" w:hAnsi="標楷體" w:hint="eastAsia"/>
        </w:rPr>
        <w:t>財務收益，</w:t>
      </w:r>
      <w:r w:rsidRPr="0087203E">
        <w:rPr>
          <w:rFonts w:ascii="標楷體" w:eastAsia="標楷體" w:hAnsi="標楷體" w:hint="eastAsia"/>
        </w:rPr>
        <w:t>將全國</w:t>
      </w:r>
      <w:r>
        <w:rPr>
          <w:rFonts w:ascii="標楷體" w:eastAsia="標楷體" w:hAnsi="標楷體" w:hint="eastAsia"/>
        </w:rPr>
        <w:t>29</w:t>
      </w:r>
      <w:r w:rsidRPr="0087203E">
        <w:rPr>
          <w:rFonts w:ascii="標楷體" w:eastAsia="標楷體" w:hAnsi="標楷體" w:hint="eastAsia"/>
        </w:rPr>
        <w:t>座原住民族地方文物館及其周邊產業之產值，推估為該計畫之營運收益</w:t>
      </w:r>
      <w:r w:rsidRPr="00893770">
        <w:rPr>
          <w:rFonts w:ascii="標楷體" w:eastAsia="標楷體" w:hAnsi="標楷體" w:hint="eastAsia"/>
        </w:rPr>
        <w:t>，虛列計畫效益，原住民族委員會亦未確實審查；臺灣原住民族文化園區112年度較107年度遊客數縮減幅度近4成6，致112年度該園區決算短絀近4億元，原住民族委員會亦疏於督導，未按國家發展委員會之意見採取有效提升園區營運收入及減輕政府財政負擔等措施；原住民族文化</w:t>
      </w:r>
      <w:r>
        <w:rPr>
          <w:rFonts w:ascii="標楷體" w:eastAsia="標楷體" w:hAnsi="標楷體" w:hint="eastAsia"/>
        </w:rPr>
        <w:t>發展中心僅以遊園車陸續達報廢年限之車輛數，</w:t>
      </w:r>
      <w:r w:rsidRPr="0073751E">
        <w:rPr>
          <w:rFonts w:ascii="標楷體" w:eastAsia="標楷體" w:hAnsi="標楷體" w:hint="eastAsia"/>
        </w:rPr>
        <w:t>作為評估須購置遊園車之依據，肇致</w:t>
      </w:r>
      <w:r>
        <w:rPr>
          <w:rFonts w:ascii="標楷體" w:eastAsia="標楷體" w:hAnsi="標楷體" w:hint="eastAsia"/>
        </w:rPr>
        <w:t>106</w:t>
      </w:r>
      <w:r w:rsidRPr="0073751E">
        <w:rPr>
          <w:rFonts w:ascii="標楷體" w:eastAsia="標楷體" w:hAnsi="標楷體" w:hint="eastAsia"/>
        </w:rPr>
        <w:t>年至</w:t>
      </w:r>
      <w:r>
        <w:rPr>
          <w:rFonts w:ascii="標楷體" w:eastAsia="標楷體" w:hAnsi="標楷體" w:hint="eastAsia"/>
        </w:rPr>
        <w:t>109</w:t>
      </w:r>
      <w:r w:rsidRPr="0073751E">
        <w:rPr>
          <w:rFonts w:ascii="標楷體" w:eastAsia="標楷體" w:hAnsi="標楷體" w:hint="eastAsia"/>
        </w:rPr>
        <w:t>年購置之</w:t>
      </w:r>
      <w:r>
        <w:rPr>
          <w:rFonts w:ascii="標楷體" w:eastAsia="標楷體" w:hAnsi="標楷體" w:hint="eastAsia"/>
        </w:rPr>
        <w:t>8</w:t>
      </w:r>
      <w:r w:rsidRPr="0073751E">
        <w:rPr>
          <w:rFonts w:ascii="標楷體" w:eastAsia="標楷體" w:hAnsi="標楷體" w:hint="eastAsia"/>
        </w:rPr>
        <w:t>輛遊園車呈現低度使用，</w:t>
      </w:r>
      <w:r>
        <w:rPr>
          <w:rFonts w:ascii="標楷體" w:eastAsia="標楷體" w:hAnsi="標楷體" w:hint="eastAsia"/>
        </w:rPr>
        <w:t>又園</w:t>
      </w:r>
      <w:r w:rsidRPr="0073751E">
        <w:rPr>
          <w:rFonts w:ascii="標楷體" w:eastAsia="標楷體" w:hAnsi="標楷體" w:hint="eastAsia"/>
        </w:rPr>
        <w:t>區現有駕駛外包人力編制僅7人，卻有</w:t>
      </w:r>
      <w:r>
        <w:rPr>
          <w:rFonts w:ascii="標楷體" w:eastAsia="標楷體" w:hAnsi="標楷體" w:hint="eastAsia"/>
        </w:rPr>
        <w:t>15</w:t>
      </w:r>
      <w:r w:rsidRPr="0073751E">
        <w:rPr>
          <w:rFonts w:ascii="標楷體" w:eastAsia="標楷體" w:hAnsi="標楷體" w:hint="eastAsia"/>
        </w:rPr>
        <w:t>輛遊園車，後續汰舊後仍留用</w:t>
      </w:r>
      <w:r>
        <w:rPr>
          <w:rFonts w:ascii="標楷體" w:eastAsia="標楷體" w:hAnsi="標楷體" w:hint="eastAsia"/>
        </w:rPr>
        <w:t>10</w:t>
      </w:r>
      <w:r w:rsidRPr="0073751E">
        <w:rPr>
          <w:rFonts w:ascii="標楷體" w:eastAsia="標楷體" w:hAnsi="標楷體" w:hint="eastAsia"/>
        </w:rPr>
        <w:t>輛，任由耗費鉅資購置之遊園車使用率偏低或閒置</w:t>
      </w:r>
      <w:r>
        <w:rPr>
          <w:rFonts w:ascii="標楷體" w:eastAsia="標楷體" w:hAnsi="標楷體" w:hint="eastAsia"/>
        </w:rPr>
        <w:t>等</w:t>
      </w:r>
      <w:r w:rsidRPr="00FE2ABC">
        <w:rPr>
          <w:rFonts w:ascii="標楷體" w:eastAsia="標楷體" w:hAnsi="標楷體" w:hint="eastAsia"/>
        </w:rPr>
        <w:t>，</w:t>
      </w:r>
      <w:r w:rsidRPr="0073751E">
        <w:rPr>
          <w:rFonts w:ascii="標楷體" w:eastAsia="標楷體" w:hAnsi="標楷體" w:hint="eastAsia"/>
        </w:rPr>
        <w:t>核有欠當</w:t>
      </w:r>
      <w:r w:rsidRPr="00FE2ABC">
        <w:rPr>
          <w:rFonts w:ascii="標楷體" w:eastAsia="標楷體" w:hAnsi="標楷體" w:hint="eastAsia"/>
        </w:rPr>
        <w:t>，</w:t>
      </w:r>
      <w:r w:rsidRPr="00FE2ABC">
        <w:rPr>
          <w:rFonts w:ascii="標楷體" w:eastAsia="標楷體" w:hAnsi="標楷體" w:hint="eastAsia"/>
          <w:kern w:val="0"/>
          <w:szCs w:val="24"/>
        </w:rPr>
        <w:t>經監察院糾正</w:t>
      </w:r>
      <w:r w:rsidR="0066182B">
        <w:rPr>
          <w:rFonts w:ascii="標楷體" w:eastAsia="標楷體" w:hAnsi="標楷體" w:hint="eastAsia"/>
          <w:kern w:val="0"/>
          <w:szCs w:val="24"/>
        </w:rPr>
        <w:t>原住民族委員會及原住民族文化發展中心</w:t>
      </w:r>
      <w:r w:rsidRPr="00FE2ABC">
        <w:rPr>
          <w:rFonts w:ascii="標楷體" w:eastAsia="標楷體" w:hAnsi="標楷體" w:hint="eastAsia"/>
          <w:kern w:val="0"/>
          <w:szCs w:val="24"/>
        </w:rPr>
        <w:t>（</w:t>
      </w:r>
      <w:r>
        <w:rPr>
          <w:rFonts w:ascii="標楷體" w:eastAsia="標楷體" w:hAnsi="標楷體" w:hint="eastAsia"/>
          <w:kern w:val="0"/>
          <w:szCs w:val="24"/>
        </w:rPr>
        <w:t>113年6月</w:t>
      </w:r>
      <w:r w:rsidRPr="00FE2ABC">
        <w:rPr>
          <w:rFonts w:ascii="標楷體" w:eastAsia="標楷體" w:hAnsi="標楷體" w:hint="eastAsia"/>
          <w:kern w:val="0"/>
          <w:szCs w:val="24"/>
        </w:rPr>
        <w:t>5</w:t>
      </w:r>
      <w:r>
        <w:rPr>
          <w:rFonts w:ascii="標楷體" w:eastAsia="標楷體" w:hAnsi="標楷體" w:hint="eastAsia"/>
          <w:kern w:val="0"/>
          <w:szCs w:val="24"/>
        </w:rPr>
        <w:t>日</w:t>
      </w:r>
      <w:r w:rsidRPr="00FE2ABC">
        <w:rPr>
          <w:rFonts w:ascii="標楷體" w:eastAsia="標楷體" w:hAnsi="標楷體" w:hint="eastAsia"/>
          <w:kern w:val="0"/>
          <w:szCs w:val="24"/>
        </w:rPr>
        <w:t>監察院公報第3375期）。</w:t>
      </w:r>
    </w:p>
    <w:p w14:paraId="6E44DE7D" w14:textId="64C7F63D" w:rsidR="005C22EC" w:rsidRPr="00DA2751" w:rsidRDefault="00881707" w:rsidP="007A0A90">
      <w:pPr>
        <w:overflowPunct w:val="0"/>
        <w:autoSpaceDE w:val="0"/>
        <w:autoSpaceDN w:val="0"/>
        <w:adjustRightInd w:val="0"/>
        <w:spacing w:line="420" w:lineRule="exact"/>
        <w:ind w:firstLineChars="200" w:firstLine="480"/>
        <w:jc w:val="both"/>
        <w:rPr>
          <w:rFonts w:ascii="標楷體" w:eastAsia="標楷體" w:hAnsi="標楷體"/>
          <w:kern w:val="0"/>
          <w:szCs w:val="24"/>
        </w:rPr>
      </w:pPr>
      <w:r>
        <w:rPr>
          <w:rFonts w:ascii="標楷體" w:eastAsia="標楷體" w:hAnsi="標楷體"/>
          <w:bCs/>
        </w:rPr>
        <w:t>（</w:t>
      </w:r>
      <w:r w:rsidR="00D57051">
        <w:rPr>
          <w:rFonts w:ascii="標楷體" w:eastAsia="標楷體" w:hAnsi="標楷體" w:hint="eastAsia"/>
          <w:bCs/>
        </w:rPr>
        <w:t>三</w:t>
      </w:r>
      <w:r w:rsidRPr="00E36AFC">
        <w:rPr>
          <w:rFonts w:ascii="標楷體" w:eastAsia="標楷體" w:hAnsi="標楷體"/>
          <w:bCs/>
        </w:rPr>
        <w:t>）</w:t>
      </w:r>
      <w:r w:rsidRPr="004C6716">
        <w:rPr>
          <w:rFonts w:ascii="標楷體" w:hAnsi="標楷體" w:hint="eastAsia"/>
        </w:rPr>
        <w:t xml:space="preserve">　</w:t>
      </w:r>
      <w:r w:rsidRPr="0043273D">
        <w:rPr>
          <w:rFonts w:ascii="標楷體" w:eastAsia="標楷體" w:hAnsi="標楷體" w:hint="eastAsia"/>
          <w:kern w:val="0"/>
          <w:szCs w:val="24"/>
        </w:rPr>
        <w:t>客家委員會推動國家級臺三線客庄浪漫大道政策，辦理客家浪漫臺三線計畫</w:t>
      </w:r>
      <w:r>
        <w:rPr>
          <w:rFonts w:ascii="標楷體" w:eastAsia="標楷體" w:hAnsi="標楷體" w:hint="eastAsia"/>
          <w:kern w:val="0"/>
          <w:szCs w:val="24"/>
        </w:rPr>
        <w:t>並</w:t>
      </w:r>
      <w:r w:rsidRPr="0043273D">
        <w:rPr>
          <w:rFonts w:ascii="標楷體" w:eastAsia="標楷體" w:hAnsi="標楷體" w:hint="eastAsia"/>
          <w:kern w:val="0"/>
          <w:szCs w:val="24"/>
        </w:rPr>
        <w:t>委外成立客家文化生活及產業環境營造計畫督導團</w:t>
      </w:r>
      <w:r>
        <w:rPr>
          <w:rFonts w:ascii="標楷體" w:eastAsia="標楷體" w:hAnsi="標楷體" w:hint="eastAsia"/>
          <w:kern w:val="0"/>
          <w:szCs w:val="24"/>
        </w:rPr>
        <w:t>情形</w:t>
      </w:r>
      <w:r w:rsidRPr="0043273D">
        <w:rPr>
          <w:rFonts w:ascii="標楷體" w:eastAsia="標楷體" w:hAnsi="標楷體" w:hint="eastAsia"/>
          <w:kern w:val="0"/>
          <w:szCs w:val="24"/>
        </w:rPr>
        <w:t>，</w:t>
      </w:r>
      <w:r>
        <w:rPr>
          <w:rFonts w:ascii="標楷體" w:eastAsia="標楷體" w:hAnsi="標楷體" w:hint="eastAsia"/>
          <w:kern w:val="0"/>
          <w:szCs w:val="24"/>
        </w:rPr>
        <w:t>核有</w:t>
      </w:r>
      <w:r w:rsidRPr="009D11AD">
        <w:rPr>
          <w:rFonts w:ascii="標楷體" w:eastAsia="標楷體" w:hAnsi="標楷體" w:hint="eastAsia"/>
          <w:kern w:val="0"/>
          <w:szCs w:val="24"/>
        </w:rPr>
        <w:t>：</w:t>
      </w:r>
      <w:r w:rsidRPr="0043273D">
        <w:rPr>
          <w:rFonts w:ascii="標楷體" w:eastAsia="標楷體" w:hAnsi="標楷體" w:hint="eastAsia"/>
          <w:kern w:val="0"/>
          <w:szCs w:val="24"/>
        </w:rPr>
        <w:t>計畫執行前，未落實審查各市縣政府計畫提案階段填報之預期達成量（質）化指標，且未依規劃進行跨部會合作交流，妥為分配補助資源；又計畫執行完竣後，量化績效指標達成值虛增、創造產值效益未明、提供藝術工作者進駐等計畫目標及質化績效指標未能達成、補助計畫完工後續未妥善開放使用及管理維護等，減損計畫預期綜效；另就督導團多年提送補助案件待改善之訪視結論及建議，均未盡督導職責督促市縣政府檢討改善，並落實作為審查來年補助計畫之</w:t>
      </w:r>
      <w:r>
        <w:rPr>
          <w:rFonts w:ascii="標楷體" w:eastAsia="標楷體" w:hAnsi="標楷體" w:hint="eastAsia"/>
          <w:kern w:val="0"/>
          <w:szCs w:val="24"/>
        </w:rPr>
        <w:t>參考，致所提建議歷經多年仍未獲改善，未能有效發揮督導團訪視效益</w:t>
      </w:r>
      <w:r w:rsidRPr="006F5FA5">
        <w:rPr>
          <w:rFonts w:ascii="標楷體" w:eastAsia="標楷體" w:hAnsi="標楷體" w:hint="eastAsia"/>
          <w:kern w:val="0"/>
          <w:szCs w:val="24"/>
        </w:rPr>
        <w:t>等效能過低情事，經依審計法第</w:t>
      </w:r>
      <w:r w:rsidRPr="006F5FA5">
        <w:rPr>
          <w:rFonts w:ascii="標楷體" w:eastAsia="標楷體" w:hAnsi="標楷體"/>
          <w:kern w:val="0"/>
          <w:szCs w:val="24"/>
        </w:rPr>
        <w:t>69</w:t>
      </w:r>
      <w:r w:rsidRPr="006F5FA5">
        <w:rPr>
          <w:rFonts w:ascii="標楷體" w:eastAsia="標楷體" w:hAnsi="標楷體" w:hint="eastAsia"/>
          <w:kern w:val="0"/>
          <w:szCs w:val="24"/>
        </w:rPr>
        <w:t>條第</w:t>
      </w:r>
      <w:r w:rsidRPr="006F5FA5">
        <w:rPr>
          <w:rFonts w:ascii="標楷體" w:eastAsia="標楷體" w:hAnsi="標楷體"/>
          <w:kern w:val="0"/>
          <w:szCs w:val="24"/>
        </w:rPr>
        <w:t>1</w:t>
      </w:r>
      <w:r w:rsidRPr="006F5FA5">
        <w:rPr>
          <w:rFonts w:ascii="標楷體" w:eastAsia="標楷體" w:hAnsi="標楷體" w:hint="eastAsia"/>
          <w:kern w:val="0"/>
          <w:szCs w:val="24"/>
        </w:rPr>
        <w:t>項前段規定，函請行政院督促檢討研謀改善，並報告監察院。嗣經</w:t>
      </w:r>
      <w:r w:rsidRPr="0043273D">
        <w:rPr>
          <w:rFonts w:ascii="標楷體" w:eastAsia="標楷體" w:hAnsi="標楷體" w:hint="eastAsia"/>
          <w:kern w:val="0"/>
          <w:szCs w:val="24"/>
        </w:rPr>
        <w:t>客家委員會</w:t>
      </w:r>
      <w:r w:rsidRPr="005A6D3F">
        <w:rPr>
          <w:rFonts w:ascii="標楷體" w:eastAsia="標楷體" w:hAnsi="標楷體" w:hint="eastAsia"/>
          <w:kern w:val="0"/>
          <w:szCs w:val="24"/>
        </w:rPr>
        <w:t>檢討</w:t>
      </w:r>
      <w:r>
        <w:rPr>
          <w:rFonts w:ascii="標楷體" w:eastAsia="標楷體" w:hAnsi="標楷體" w:hint="eastAsia"/>
          <w:kern w:val="0"/>
          <w:szCs w:val="24"/>
        </w:rPr>
        <w:t>研提改善措施</w:t>
      </w:r>
      <w:r w:rsidRPr="005A6D3F">
        <w:rPr>
          <w:rFonts w:ascii="標楷體" w:eastAsia="標楷體" w:hAnsi="標楷體" w:hint="eastAsia"/>
          <w:kern w:val="0"/>
          <w:szCs w:val="24"/>
        </w:rPr>
        <w:t>，</w:t>
      </w:r>
      <w:r>
        <w:rPr>
          <w:rFonts w:ascii="標楷體" w:eastAsia="標楷體" w:hAnsi="標楷體" w:hint="eastAsia"/>
          <w:kern w:val="0"/>
          <w:szCs w:val="24"/>
        </w:rPr>
        <w:t>嗣後將針對專案部分責成提案單位納入自訂量化指標，俾</w:t>
      </w:r>
      <w:r w:rsidRPr="0043273D">
        <w:rPr>
          <w:rFonts w:ascii="標楷體" w:eastAsia="標楷體" w:hAnsi="標楷體" w:hint="eastAsia"/>
          <w:kern w:val="0"/>
          <w:szCs w:val="24"/>
        </w:rPr>
        <w:t>作為中長程計畫關鍵績效指標統計依據，至於補助大型園區或館舍部分，將委託專業團隊協助調查追蹤，建立有效之效益評估方式，據以修正計畫書範本相關內容</w:t>
      </w:r>
      <w:r>
        <w:rPr>
          <w:rFonts w:ascii="標楷體" w:eastAsia="標楷體" w:hAnsi="標楷體" w:hint="eastAsia"/>
          <w:kern w:val="0"/>
          <w:szCs w:val="24"/>
        </w:rPr>
        <w:t>；</w:t>
      </w:r>
      <w:r w:rsidRPr="006F5FA5">
        <w:rPr>
          <w:rFonts w:ascii="標楷體" w:eastAsia="標楷體" w:hAnsi="標楷體" w:hint="eastAsia"/>
          <w:kern w:val="0"/>
          <w:szCs w:val="24"/>
        </w:rPr>
        <w:t>已責成督導團提供</w:t>
      </w:r>
      <w:r>
        <w:rPr>
          <w:rFonts w:ascii="標楷體" w:eastAsia="標楷體" w:hAnsi="標楷體" w:hint="eastAsia"/>
          <w:kern w:val="0"/>
          <w:szCs w:val="24"/>
        </w:rPr>
        <w:t>歷年補助各市縣政府完工案件訪視</w:t>
      </w:r>
      <w:r w:rsidRPr="006F5FA5">
        <w:rPr>
          <w:rFonts w:ascii="標楷體" w:eastAsia="標楷體" w:hAnsi="標楷體" w:hint="eastAsia"/>
          <w:kern w:val="0"/>
          <w:szCs w:val="24"/>
        </w:rPr>
        <w:t>缺失</w:t>
      </w:r>
      <w:r>
        <w:rPr>
          <w:rFonts w:ascii="標楷體" w:eastAsia="標楷體" w:hAnsi="標楷體" w:hint="eastAsia"/>
          <w:kern w:val="0"/>
          <w:szCs w:val="24"/>
        </w:rPr>
        <w:t>並追蹤</w:t>
      </w:r>
      <w:r w:rsidRPr="006F5FA5">
        <w:rPr>
          <w:rFonts w:ascii="標楷體" w:eastAsia="標楷體" w:hAnsi="標楷體" w:hint="eastAsia"/>
          <w:kern w:val="0"/>
          <w:szCs w:val="24"/>
        </w:rPr>
        <w:t>改善情形</w:t>
      </w:r>
      <w:r>
        <w:rPr>
          <w:rFonts w:ascii="標楷體" w:eastAsia="標楷體" w:hAnsi="標楷體" w:hint="eastAsia"/>
          <w:kern w:val="0"/>
          <w:szCs w:val="24"/>
        </w:rPr>
        <w:t>等。</w:t>
      </w:r>
      <w:r w:rsidRPr="00DA2751">
        <w:rPr>
          <w:rFonts w:ascii="標楷體" w:eastAsia="標楷體" w:hAnsi="標楷體" w:hint="eastAsia"/>
          <w:kern w:val="0"/>
          <w:szCs w:val="24"/>
        </w:rPr>
        <w:t>案經本部陳報監察院，</w:t>
      </w:r>
      <w:r w:rsidRPr="006F5FA5">
        <w:rPr>
          <w:rFonts w:ascii="標楷體" w:eastAsia="標楷體" w:hAnsi="標楷體" w:hint="eastAsia"/>
          <w:kern w:val="0"/>
          <w:szCs w:val="24"/>
        </w:rPr>
        <w:t>於</w:t>
      </w:r>
      <w:r w:rsidRPr="006F5FA5">
        <w:rPr>
          <w:rFonts w:ascii="標楷體" w:eastAsia="標楷體" w:hAnsi="標楷體"/>
          <w:kern w:val="0"/>
          <w:szCs w:val="24"/>
        </w:rPr>
        <w:t>11</w:t>
      </w:r>
      <w:r w:rsidRPr="006F5FA5">
        <w:rPr>
          <w:rFonts w:ascii="標楷體" w:eastAsia="標楷體" w:hAnsi="標楷體" w:hint="eastAsia"/>
          <w:kern w:val="0"/>
          <w:szCs w:val="24"/>
        </w:rPr>
        <w:t>2</w:t>
      </w:r>
      <w:r w:rsidRPr="006F5FA5">
        <w:rPr>
          <w:rFonts w:ascii="標楷體" w:eastAsia="標楷體" w:hAnsi="標楷體"/>
          <w:kern w:val="0"/>
          <w:szCs w:val="24"/>
        </w:rPr>
        <w:t>年7月20日獲同意備查。</w:t>
      </w:r>
    </w:p>
    <w:sectPr w:rsidR="005C22EC" w:rsidRPr="00DA2751" w:rsidSect="00E15915">
      <w:footerReference w:type="even" r:id="rId35"/>
      <w:footerReference w:type="default" r:id="rId36"/>
      <w:pgSz w:w="11906" w:h="16838" w:code="9"/>
      <w:pgMar w:top="1418" w:right="851" w:bottom="1418" w:left="851" w:header="1021" w:footer="737" w:gutter="284"/>
      <w:pgNumType w:start="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A9121E" w14:textId="77777777" w:rsidR="00A51DCC" w:rsidRDefault="00A51DCC">
      <w:r>
        <w:separator/>
      </w:r>
    </w:p>
  </w:endnote>
  <w:endnote w:type="continuationSeparator" w:id="0">
    <w:p w14:paraId="51BB35F1" w14:textId="77777777" w:rsidR="00A51DCC" w:rsidRDefault="00A51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華康楷書體W5">
    <w:altName w:val="標楷體"/>
    <w:panose1 w:val="00000000000000000000"/>
    <w:charset w:val="88"/>
    <w:family w:val="roman"/>
    <w:notTrueType/>
    <w:pitch w:val="default"/>
  </w:font>
  <w:font w:name="Arial Narrow">
    <w:panose1 w:val="020B0606020202030204"/>
    <w:charset w:val="00"/>
    <w:family w:val="swiss"/>
    <w:pitch w:val="variable"/>
    <w:sig w:usb0="00000287" w:usb1="00000800" w:usb2="00000000" w:usb3="00000000" w:csb0="0000009F" w:csb1="00000000"/>
  </w:font>
  <w:font w:name="華康儷中黑">
    <w:altName w:val="新細明體"/>
    <w:charset w:val="88"/>
    <w:family w:val="modern"/>
    <w:pitch w:val="fixed"/>
    <w:sig w:usb0="80000001" w:usb1="28091800" w:usb2="00000016" w:usb3="00000000" w:csb0="00100000" w:csb1="00000000"/>
  </w:font>
  <w:font w:name="Century">
    <w:panose1 w:val="02040604050505020304"/>
    <w:charset w:val="00"/>
    <w:family w:val="roman"/>
    <w:pitch w:val="variable"/>
    <w:sig w:usb0="00000287" w:usb1="00000000" w:usb2="00000000" w:usb3="00000000" w:csb0="0000009F" w:csb1="00000000"/>
  </w:font>
  <w:font w:name="標楷體a分...">
    <w:altName w:val="標楷體"/>
    <w:panose1 w:val="00000000000000000000"/>
    <w:charset w:val="88"/>
    <w:family w:val="script"/>
    <w:notTrueType/>
    <w:pitch w:val="default"/>
    <w:sig w:usb0="00000001" w:usb1="08080000" w:usb2="00000010" w:usb3="00000000" w:csb0="00100000" w:csb1="00000000"/>
  </w:font>
  <w:font w:name="DFKaiShu-SB-Estd-BF">
    <w:altName w:val="Arial Unicode MS"/>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8"/>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3804991"/>
      <w:docPartObj>
        <w:docPartGallery w:val="Page Numbers (Bottom of Page)"/>
        <w:docPartUnique/>
      </w:docPartObj>
    </w:sdtPr>
    <w:sdtEndPr>
      <w:rPr>
        <w:rFonts w:ascii="標楷體" w:eastAsia="標楷體" w:hAnsi="標楷體"/>
      </w:rPr>
    </w:sdtEndPr>
    <w:sdtContent>
      <w:p w14:paraId="361E0F8A" w14:textId="66424A5D" w:rsidR="00A0212B" w:rsidRPr="00883B45" w:rsidRDefault="00A0212B" w:rsidP="00883B45">
        <w:pPr>
          <w:pStyle w:val="a8"/>
          <w:jc w:val="center"/>
          <w:rPr>
            <w:rFonts w:ascii="標楷體" w:eastAsia="標楷體" w:hAnsi="標楷體"/>
          </w:rPr>
        </w:pPr>
        <w:r w:rsidRPr="00763442">
          <w:rPr>
            <w:rFonts w:ascii="標楷體" w:eastAsia="標楷體" w:hAnsi="標楷體"/>
          </w:rPr>
          <w:t>丙－</w:t>
        </w:r>
        <w:r w:rsidRPr="00763442">
          <w:rPr>
            <w:rFonts w:ascii="標楷體" w:eastAsia="標楷體" w:hAnsi="標楷體"/>
          </w:rPr>
          <w:fldChar w:fldCharType="begin"/>
        </w:r>
        <w:r w:rsidRPr="00763442">
          <w:rPr>
            <w:rFonts w:ascii="標楷體" w:eastAsia="標楷體" w:hAnsi="標楷體"/>
          </w:rPr>
          <w:instrText>PAGE   \* MERGEFORMAT</w:instrText>
        </w:r>
        <w:r w:rsidRPr="00763442">
          <w:rPr>
            <w:rFonts w:ascii="標楷體" w:eastAsia="標楷體" w:hAnsi="標楷體"/>
          </w:rPr>
          <w:fldChar w:fldCharType="separate"/>
        </w:r>
        <w:r w:rsidR="00E525E5" w:rsidRPr="00E525E5">
          <w:rPr>
            <w:rFonts w:ascii="標楷體" w:eastAsia="標楷體" w:hAnsi="標楷體"/>
            <w:noProof/>
            <w:lang w:val="zh-TW"/>
          </w:rPr>
          <w:t>54</w:t>
        </w:r>
        <w:r w:rsidRPr="00763442">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04824339"/>
      <w:docPartObj>
        <w:docPartGallery w:val="Page Numbers (Bottom of Page)"/>
        <w:docPartUnique/>
      </w:docPartObj>
    </w:sdtPr>
    <w:sdtEndPr>
      <w:rPr>
        <w:rFonts w:ascii="標楷體" w:eastAsia="標楷體" w:hAnsi="標楷體"/>
      </w:rPr>
    </w:sdtEndPr>
    <w:sdtContent>
      <w:p w14:paraId="4C625ECE" w14:textId="5EB7470B" w:rsidR="00A0212B" w:rsidRPr="00763442" w:rsidRDefault="00A0212B">
        <w:pPr>
          <w:pStyle w:val="a8"/>
          <w:jc w:val="center"/>
          <w:rPr>
            <w:rFonts w:ascii="標楷體" w:eastAsia="標楷體" w:hAnsi="標楷體"/>
          </w:rPr>
        </w:pPr>
        <w:r w:rsidRPr="00763442">
          <w:rPr>
            <w:rFonts w:ascii="標楷體" w:eastAsia="標楷體" w:hAnsi="標楷體"/>
          </w:rPr>
          <w:t>丙－</w:t>
        </w:r>
        <w:r w:rsidRPr="00763442">
          <w:rPr>
            <w:rFonts w:ascii="標楷體" w:eastAsia="標楷體" w:hAnsi="標楷體"/>
          </w:rPr>
          <w:fldChar w:fldCharType="begin"/>
        </w:r>
        <w:r w:rsidRPr="00763442">
          <w:rPr>
            <w:rFonts w:ascii="標楷體" w:eastAsia="標楷體" w:hAnsi="標楷體"/>
          </w:rPr>
          <w:instrText>PAGE   \* MERGEFORMAT</w:instrText>
        </w:r>
        <w:r w:rsidRPr="00763442">
          <w:rPr>
            <w:rFonts w:ascii="標楷體" w:eastAsia="標楷體" w:hAnsi="標楷體"/>
          </w:rPr>
          <w:fldChar w:fldCharType="separate"/>
        </w:r>
        <w:r w:rsidR="00E525E5" w:rsidRPr="00E525E5">
          <w:rPr>
            <w:rFonts w:ascii="標楷體" w:eastAsia="標楷體" w:hAnsi="標楷體"/>
            <w:noProof/>
            <w:lang w:val="zh-TW"/>
          </w:rPr>
          <w:t>55</w:t>
        </w:r>
        <w:r w:rsidRPr="00763442">
          <w:rPr>
            <w:rFonts w:ascii="標楷體" w:eastAsia="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E532C20" w14:textId="77777777" w:rsidR="00A51DCC" w:rsidRDefault="00A51DCC">
      <w:r>
        <w:separator/>
      </w:r>
    </w:p>
  </w:footnote>
  <w:footnote w:type="continuationSeparator" w:id="0">
    <w:p w14:paraId="5EA32C4A" w14:textId="77777777" w:rsidR="00A51DCC" w:rsidRDefault="00A51DC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A0AA5"/>
    <w:multiLevelType w:val="hybridMultilevel"/>
    <w:tmpl w:val="407A1AA4"/>
    <w:lvl w:ilvl="0" w:tplc="1176351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C676A6D"/>
    <w:multiLevelType w:val="hybridMultilevel"/>
    <w:tmpl w:val="8B90A1D2"/>
    <w:lvl w:ilvl="0" w:tplc="D2DA733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10A9631B"/>
    <w:multiLevelType w:val="hybridMultilevel"/>
    <w:tmpl w:val="BF6C09C4"/>
    <w:lvl w:ilvl="0" w:tplc="429CE3B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6031EEB"/>
    <w:multiLevelType w:val="hybridMultilevel"/>
    <w:tmpl w:val="3E98BC00"/>
    <w:lvl w:ilvl="0" w:tplc="DF3ECCE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14A10C7"/>
    <w:multiLevelType w:val="hybridMultilevel"/>
    <w:tmpl w:val="55480F02"/>
    <w:lvl w:ilvl="0" w:tplc="22DEE54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3B6A0CB6"/>
    <w:multiLevelType w:val="hybridMultilevel"/>
    <w:tmpl w:val="AAD0830C"/>
    <w:lvl w:ilvl="0" w:tplc="8A36BCF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40B771D9"/>
    <w:multiLevelType w:val="hybridMultilevel"/>
    <w:tmpl w:val="7BE0DB2C"/>
    <w:lvl w:ilvl="0" w:tplc="B024E2B2">
      <w:start w:val="1"/>
      <w:numFmt w:val="decimal"/>
      <w:pStyle w:val="1"/>
      <w:lvlText w:val="%1."/>
      <w:lvlJc w:val="left"/>
      <w:pPr>
        <w:tabs>
          <w:tab w:val="num" w:pos="1320"/>
        </w:tabs>
        <w:ind w:left="1320" w:hanging="360"/>
      </w:pPr>
      <w:rPr>
        <w:rFonts w:hint="eastAsia"/>
        <w:b w:val="0"/>
        <w:color w:val="000000"/>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5E122B75"/>
    <w:multiLevelType w:val="hybridMultilevel"/>
    <w:tmpl w:val="6172CB10"/>
    <w:lvl w:ilvl="0" w:tplc="D680701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6"/>
  </w:num>
  <w:num w:numId="2">
    <w:abstractNumId w:val="0"/>
  </w:num>
  <w:num w:numId="3">
    <w:abstractNumId w:val="1"/>
  </w:num>
  <w:num w:numId="4">
    <w:abstractNumId w:val="4"/>
  </w:num>
  <w:num w:numId="5">
    <w:abstractNumId w:val="2"/>
  </w:num>
  <w:num w:numId="6">
    <w:abstractNumId w:val="7"/>
  </w:num>
  <w:num w:numId="7">
    <w:abstractNumId w:val="5"/>
  </w:num>
  <w:num w:numId="8">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6145"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36AC"/>
    <w:rsid w:val="000001AB"/>
    <w:rsid w:val="000005AB"/>
    <w:rsid w:val="000007D6"/>
    <w:rsid w:val="00000AD1"/>
    <w:rsid w:val="00000E19"/>
    <w:rsid w:val="0000117A"/>
    <w:rsid w:val="00001469"/>
    <w:rsid w:val="000016A4"/>
    <w:rsid w:val="00001797"/>
    <w:rsid w:val="00001928"/>
    <w:rsid w:val="00001E3F"/>
    <w:rsid w:val="00001E54"/>
    <w:rsid w:val="00002588"/>
    <w:rsid w:val="000026C7"/>
    <w:rsid w:val="0000287C"/>
    <w:rsid w:val="0000289B"/>
    <w:rsid w:val="000029E8"/>
    <w:rsid w:val="00002A50"/>
    <w:rsid w:val="00002AD5"/>
    <w:rsid w:val="00002F66"/>
    <w:rsid w:val="00002FA8"/>
    <w:rsid w:val="00002FE8"/>
    <w:rsid w:val="00002FF3"/>
    <w:rsid w:val="00003062"/>
    <w:rsid w:val="00003092"/>
    <w:rsid w:val="000030E3"/>
    <w:rsid w:val="000030E8"/>
    <w:rsid w:val="0000332A"/>
    <w:rsid w:val="00003414"/>
    <w:rsid w:val="000035BC"/>
    <w:rsid w:val="0000376C"/>
    <w:rsid w:val="00003A15"/>
    <w:rsid w:val="00003BB8"/>
    <w:rsid w:val="00003C31"/>
    <w:rsid w:val="00003D52"/>
    <w:rsid w:val="00003DFC"/>
    <w:rsid w:val="00003E0F"/>
    <w:rsid w:val="0000409D"/>
    <w:rsid w:val="00004256"/>
    <w:rsid w:val="0000459D"/>
    <w:rsid w:val="000045D9"/>
    <w:rsid w:val="00004898"/>
    <w:rsid w:val="00004A85"/>
    <w:rsid w:val="00004AEE"/>
    <w:rsid w:val="00004BA2"/>
    <w:rsid w:val="00004BC8"/>
    <w:rsid w:val="00004CB6"/>
    <w:rsid w:val="00004DC7"/>
    <w:rsid w:val="00004EB0"/>
    <w:rsid w:val="00005086"/>
    <w:rsid w:val="00005185"/>
    <w:rsid w:val="00005591"/>
    <w:rsid w:val="000056BE"/>
    <w:rsid w:val="00005A35"/>
    <w:rsid w:val="00005BA0"/>
    <w:rsid w:val="00005C92"/>
    <w:rsid w:val="00005F92"/>
    <w:rsid w:val="0000669E"/>
    <w:rsid w:val="00006897"/>
    <w:rsid w:val="00006977"/>
    <w:rsid w:val="00006E45"/>
    <w:rsid w:val="0000707C"/>
    <w:rsid w:val="000071B4"/>
    <w:rsid w:val="00007732"/>
    <w:rsid w:val="00007940"/>
    <w:rsid w:val="00007A8C"/>
    <w:rsid w:val="00007F5E"/>
    <w:rsid w:val="000102E5"/>
    <w:rsid w:val="00010B35"/>
    <w:rsid w:val="00010B5E"/>
    <w:rsid w:val="00011062"/>
    <w:rsid w:val="0001129C"/>
    <w:rsid w:val="00011558"/>
    <w:rsid w:val="000118CE"/>
    <w:rsid w:val="000118F5"/>
    <w:rsid w:val="00011FA8"/>
    <w:rsid w:val="0001203E"/>
    <w:rsid w:val="0001208F"/>
    <w:rsid w:val="000121F7"/>
    <w:rsid w:val="00012225"/>
    <w:rsid w:val="00012491"/>
    <w:rsid w:val="0001253D"/>
    <w:rsid w:val="000128D6"/>
    <w:rsid w:val="00012D77"/>
    <w:rsid w:val="00012DBF"/>
    <w:rsid w:val="00012E2E"/>
    <w:rsid w:val="000130A3"/>
    <w:rsid w:val="000131EC"/>
    <w:rsid w:val="00013276"/>
    <w:rsid w:val="000135A9"/>
    <w:rsid w:val="000135FE"/>
    <w:rsid w:val="00013620"/>
    <w:rsid w:val="00013773"/>
    <w:rsid w:val="000137E7"/>
    <w:rsid w:val="00013CDE"/>
    <w:rsid w:val="00013D65"/>
    <w:rsid w:val="00013F86"/>
    <w:rsid w:val="000142A7"/>
    <w:rsid w:val="0001436A"/>
    <w:rsid w:val="00014672"/>
    <w:rsid w:val="00014702"/>
    <w:rsid w:val="00014AF3"/>
    <w:rsid w:val="00014BA0"/>
    <w:rsid w:val="00014E7A"/>
    <w:rsid w:val="00014F93"/>
    <w:rsid w:val="00015157"/>
    <w:rsid w:val="0001520D"/>
    <w:rsid w:val="00015405"/>
    <w:rsid w:val="000158DD"/>
    <w:rsid w:val="00015C65"/>
    <w:rsid w:val="00015EFF"/>
    <w:rsid w:val="00016087"/>
    <w:rsid w:val="00016220"/>
    <w:rsid w:val="000165BF"/>
    <w:rsid w:val="000165E1"/>
    <w:rsid w:val="000166B0"/>
    <w:rsid w:val="00016719"/>
    <w:rsid w:val="00016A03"/>
    <w:rsid w:val="00016C37"/>
    <w:rsid w:val="00016D72"/>
    <w:rsid w:val="00016D90"/>
    <w:rsid w:val="00016EC6"/>
    <w:rsid w:val="000172B9"/>
    <w:rsid w:val="0001733C"/>
    <w:rsid w:val="00017808"/>
    <w:rsid w:val="0001797C"/>
    <w:rsid w:val="00017A3C"/>
    <w:rsid w:val="00017F2D"/>
    <w:rsid w:val="0002043D"/>
    <w:rsid w:val="000206F1"/>
    <w:rsid w:val="000208E2"/>
    <w:rsid w:val="000208E4"/>
    <w:rsid w:val="00020921"/>
    <w:rsid w:val="0002092E"/>
    <w:rsid w:val="00020C53"/>
    <w:rsid w:val="00020C80"/>
    <w:rsid w:val="00020D10"/>
    <w:rsid w:val="00020DB3"/>
    <w:rsid w:val="00021479"/>
    <w:rsid w:val="000215BD"/>
    <w:rsid w:val="0002176D"/>
    <w:rsid w:val="00021B47"/>
    <w:rsid w:val="00021D02"/>
    <w:rsid w:val="00021E53"/>
    <w:rsid w:val="00022463"/>
    <w:rsid w:val="00022530"/>
    <w:rsid w:val="000226DE"/>
    <w:rsid w:val="00022A84"/>
    <w:rsid w:val="00022B9D"/>
    <w:rsid w:val="00023079"/>
    <w:rsid w:val="000231C0"/>
    <w:rsid w:val="00023222"/>
    <w:rsid w:val="0002358B"/>
    <w:rsid w:val="0002392C"/>
    <w:rsid w:val="00023AE4"/>
    <w:rsid w:val="00023B49"/>
    <w:rsid w:val="00023D7E"/>
    <w:rsid w:val="00023E46"/>
    <w:rsid w:val="0002418E"/>
    <w:rsid w:val="00024241"/>
    <w:rsid w:val="00024372"/>
    <w:rsid w:val="0002449A"/>
    <w:rsid w:val="0002450A"/>
    <w:rsid w:val="0002466E"/>
    <w:rsid w:val="00024951"/>
    <w:rsid w:val="00024F0C"/>
    <w:rsid w:val="0002518E"/>
    <w:rsid w:val="00025356"/>
    <w:rsid w:val="0002545C"/>
    <w:rsid w:val="000254CD"/>
    <w:rsid w:val="00025670"/>
    <w:rsid w:val="00025729"/>
    <w:rsid w:val="00025730"/>
    <w:rsid w:val="00025BD3"/>
    <w:rsid w:val="00025D0E"/>
    <w:rsid w:val="00025DDA"/>
    <w:rsid w:val="00025DE4"/>
    <w:rsid w:val="00025EF1"/>
    <w:rsid w:val="00025F3D"/>
    <w:rsid w:val="00025FBB"/>
    <w:rsid w:val="00026135"/>
    <w:rsid w:val="00026170"/>
    <w:rsid w:val="000266CE"/>
    <w:rsid w:val="000267E5"/>
    <w:rsid w:val="000268C5"/>
    <w:rsid w:val="00026AAC"/>
    <w:rsid w:val="00026ADB"/>
    <w:rsid w:val="00026B29"/>
    <w:rsid w:val="00026E66"/>
    <w:rsid w:val="00026E9A"/>
    <w:rsid w:val="000270A7"/>
    <w:rsid w:val="0002769A"/>
    <w:rsid w:val="000277AE"/>
    <w:rsid w:val="000278BE"/>
    <w:rsid w:val="00027FB1"/>
    <w:rsid w:val="00030011"/>
    <w:rsid w:val="0003029A"/>
    <w:rsid w:val="000306A7"/>
    <w:rsid w:val="00030701"/>
    <w:rsid w:val="0003092E"/>
    <w:rsid w:val="00030ABC"/>
    <w:rsid w:val="00030D92"/>
    <w:rsid w:val="00030E57"/>
    <w:rsid w:val="00030E8C"/>
    <w:rsid w:val="00030FA4"/>
    <w:rsid w:val="00031048"/>
    <w:rsid w:val="000310BF"/>
    <w:rsid w:val="00031149"/>
    <w:rsid w:val="00031298"/>
    <w:rsid w:val="00031384"/>
    <w:rsid w:val="000314AA"/>
    <w:rsid w:val="00031612"/>
    <w:rsid w:val="00031822"/>
    <w:rsid w:val="000318E6"/>
    <w:rsid w:val="00031A52"/>
    <w:rsid w:val="000322D4"/>
    <w:rsid w:val="000324FE"/>
    <w:rsid w:val="00032853"/>
    <w:rsid w:val="00032871"/>
    <w:rsid w:val="000329F3"/>
    <w:rsid w:val="00032AA6"/>
    <w:rsid w:val="00033185"/>
    <w:rsid w:val="0003330E"/>
    <w:rsid w:val="000333BD"/>
    <w:rsid w:val="000333EF"/>
    <w:rsid w:val="00033644"/>
    <w:rsid w:val="0003372F"/>
    <w:rsid w:val="00033863"/>
    <w:rsid w:val="0003386B"/>
    <w:rsid w:val="000338BD"/>
    <w:rsid w:val="00033A6F"/>
    <w:rsid w:val="00033AB2"/>
    <w:rsid w:val="00033DD8"/>
    <w:rsid w:val="0003417A"/>
    <w:rsid w:val="00034A03"/>
    <w:rsid w:val="00034A86"/>
    <w:rsid w:val="00034B4C"/>
    <w:rsid w:val="00034BF5"/>
    <w:rsid w:val="00034CBF"/>
    <w:rsid w:val="00034FA8"/>
    <w:rsid w:val="0003500F"/>
    <w:rsid w:val="000352C2"/>
    <w:rsid w:val="00035348"/>
    <w:rsid w:val="000355F4"/>
    <w:rsid w:val="000356B6"/>
    <w:rsid w:val="00035856"/>
    <w:rsid w:val="0003585F"/>
    <w:rsid w:val="0003587E"/>
    <w:rsid w:val="000358EF"/>
    <w:rsid w:val="00035E31"/>
    <w:rsid w:val="00035EFB"/>
    <w:rsid w:val="000360C1"/>
    <w:rsid w:val="000361B3"/>
    <w:rsid w:val="00036495"/>
    <w:rsid w:val="0003650C"/>
    <w:rsid w:val="00036804"/>
    <w:rsid w:val="00036A14"/>
    <w:rsid w:val="00036AD2"/>
    <w:rsid w:val="000370BB"/>
    <w:rsid w:val="000372B3"/>
    <w:rsid w:val="000373ED"/>
    <w:rsid w:val="00037584"/>
    <w:rsid w:val="00037674"/>
    <w:rsid w:val="000377BF"/>
    <w:rsid w:val="000379E7"/>
    <w:rsid w:val="00037A0D"/>
    <w:rsid w:val="00037A1B"/>
    <w:rsid w:val="00037A3B"/>
    <w:rsid w:val="00037A66"/>
    <w:rsid w:val="00037DCF"/>
    <w:rsid w:val="00037E73"/>
    <w:rsid w:val="00037EA1"/>
    <w:rsid w:val="00037F26"/>
    <w:rsid w:val="00040225"/>
    <w:rsid w:val="00040281"/>
    <w:rsid w:val="00040687"/>
    <w:rsid w:val="00040725"/>
    <w:rsid w:val="00040764"/>
    <w:rsid w:val="000409B8"/>
    <w:rsid w:val="00040A55"/>
    <w:rsid w:val="00040BA1"/>
    <w:rsid w:val="00040BEC"/>
    <w:rsid w:val="00041128"/>
    <w:rsid w:val="00041654"/>
    <w:rsid w:val="0004176D"/>
    <w:rsid w:val="00041955"/>
    <w:rsid w:val="00041B21"/>
    <w:rsid w:val="00041D0D"/>
    <w:rsid w:val="00041D1E"/>
    <w:rsid w:val="0004210D"/>
    <w:rsid w:val="00042136"/>
    <w:rsid w:val="000421FE"/>
    <w:rsid w:val="00042319"/>
    <w:rsid w:val="00042584"/>
    <w:rsid w:val="00042610"/>
    <w:rsid w:val="000428D8"/>
    <w:rsid w:val="00042902"/>
    <w:rsid w:val="00042A05"/>
    <w:rsid w:val="00042D6C"/>
    <w:rsid w:val="000432D2"/>
    <w:rsid w:val="00043315"/>
    <w:rsid w:val="0004347A"/>
    <w:rsid w:val="000434C9"/>
    <w:rsid w:val="00043595"/>
    <w:rsid w:val="00043776"/>
    <w:rsid w:val="00043AFF"/>
    <w:rsid w:val="00043ED0"/>
    <w:rsid w:val="0004455E"/>
    <w:rsid w:val="00044779"/>
    <w:rsid w:val="00044842"/>
    <w:rsid w:val="0004486C"/>
    <w:rsid w:val="00044ABB"/>
    <w:rsid w:val="00044BB6"/>
    <w:rsid w:val="00044E54"/>
    <w:rsid w:val="000455BE"/>
    <w:rsid w:val="000455C8"/>
    <w:rsid w:val="0004585E"/>
    <w:rsid w:val="00045951"/>
    <w:rsid w:val="00045A22"/>
    <w:rsid w:val="00045A45"/>
    <w:rsid w:val="00045AD7"/>
    <w:rsid w:val="00045B04"/>
    <w:rsid w:val="00045BB4"/>
    <w:rsid w:val="00045C0D"/>
    <w:rsid w:val="00045C67"/>
    <w:rsid w:val="00045DFD"/>
    <w:rsid w:val="0004628F"/>
    <w:rsid w:val="000462DE"/>
    <w:rsid w:val="000465A7"/>
    <w:rsid w:val="000465CA"/>
    <w:rsid w:val="00046757"/>
    <w:rsid w:val="00046782"/>
    <w:rsid w:val="00046796"/>
    <w:rsid w:val="00046823"/>
    <w:rsid w:val="00046925"/>
    <w:rsid w:val="000469FD"/>
    <w:rsid w:val="00046B8E"/>
    <w:rsid w:val="00046BA4"/>
    <w:rsid w:val="00046BAE"/>
    <w:rsid w:val="00046BFF"/>
    <w:rsid w:val="00046C94"/>
    <w:rsid w:val="00046CD0"/>
    <w:rsid w:val="00046D1F"/>
    <w:rsid w:val="00046ED0"/>
    <w:rsid w:val="00046F01"/>
    <w:rsid w:val="000470D6"/>
    <w:rsid w:val="000472D1"/>
    <w:rsid w:val="0004754F"/>
    <w:rsid w:val="0004765D"/>
    <w:rsid w:val="0004766A"/>
    <w:rsid w:val="00047B09"/>
    <w:rsid w:val="00047DF0"/>
    <w:rsid w:val="0005012C"/>
    <w:rsid w:val="00050192"/>
    <w:rsid w:val="000503FF"/>
    <w:rsid w:val="000506A4"/>
    <w:rsid w:val="000506B4"/>
    <w:rsid w:val="000506CA"/>
    <w:rsid w:val="000507CC"/>
    <w:rsid w:val="00050874"/>
    <w:rsid w:val="00050902"/>
    <w:rsid w:val="00050CA4"/>
    <w:rsid w:val="0005108E"/>
    <w:rsid w:val="0005117B"/>
    <w:rsid w:val="00051211"/>
    <w:rsid w:val="0005135C"/>
    <w:rsid w:val="000514BA"/>
    <w:rsid w:val="0005165D"/>
    <w:rsid w:val="00051B42"/>
    <w:rsid w:val="00052039"/>
    <w:rsid w:val="000521D5"/>
    <w:rsid w:val="000522F9"/>
    <w:rsid w:val="000523CE"/>
    <w:rsid w:val="000523DD"/>
    <w:rsid w:val="00052742"/>
    <w:rsid w:val="000528DF"/>
    <w:rsid w:val="00052959"/>
    <w:rsid w:val="000529AA"/>
    <w:rsid w:val="00052A1D"/>
    <w:rsid w:val="00052AD5"/>
    <w:rsid w:val="00052E40"/>
    <w:rsid w:val="00052F31"/>
    <w:rsid w:val="0005344C"/>
    <w:rsid w:val="000537EA"/>
    <w:rsid w:val="00053DC6"/>
    <w:rsid w:val="00053F05"/>
    <w:rsid w:val="00053F6B"/>
    <w:rsid w:val="00053F89"/>
    <w:rsid w:val="0005452F"/>
    <w:rsid w:val="00054746"/>
    <w:rsid w:val="0005487E"/>
    <w:rsid w:val="000548AF"/>
    <w:rsid w:val="000549B9"/>
    <w:rsid w:val="00054A85"/>
    <w:rsid w:val="00054C67"/>
    <w:rsid w:val="00054D9C"/>
    <w:rsid w:val="00054DAD"/>
    <w:rsid w:val="00054EB3"/>
    <w:rsid w:val="00054FBB"/>
    <w:rsid w:val="0005522E"/>
    <w:rsid w:val="00055309"/>
    <w:rsid w:val="0005549A"/>
    <w:rsid w:val="000554CC"/>
    <w:rsid w:val="000557E6"/>
    <w:rsid w:val="00055A07"/>
    <w:rsid w:val="00055AD5"/>
    <w:rsid w:val="00055EA4"/>
    <w:rsid w:val="00056248"/>
    <w:rsid w:val="0005643D"/>
    <w:rsid w:val="0005655F"/>
    <w:rsid w:val="000568C2"/>
    <w:rsid w:val="000569C0"/>
    <w:rsid w:val="00056A10"/>
    <w:rsid w:val="00056C2E"/>
    <w:rsid w:val="00056EFE"/>
    <w:rsid w:val="00056F73"/>
    <w:rsid w:val="0005751F"/>
    <w:rsid w:val="000575EC"/>
    <w:rsid w:val="00060019"/>
    <w:rsid w:val="000600A1"/>
    <w:rsid w:val="000601EB"/>
    <w:rsid w:val="00060297"/>
    <w:rsid w:val="000602CE"/>
    <w:rsid w:val="0006041D"/>
    <w:rsid w:val="00060459"/>
    <w:rsid w:val="0006080A"/>
    <w:rsid w:val="000608C3"/>
    <w:rsid w:val="00060C5C"/>
    <w:rsid w:val="00060D45"/>
    <w:rsid w:val="00060F11"/>
    <w:rsid w:val="00060F27"/>
    <w:rsid w:val="0006135D"/>
    <w:rsid w:val="00061397"/>
    <w:rsid w:val="000613AB"/>
    <w:rsid w:val="00061746"/>
    <w:rsid w:val="00061AB6"/>
    <w:rsid w:val="00061D63"/>
    <w:rsid w:val="00061E4E"/>
    <w:rsid w:val="00061ED6"/>
    <w:rsid w:val="000620FD"/>
    <w:rsid w:val="0006228F"/>
    <w:rsid w:val="000624EB"/>
    <w:rsid w:val="00062647"/>
    <w:rsid w:val="000628B7"/>
    <w:rsid w:val="00062AD4"/>
    <w:rsid w:val="00062B5A"/>
    <w:rsid w:val="00062B8C"/>
    <w:rsid w:val="00062EE5"/>
    <w:rsid w:val="000630A3"/>
    <w:rsid w:val="000630D8"/>
    <w:rsid w:val="000632F3"/>
    <w:rsid w:val="0006351A"/>
    <w:rsid w:val="00063557"/>
    <w:rsid w:val="00063AAB"/>
    <w:rsid w:val="00063B43"/>
    <w:rsid w:val="00063B5C"/>
    <w:rsid w:val="000642C5"/>
    <w:rsid w:val="000643AA"/>
    <w:rsid w:val="000646BC"/>
    <w:rsid w:val="00064723"/>
    <w:rsid w:val="000648B3"/>
    <w:rsid w:val="00064907"/>
    <w:rsid w:val="0006493F"/>
    <w:rsid w:val="000649DB"/>
    <w:rsid w:val="00064FBD"/>
    <w:rsid w:val="00064FD3"/>
    <w:rsid w:val="000654A7"/>
    <w:rsid w:val="0006559D"/>
    <w:rsid w:val="00065784"/>
    <w:rsid w:val="000657F8"/>
    <w:rsid w:val="00065CFB"/>
    <w:rsid w:val="00065E26"/>
    <w:rsid w:val="000661AE"/>
    <w:rsid w:val="000661EE"/>
    <w:rsid w:val="000661FC"/>
    <w:rsid w:val="000663D7"/>
    <w:rsid w:val="00066498"/>
    <w:rsid w:val="00066602"/>
    <w:rsid w:val="00066647"/>
    <w:rsid w:val="00066684"/>
    <w:rsid w:val="00066860"/>
    <w:rsid w:val="00066A9B"/>
    <w:rsid w:val="00066BA2"/>
    <w:rsid w:val="00066C29"/>
    <w:rsid w:val="00066E21"/>
    <w:rsid w:val="0006719A"/>
    <w:rsid w:val="0006745D"/>
    <w:rsid w:val="00067460"/>
    <w:rsid w:val="00067476"/>
    <w:rsid w:val="0006753F"/>
    <w:rsid w:val="00067550"/>
    <w:rsid w:val="000675DD"/>
    <w:rsid w:val="00067686"/>
    <w:rsid w:val="00067931"/>
    <w:rsid w:val="00067BB3"/>
    <w:rsid w:val="00067BDF"/>
    <w:rsid w:val="00067BFA"/>
    <w:rsid w:val="00067CA0"/>
    <w:rsid w:val="00067D83"/>
    <w:rsid w:val="00067D95"/>
    <w:rsid w:val="00070024"/>
    <w:rsid w:val="0007010A"/>
    <w:rsid w:val="000703B9"/>
    <w:rsid w:val="00070469"/>
    <w:rsid w:val="00070719"/>
    <w:rsid w:val="00070723"/>
    <w:rsid w:val="00070979"/>
    <w:rsid w:val="00070E7A"/>
    <w:rsid w:val="00070E8D"/>
    <w:rsid w:val="000711FD"/>
    <w:rsid w:val="000713E5"/>
    <w:rsid w:val="00071712"/>
    <w:rsid w:val="0007194B"/>
    <w:rsid w:val="00071992"/>
    <w:rsid w:val="00071A95"/>
    <w:rsid w:val="00071AAD"/>
    <w:rsid w:val="00071B13"/>
    <w:rsid w:val="00071C3E"/>
    <w:rsid w:val="00071DE3"/>
    <w:rsid w:val="00071E7D"/>
    <w:rsid w:val="00071EC6"/>
    <w:rsid w:val="0007209C"/>
    <w:rsid w:val="000721A9"/>
    <w:rsid w:val="000721CE"/>
    <w:rsid w:val="00072890"/>
    <w:rsid w:val="00072B44"/>
    <w:rsid w:val="00072D68"/>
    <w:rsid w:val="00072F2E"/>
    <w:rsid w:val="00073047"/>
    <w:rsid w:val="0007333F"/>
    <w:rsid w:val="00073728"/>
    <w:rsid w:val="00073985"/>
    <w:rsid w:val="00073A53"/>
    <w:rsid w:val="00073A62"/>
    <w:rsid w:val="00073B6E"/>
    <w:rsid w:val="000740A4"/>
    <w:rsid w:val="000741B2"/>
    <w:rsid w:val="00074602"/>
    <w:rsid w:val="000746B4"/>
    <w:rsid w:val="00074846"/>
    <w:rsid w:val="000749F1"/>
    <w:rsid w:val="00074C9B"/>
    <w:rsid w:val="00074F27"/>
    <w:rsid w:val="00074FE9"/>
    <w:rsid w:val="00074FF7"/>
    <w:rsid w:val="000751EB"/>
    <w:rsid w:val="00075618"/>
    <w:rsid w:val="0007589D"/>
    <w:rsid w:val="00075A12"/>
    <w:rsid w:val="000760F0"/>
    <w:rsid w:val="00076231"/>
    <w:rsid w:val="000765C9"/>
    <w:rsid w:val="0007695F"/>
    <w:rsid w:val="00076BE4"/>
    <w:rsid w:val="00076C65"/>
    <w:rsid w:val="00076F5B"/>
    <w:rsid w:val="00077628"/>
    <w:rsid w:val="000777DD"/>
    <w:rsid w:val="0007792A"/>
    <w:rsid w:val="00077A0F"/>
    <w:rsid w:val="00077A5D"/>
    <w:rsid w:val="00077B08"/>
    <w:rsid w:val="00077B10"/>
    <w:rsid w:val="00077B62"/>
    <w:rsid w:val="00077DFB"/>
    <w:rsid w:val="00077EA0"/>
    <w:rsid w:val="000801FC"/>
    <w:rsid w:val="0008020D"/>
    <w:rsid w:val="00080237"/>
    <w:rsid w:val="000802EC"/>
    <w:rsid w:val="000803E6"/>
    <w:rsid w:val="00080581"/>
    <w:rsid w:val="000808C7"/>
    <w:rsid w:val="00080A73"/>
    <w:rsid w:val="00080D6C"/>
    <w:rsid w:val="00080ED1"/>
    <w:rsid w:val="00080F48"/>
    <w:rsid w:val="000811DF"/>
    <w:rsid w:val="000813DA"/>
    <w:rsid w:val="000815FC"/>
    <w:rsid w:val="000818EF"/>
    <w:rsid w:val="00081A61"/>
    <w:rsid w:val="00081C87"/>
    <w:rsid w:val="00081F55"/>
    <w:rsid w:val="00082231"/>
    <w:rsid w:val="00082260"/>
    <w:rsid w:val="000826C9"/>
    <w:rsid w:val="000828E8"/>
    <w:rsid w:val="00082CFA"/>
    <w:rsid w:val="00082D33"/>
    <w:rsid w:val="00082FBF"/>
    <w:rsid w:val="00083034"/>
    <w:rsid w:val="000830FD"/>
    <w:rsid w:val="000831E8"/>
    <w:rsid w:val="00083810"/>
    <w:rsid w:val="00083D8B"/>
    <w:rsid w:val="00083E5F"/>
    <w:rsid w:val="00083F0A"/>
    <w:rsid w:val="0008400A"/>
    <w:rsid w:val="00084151"/>
    <w:rsid w:val="000845A3"/>
    <w:rsid w:val="0008478F"/>
    <w:rsid w:val="000848BD"/>
    <w:rsid w:val="00084A45"/>
    <w:rsid w:val="00084A5B"/>
    <w:rsid w:val="00084AC7"/>
    <w:rsid w:val="000850A8"/>
    <w:rsid w:val="0008514A"/>
    <w:rsid w:val="0008519F"/>
    <w:rsid w:val="0008559C"/>
    <w:rsid w:val="00085932"/>
    <w:rsid w:val="00085B50"/>
    <w:rsid w:val="00085B73"/>
    <w:rsid w:val="00085D35"/>
    <w:rsid w:val="00085D86"/>
    <w:rsid w:val="00085EB2"/>
    <w:rsid w:val="000860F8"/>
    <w:rsid w:val="0008660C"/>
    <w:rsid w:val="0008692E"/>
    <w:rsid w:val="00086AFE"/>
    <w:rsid w:val="00086CAE"/>
    <w:rsid w:val="00086DA0"/>
    <w:rsid w:val="000875ED"/>
    <w:rsid w:val="000876EE"/>
    <w:rsid w:val="0008771D"/>
    <w:rsid w:val="0008773D"/>
    <w:rsid w:val="000879F1"/>
    <w:rsid w:val="00087A02"/>
    <w:rsid w:val="00087A64"/>
    <w:rsid w:val="00087D8A"/>
    <w:rsid w:val="00087DC9"/>
    <w:rsid w:val="000904C4"/>
    <w:rsid w:val="0009061E"/>
    <w:rsid w:val="00090B58"/>
    <w:rsid w:val="000910B7"/>
    <w:rsid w:val="0009143B"/>
    <w:rsid w:val="00091696"/>
    <w:rsid w:val="000917A2"/>
    <w:rsid w:val="00091970"/>
    <w:rsid w:val="00091B2C"/>
    <w:rsid w:val="00091DB3"/>
    <w:rsid w:val="00091E6F"/>
    <w:rsid w:val="00092490"/>
    <w:rsid w:val="000924D9"/>
    <w:rsid w:val="0009261A"/>
    <w:rsid w:val="000927DA"/>
    <w:rsid w:val="000928DE"/>
    <w:rsid w:val="00092A3B"/>
    <w:rsid w:val="00092A65"/>
    <w:rsid w:val="00092C62"/>
    <w:rsid w:val="0009321D"/>
    <w:rsid w:val="000934FA"/>
    <w:rsid w:val="00093709"/>
    <w:rsid w:val="000938B8"/>
    <w:rsid w:val="000939BA"/>
    <w:rsid w:val="00093AC9"/>
    <w:rsid w:val="00093D28"/>
    <w:rsid w:val="00093D31"/>
    <w:rsid w:val="00093E90"/>
    <w:rsid w:val="00093F5F"/>
    <w:rsid w:val="0009443F"/>
    <w:rsid w:val="00094637"/>
    <w:rsid w:val="00094837"/>
    <w:rsid w:val="00094873"/>
    <w:rsid w:val="00094875"/>
    <w:rsid w:val="000948A1"/>
    <w:rsid w:val="00094A8D"/>
    <w:rsid w:val="00094B88"/>
    <w:rsid w:val="00094C2B"/>
    <w:rsid w:val="00094C95"/>
    <w:rsid w:val="00094CDE"/>
    <w:rsid w:val="00094DB5"/>
    <w:rsid w:val="00095073"/>
    <w:rsid w:val="00095290"/>
    <w:rsid w:val="000955D9"/>
    <w:rsid w:val="000957E4"/>
    <w:rsid w:val="00095AB4"/>
    <w:rsid w:val="00095B39"/>
    <w:rsid w:val="00095B9D"/>
    <w:rsid w:val="00095BE9"/>
    <w:rsid w:val="00095E64"/>
    <w:rsid w:val="00096021"/>
    <w:rsid w:val="000961B9"/>
    <w:rsid w:val="000961BB"/>
    <w:rsid w:val="00096714"/>
    <w:rsid w:val="00096734"/>
    <w:rsid w:val="000967DE"/>
    <w:rsid w:val="0009706F"/>
    <w:rsid w:val="00097083"/>
    <w:rsid w:val="000971F6"/>
    <w:rsid w:val="000978B5"/>
    <w:rsid w:val="000979FB"/>
    <w:rsid w:val="00097BFB"/>
    <w:rsid w:val="00097D75"/>
    <w:rsid w:val="00097E65"/>
    <w:rsid w:val="00097E93"/>
    <w:rsid w:val="000A05DC"/>
    <w:rsid w:val="000A082E"/>
    <w:rsid w:val="000A0ACA"/>
    <w:rsid w:val="000A0DB8"/>
    <w:rsid w:val="000A0E49"/>
    <w:rsid w:val="000A155D"/>
    <w:rsid w:val="000A194C"/>
    <w:rsid w:val="000A19F3"/>
    <w:rsid w:val="000A1A8E"/>
    <w:rsid w:val="000A1B6B"/>
    <w:rsid w:val="000A1CDB"/>
    <w:rsid w:val="000A24D5"/>
    <w:rsid w:val="000A253B"/>
    <w:rsid w:val="000A26B2"/>
    <w:rsid w:val="000A2823"/>
    <w:rsid w:val="000A2C2E"/>
    <w:rsid w:val="000A2D5D"/>
    <w:rsid w:val="000A2FD9"/>
    <w:rsid w:val="000A321B"/>
    <w:rsid w:val="000A325E"/>
    <w:rsid w:val="000A3416"/>
    <w:rsid w:val="000A34C3"/>
    <w:rsid w:val="000A354F"/>
    <w:rsid w:val="000A393C"/>
    <w:rsid w:val="000A4166"/>
    <w:rsid w:val="000A451F"/>
    <w:rsid w:val="000A4942"/>
    <w:rsid w:val="000A4C96"/>
    <w:rsid w:val="000A562C"/>
    <w:rsid w:val="000A56F7"/>
    <w:rsid w:val="000A5787"/>
    <w:rsid w:val="000A582D"/>
    <w:rsid w:val="000A596D"/>
    <w:rsid w:val="000A5C75"/>
    <w:rsid w:val="000A60F1"/>
    <w:rsid w:val="000A65A1"/>
    <w:rsid w:val="000A6621"/>
    <w:rsid w:val="000A67BB"/>
    <w:rsid w:val="000A6A39"/>
    <w:rsid w:val="000A6BB5"/>
    <w:rsid w:val="000A6F45"/>
    <w:rsid w:val="000A75B8"/>
    <w:rsid w:val="000A7C3C"/>
    <w:rsid w:val="000A7C75"/>
    <w:rsid w:val="000A7E3F"/>
    <w:rsid w:val="000A7F3E"/>
    <w:rsid w:val="000B00E0"/>
    <w:rsid w:val="000B02B9"/>
    <w:rsid w:val="000B04AF"/>
    <w:rsid w:val="000B0598"/>
    <w:rsid w:val="000B0B67"/>
    <w:rsid w:val="000B0DEB"/>
    <w:rsid w:val="000B1517"/>
    <w:rsid w:val="000B1629"/>
    <w:rsid w:val="000B18B3"/>
    <w:rsid w:val="000B1AA1"/>
    <w:rsid w:val="000B1B6D"/>
    <w:rsid w:val="000B1D61"/>
    <w:rsid w:val="000B20B9"/>
    <w:rsid w:val="000B2324"/>
    <w:rsid w:val="000B24F3"/>
    <w:rsid w:val="000B2A11"/>
    <w:rsid w:val="000B2AFF"/>
    <w:rsid w:val="000B2CEC"/>
    <w:rsid w:val="000B2CFB"/>
    <w:rsid w:val="000B31DB"/>
    <w:rsid w:val="000B34C7"/>
    <w:rsid w:val="000B35C4"/>
    <w:rsid w:val="000B37DC"/>
    <w:rsid w:val="000B3850"/>
    <w:rsid w:val="000B4001"/>
    <w:rsid w:val="000B410F"/>
    <w:rsid w:val="000B41D4"/>
    <w:rsid w:val="000B422E"/>
    <w:rsid w:val="000B4398"/>
    <w:rsid w:val="000B453F"/>
    <w:rsid w:val="000B485A"/>
    <w:rsid w:val="000B4A13"/>
    <w:rsid w:val="000B4B13"/>
    <w:rsid w:val="000B4D14"/>
    <w:rsid w:val="000B4D7F"/>
    <w:rsid w:val="000B4E39"/>
    <w:rsid w:val="000B5039"/>
    <w:rsid w:val="000B538C"/>
    <w:rsid w:val="000B54CA"/>
    <w:rsid w:val="000B5599"/>
    <w:rsid w:val="000B5606"/>
    <w:rsid w:val="000B567C"/>
    <w:rsid w:val="000B585B"/>
    <w:rsid w:val="000B5989"/>
    <w:rsid w:val="000B59E3"/>
    <w:rsid w:val="000B5D05"/>
    <w:rsid w:val="000B5E79"/>
    <w:rsid w:val="000B5F86"/>
    <w:rsid w:val="000B63A8"/>
    <w:rsid w:val="000B675F"/>
    <w:rsid w:val="000B67D1"/>
    <w:rsid w:val="000B712E"/>
    <w:rsid w:val="000B715E"/>
    <w:rsid w:val="000B7503"/>
    <w:rsid w:val="000B75C1"/>
    <w:rsid w:val="000B7720"/>
    <w:rsid w:val="000B7987"/>
    <w:rsid w:val="000B7B76"/>
    <w:rsid w:val="000B7C74"/>
    <w:rsid w:val="000B7F35"/>
    <w:rsid w:val="000C0263"/>
    <w:rsid w:val="000C036E"/>
    <w:rsid w:val="000C03E4"/>
    <w:rsid w:val="000C03FE"/>
    <w:rsid w:val="000C0451"/>
    <w:rsid w:val="000C0871"/>
    <w:rsid w:val="000C0939"/>
    <w:rsid w:val="000C0B29"/>
    <w:rsid w:val="000C0C0E"/>
    <w:rsid w:val="000C0CD5"/>
    <w:rsid w:val="000C0F14"/>
    <w:rsid w:val="000C1878"/>
    <w:rsid w:val="000C18E6"/>
    <w:rsid w:val="000C1BE1"/>
    <w:rsid w:val="000C1BF5"/>
    <w:rsid w:val="000C1D75"/>
    <w:rsid w:val="000C26F4"/>
    <w:rsid w:val="000C27AE"/>
    <w:rsid w:val="000C27BA"/>
    <w:rsid w:val="000C2830"/>
    <w:rsid w:val="000C2923"/>
    <w:rsid w:val="000C2BA9"/>
    <w:rsid w:val="000C2D2D"/>
    <w:rsid w:val="000C2E83"/>
    <w:rsid w:val="000C2EE5"/>
    <w:rsid w:val="000C2F55"/>
    <w:rsid w:val="000C3488"/>
    <w:rsid w:val="000C35DF"/>
    <w:rsid w:val="000C3AD7"/>
    <w:rsid w:val="000C3B13"/>
    <w:rsid w:val="000C3CA0"/>
    <w:rsid w:val="000C3EE2"/>
    <w:rsid w:val="000C4292"/>
    <w:rsid w:val="000C42F0"/>
    <w:rsid w:val="000C44E9"/>
    <w:rsid w:val="000C458D"/>
    <w:rsid w:val="000C469B"/>
    <w:rsid w:val="000C491B"/>
    <w:rsid w:val="000C4A64"/>
    <w:rsid w:val="000C4B09"/>
    <w:rsid w:val="000C4D6B"/>
    <w:rsid w:val="000C4D79"/>
    <w:rsid w:val="000C4FB1"/>
    <w:rsid w:val="000C5709"/>
    <w:rsid w:val="000C5713"/>
    <w:rsid w:val="000C5932"/>
    <w:rsid w:val="000C5E22"/>
    <w:rsid w:val="000C60A7"/>
    <w:rsid w:val="000C6372"/>
    <w:rsid w:val="000C6567"/>
    <w:rsid w:val="000C6A6C"/>
    <w:rsid w:val="000C6E6D"/>
    <w:rsid w:val="000C6E73"/>
    <w:rsid w:val="000C719F"/>
    <w:rsid w:val="000C71BF"/>
    <w:rsid w:val="000C7550"/>
    <w:rsid w:val="000D0560"/>
    <w:rsid w:val="000D079B"/>
    <w:rsid w:val="000D1829"/>
    <w:rsid w:val="000D1958"/>
    <w:rsid w:val="000D19D7"/>
    <w:rsid w:val="000D1A2F"/>
    <w:rsid w:val="000D1A89"/>
    <w:rsid w:val="000D1B00"/>
    <w:rsid w:val="000D1E35"/>
    <w:rsid w:val="000D1E43"/>
    <w:rsid w:val="000D1F0E"/>
    <w:rsid w:val="000D22D2"/>
    <w:rsid w:val="000D2417"/>
    <w:rsid w:val="000D257F"/>
    <w:rsid w:val="000D25FA"/>
    <w:rsid w:val="000D2719"/>
    <w:rsid w:val="000D27CF"/>
    <w:rsid w:val="000D283D"/>
    <w:rsid w:val="000D2B6E"/>
    <w:rsid w:val="000D2CAA"/>
    <w:rsid w:val="000D2CAF"/>
    <w:rsid w:val="000D2F54"/>
    <w:rsid w:val="000D3521"/>
    <w:rsid w:val="000D35A5"/>
    <w:rsid w:val="000D37B5"/>
    <w:rsid w:val="000D3EE3"/>
    <w:rsid w:val="000D3F20"/>
    <w:rsid w:val="000D4387"/>
    <w:rsid w:val="000D4A46"/>
    <w:rsid w:val="000D4BAE"/>
    <w:rsid w:val="000D4C33"/>
    <w:rsid w:val="000D51F6"/>
    <w:rsid w:val="000D5205"/>
    <w:rsid w:val="000D58D1"/>
    <w:rsid w:val="000D590A"/>
    <w:rsid w:val="000D5936"/>
    <w:rsid w:val="000D5DE5"/>
    <w:rsid w:val="000D5F2C"/>
    <w:rsid w:val="000D6044"/>
    <w:rsid w:val="000D62D8"/>
    <w:rsid w:val="000D6661"/>
    <w:rsid w:val="000D67C1"/>
    <w:rsid w:val="000D6D46"/>
    <w:rsid w:val="000D6F74"/>
    <w:rsid w:val="000D7015"/>
    <w:rsid w:val="000D7665"/>
    <w:rsid w:val="000D7979"/>
    <w:rsid w:val="000D79DC"/>
    <w:rsid w:val="000D7C2F"/>
    <w:rsid w:val="000D7C39"/>
    <w:rsid w:val="000D7C4A"/>
    <w:rsid w:val="000E0040"/>
    <w:rsid w:val="000E0383"/>
    <w:rsid w:val="000E067D"/>
    <w:rsid w:val="000E0763"/>
    <w:rsid w:val="000E0907"/>
    <w:rsid w:val="000E0ACC"/>
    <w:rsid w:val="000E0D77"/>
    <w:rsid w:val="000E0E6E"/>
    <w:rsid w:val="000E0F8C"/>
    <w:rsid w:val="000E1174"/>
    <w:rsid w:val="000E1383"/>
    <w:rsid w:val="000E1422"/>
    <w:rsid w:val="000E1695"/>
    <w:rsid w:val="000E16F3"/>
    <w:rsid w:val="000E1854"/>
    <w:rsid w:val="000E1914"/>
    <w:rsid w:val="000E1B63"/>
    <w:rsid w:val="000E1DAA"/>
    <w:rsid w:val="000E24CA"/>
    <w:rsid w:val="000E2552"/>
    <w:rsid w:val="000E2643"/>
    <w:rsid w:val="000E27BE"/>
    <w:rsid w:val="000E29A8"/>
    <w:rsid w:val="000E2A63"/>
    <w:rsid w:val="000E2ADE"/>
    <w:rsid w:val="000E2C9B"/>
    <w:rsid w:val="000E332F"/>
    <w:rsid w:val="000E3679"/>
    <w:rsid w:val="000E3787"/>
    <w:rsid w:val="000E38D7"/>
    <w:rsid w:val="000E3AD3"/>
    <w:rsid w:val="000E3BD7"/>
    <w:rsid w:val="000E3C3B"/>
    <w:rsid w:val="000E3DD9"/>
    <w:rsid w:val="000E4057"/>
    <w:rsid w:val="000E425D"/>
    <w:rsid w:val="000E4357"/>
    <w:rsid w:val="000E45CB"/>
    <w:rsid w:val="000E4655"/>
    <w:rsid w:val="000E46BF"/>
    <w:rsid w:val="000E475F"/>
    <w:rsid w:val="000E4B6E"/>
    <w:rsid w:val="000E4C60"/>
    <w:rsid w:val="000E5022"/>
    <w:rsid w:val="000E5039"/>
    <w:rsid w:val="000E50A5"/>
    <w:rsid w:val="000E513F"/>
    <w:rsid w:val="000E5491"/>
    <w:rsid w:val="000E5A4B"/>
    <w:rsid w:val="000E5B66"/>
    <w:rsid w:val="000E5F32"/>
    <w:rsid w:val="000E610D"/>
    <w:rsid w:val="000E618C"/>
    <w:rsid w:val="000E61F3"/>
    <w:rsid w:val="000E621D"/>
    <w:rsid w:val="000E6256"/>
    <w:rsid w:val="000E6311"/>
    <w:rsid w:val="000E65AC"/>
    <w:rsid w:val="000E66AE"/>
    <w:rsid w:val="000E67CC"/>
    <w:rsid w:val="000E6882"/>
    <w:rsid w:val="000E7198"/>
    <w:rsid w:val="000E72B1"/>
    <w:rsid w:val="000E72DC"/>
    <w:rsid w:val="000E784E"/>
    <w:rsid w:val="000E78E9"/>
    <w:rsid w:val="000E7AE2"/>
    <w:rsid w:val="000E7B50"/>
    <w:rsid w:val="000F036C"/>
    <w:rsid w:val="000F039C"/>
    <w:rsid w:val="000F04AA"/>
    <w:rsid w:val="000F0783"/>
    <w:rsid w:val="000F092E"/>
    <w:rsid w:val="000F0C16"/>
    <w:rsid w:val="000F1519"/>
    <w:rsid w:val="000F15CB"/>
    <w:rsid w:val="000F1729"/>
    <w:rsid w:val="000F1787"/>
    <w:rsid w:val="000F1BFE"/>
    <w:rsid w:val="000F1D07"/>
    <w:rsid w:val="000F1D48"/>
    <w:rsid w:val="000F1DC8"/>
    <w:rsid w:val="000F1E28"/>
    <w:rsid w:val="000F22DD"/>
    <w:rsid w:val="000F238A"/>
    <w:rsid w:val="000F267B"/>
    <w:rsid w:val="000F2798"/>
    <w:rsid w:val="000F29A2"/>
    <w:rsid w:val="000F2B43"/>
    <w:rsid w:val="000F2B45"/>
    <w:rsid w:val="000F2B94"/>
    <w:rsid w:val="000F2D6A"/>
    <w:rsid w:val="000F3017"/>
    <w:rsid w:val="000F3189"/>
    <w:rsid w:val="000F37B1"/>
    <w:rsid w:val="000F37C8"/>
    <w:rsid w:val="000F392B"/>
    <w:rsid w:val="000F3B66"/>
    <w:rsid w:val="000F3BE5"/>
    <w:rsid w:val="000F3C6F"/>
    <w:rsid w:val="000F3ED9"/>
    <w:rsid w:val="000F4057"/>
    <w:rsid w:val="000F44DC"/>
    <w:rsid w:val="000F4502"/>
    <w:rsid w:val="000F4540"/>
    <w:rsid w:val="000F4BA2"/>
    <w:rsid w:val="000F4BE0"/>
    <w:rsid w:val="000F4C77"/>
    <w:rsid w:val="000F4E82"/>
    <w:rsid w:val="000F4FC6"/>
    <w:rsid w:val="000F4FCA"/>
    <w:rsid w:val="000F5256"/>
    <w:rsid w:val="000F53EA"/>
    <w:rsid w:val="000F589C"/>
    <w:rsid w:val="000F5BFC"/>
    <w:rsid w:val="000F5E5E"/>
    <w:rsid w:val="000F5E7B"/>
    <w:rsid w:val="000F5F25"/>
    <w:rsid w:val="000F5F27"/>
    <w:rsid w:val="000F600F"/>
    <w:rsid w:val="000F602E"/>
    <w:rsid w:val="000F6323"/>
    <w:rsid w:val="000F6357"/>
    <w:rsid w:val="000F635D"/>
    <w:rsid w:val="000F66EC"/>
    <w:rsid w:val="000F6774"/>
    <w:rsid w:val="000F6BE4"/>
    <w:rsid w:val="000F6DA0"/>
    <w:rsid w:val="000F6E5E"/>
    <w:rsid w:val="000F6FF6"/>
    <w:rsid w:val="000F70DF"/>
    <w:rsid w:val="000F71CB"/>
    <w:rsid w:val="000F71F1"/>
    <w:rsid w:val="000F7466"/>
    <w:rsid w:val="000F79E6"/>
    <w:rsid w:val="000F7B4A"/>
    <w:rsid w:val="000F7D09"/>
    <w:rsid w:val="00100166"/>
    <w:rsid w:val="0010023D"/>
    <w:rsid w:val="00100256"/>
    <w:rsid w:val="0010040B"/>
    <w:rsid w:val="001005C0"/>
    <w:rsid w:val="001005F4"/>
    <w:rsid w:val="001009AF"/>
    <w:rsid w:val="00100A4E"/>
    <w:rsid w:val="00100B57"/>
    <w:rsid w:val="00100FBC"/>
    <w:rsid w:val="001010E2"/>
    <w:rsid w:val="00101929"/>
    <w:rsid w:val="0010197F"/>
    <w:rsid w:val="00101A8C"/>
    <w:rsid w:val="00101C33"/>
    <w:rsid w:val="00101FE4"/>
    <w:rsid w:val="001020D3"/>
    <w:rsid w:val="00102323"/>
    <w:rsid w:val="00102395"/>
    <w:rsid w:val="0010250E"/>
    <w:rsid w:val="0010284E"/>
    <w:rsid w:val="001028F1"/>
    <w:rsid w:val="0010296D"/>
    <w:rsid w:val="0010299F"/>
    <w:rsid w:val="00102A4B"/>
    <w:rsid w:val="00102D2B"/>
    <w:rsid w:val="00102E28"/>
    <w:rsid w:val="00102FA1"/>
    <w:rsid w:val="00103366"/>
    <w:rsid w:val="001035B1"/>
    <w:rsid w:val="00103A27"/>
    <w:rsid w:val="00103C71"/>
    <w:rsid w:val="00103C87"/>
    <w:rsid w:val="00103EF5"/>
    <w:rsid w:val="00104380"/>
    <w:rsid w:val="00104669"/>
    <w:rsid w:val="001046BE"/>
    <w:rsid w:val="0010475D"/>
    <w:rsid w:val="00104898"/>
    <w:rsid w:val="00104A75"/>
    <w:rsid w:val="00104C38"/>
    <w:rsid w:val="00105077"/>
    <w:rsid w:val="0010527E"/>
    <w:rsid w:val="001053A1"/>
    <w:rsid w:val="0010541B"/>
    <w:rsid w:val="0010548D"/>
    <w:rsid w:val="001054BC"/>
    <w:rsid w:val="00105507"/>
    <w:rsid w:val="00105763"/>
    <w:rsid w:val="00105BAA"/>
    <w:rsid w:val="00105BFB"/>
    <w:rsid w:val="00105F0E"/>
    <w:rsid w:val="0010621B"/>
    <w:rsid w:val="001065D4"/>
    <w:rsid w:val="00106649"/>
    <w:rsid w:val="00106A51"/>
    <w:rsid w:val="00107202"/>
    <w:rsid w:val="00107363"/>
    <w:rsid w:val="0010757D"/>
    <w:rsid w:val="00107581"/>
    <w:rsid w:val="001075AE"/>
    <w:rsid w:val="00107900"/>
    <w:rsid w:val="00107996"/>
    <w:rsid w:val="00107A8F"/>
    <w:rsid w:val="00107ABC"/>
    <w:rsid w:val="00107E57"/>
    <w:rsid w:val="00107F3D"/>
    <w:rsid w:val="00107FFD"/>
    <w:rsid w:val="001103E0"/>
    <w:rsid w:val="001103E9"/>
    <w:rsid w:val="0011045B"/>
    <w:rsid w:val="00110618"/>
    <w:rsid w:val="001106FA"/>
    <w:rsid w:val="00110783"/>
    <w:rsid w:val="00110BBC"/>
    <w:rsid w:val="00110F39"/>
    <w:rsid w:val="00110F5A"/>
    <w:rsid w:val="001114BD"/>
    <w:rsid w:val="001115CB"/>
    <w:rsid w:val="0011177F"/>
    <w:rsid w:val="00111811"/>
    <w:rsid w:val="00111C71"/>
    <w:rsid w:val="00111CF1"/>
    <w:rsid w:val="001120DB"/>
    <w:rsid w:val="00112425"/>
    <w:rsid w:val="00112745"/>
    <w:rsid w:val="00112785"/>
    <w:rsid w:val="0011282A"/>
    <w:rsid w:val="00112857"/>
    <w:rsid w:val="00112A90"/>
    <w:rsid w:val="00112ADA"/>
    <w:rsid w:val="00112CE7"/>
    <w:rsid w:val="001132C2"/>
    <w:rsid w:val="00113583"/>
    <w:rsid w:val="00113681"/>
    <w:rsid w:val="00113A7C"/>
    <w:rsid w:val="00113B80"/>
    <w:rsid w:val="00113C20"/>
    <w:rsid w:val="00113EB2"/>
    <w:rsid w:val="00113EDA"/>
    <w:rsid w:val="00113F4F"/>
    <w:rsid w:val="0011421B"/>
    <w:rsid w:val="001142A0"/>
    <w:rsid w:val="00114403"/>
    <w:rsid w:val="0011459D"/>
    <w:rsid w:val="001145F5"/>
    <w:rsid w:val="001149F5"/>
    <w:rsid w:val="00114A16"/>
    <w:rsid w:val="00114DF7"/>
    <w:rsid w:val="00114E80"/>
    <w:rsid w:val="00115043"/>
    <w:rsid w:val="00115551"/>
    <w:rsid w:val="00115B15"/>
    <w:rsid w:val="00115D65"/>
    <w:rsid w:val="001166E1"/>
    <w:rsid w:val="0011679A"/>
    <w:rsid w:val="00116A1C"/>
    <w:rsid w:val="00116CA2"/>
    <w:rsid w:val="00116E92"/>
    <w:rsid w:val="001174E7"/>
    <w:rsid w:val="00117794"/>
    <w:rsid w:val="001178BE"/>
    <w:rsid w:val="00117A28"/>
    <w:rsid w:val="00117ADA"/>
    <w:rsid w:val="00117CE7"/>
    <w:rsid w:val="00117D02"/>
    <w:rsid w:val="00117D47"/>
    <w:rsid w:val="00117E59"/>
    <w:rsid w:val="00117EEB"/>
    <w:rsid w:val="001200C6"/>
    <w:rsid w:val="001200CE"/>
    <w:rsid w:val="001201E5"/>
    <w:rsid w:val="00120399"/>
    <w:rsid w:val="00120588"/>
    <w:rsid w:val="00120C09"/>
    <w:rsid w:val="00120E23"/>
    <w:rsid w:val="0012130A"/>
    <w:rsid w:val="001213A8"/>
    <w:rsid w:val="001214B5"/>
    <w:rsid w:val="00121605"/>
    <w:rsid w:val="001216DC"/>
    <w:rsid w:val="001217C3"/>
    <w:rsid w:val="00121A1F"/>
    <w:rsid w:val="00121AAA"/>
    <w:rsid w:val="00121E71"/>
    <w:rsid w:val="00122140"/>
    <w:rsid w:val="001223FC"/>
    <w:rsid w:val="00122456"/>
    <w:rsid w:val="00122919"/>
    <w:rsid w:val="00122AB2"/>
    <w:rsid w:val="001233CE"/>
    <w:rsid w:val="001235A8"/>
    <w:rsid w:val="001236F0"/>
    <w:rsid w:val="00123CE4"/>
    <w:rsid w:val="00123CFE"/>
    <w:rsid w:val="001240F8"/>
    <w:rsid w:val="001242A1"/>
    <w:rsid w:val="001242BC"/>
    <w:rsid w:val="00124326"/>
    <w:rsid w:val="00124FF6"/>
    <w:rsid w:val="00125385"/>
    <w:rsid w:val="00125834"/>
    <w:rsid w:val="00125C1E"/>
    <w:rsid w:val="00125E9E"/>
    <w:rsid w:val="00126327"/>
    <w:rsid w:val="001268CD"/>
    <w:rsid w:val="00126A66"/>
    <w:rsid w:val="00126ADC"/>
    <w:rsid w:val="00126B52"/>
    <w:rsid w:val="00126DC9"/>
    <w:rsid w:val="00126E59"/>
    <w:rsid w:val="00126EFB"/>
    <w:rsid w:val="00126FE6"/>
    <w:rsid w:val="00127232"/>
    <w:rsid w:val="001275B7"/>
    <w:rsid w:val="00127774"/>
    <w:rsid w:val="00127A5C"/>
    <w:rsid w:val="00127B48"/>
    <w:rsid w:val="00127D3B"/>
    <w:rsid w:val="00127DCA"/>
    <w:rsid w:val="00127E69"/>
    <w:rsid w:val="00127EC9"/>
    <w:rsid w:val="001306C6"/>
    <w:rsid w:val="00130719"/>
    <w:rsid w:val="00130765"/>
    <w:rsid w:val="001307F9"/>
    <w:rsid w:val="00130A89"/>
    <w:rsid w:val="00130D8B"/>
    <w:rsid w:val="00131052"/>
    <w:rsid w:val="0013107E"/>
    <w:rsid w:val="00131285"/>
    <w:rsid w:val="00131647"/>
    <w:rsid w:val="001318E6"/>
    <w:rsid w:val="00131A47"/>
    <w:rsid w:val="00131D34"/>
    <w:rsid w:val="00131D8E"/>
    <w:rsid w:val="0013218F"/>
    <w:rsid w:val="0013240B"/>
    <w:rsid w:val="001325DA"/>
    <w:rsid w:val="0013260E"/>
    <w:rsid w:val="00132730"/>
    <w:rsid w:val="0013273F"/>
    <w:rsid w:val="0013298D"/>
    <w:rsid w:val="00132B46"/>
    <w:rsid w:val="00132D8A"/>
    <w:rsid w:val="00132DEE"/>
    <w:rsid w:val="0013303E"/>
    <w:rsid w:val="00133094"/>
    <w:rsid w:val="00133662"/>
    <w:rsid w:val="00133A56"/>
    <w:rsid w:val="00133D6C"/>
    <w:rsid w:val="00133F87"/>
    <w:rsid w:val="00134333"/>
    <w:rsid w:val="001344B4"/>
    <w:rsid w:val="001347BB"/>
    <w:rsid w:val="0013492D"/>
    <w:rsid w:val="001349DF"/>
    <w:rsid w:val="00134AA5"/>
    <w:rsid w:val="00134B70"/>
    <w:rsid w:val="00134C56"/>
    <w:rsid w:val="00134CB2"/>
    <w:rsid w:val="00134FD9"/>
    <w:rsid w:val="00135133"/>
    <w:rsid w:val="00135333"/>
    <w:rsid w:val="00135355"/>
    <w:rsid w:val="00135387"/>
    <w:rsid w:val="00135471"/>
    <w:rsid w:val="0013547A"/>
    <w:rsid w:val="001357D4"/>
    <w:rsid w:val="001357FA"/>
    <w:rsid w:val="001358C4"/>
    <w:rsid w:val="0013592D"/>
    <w:rsid w:val="0013596D"/>
    <w:rsid w:val="001359DC"/>
    <w:rsid w:val="00135A5E"/>
    <w:rsid w:val="00135A6B"/>
    <w:rsid w:val="00135BA3"/>
    <w:rsid w:val="0013607C"/>
    <w:rsid w:val="001361BE"/>
    <w:rsid w:val="001363C5"/>
    <w:rsid w:val="0013667D"/>
    <w:rsid w:val="001366E5"/>
    <w:rsid w:val="00136956"/>
    <w:rsid w:val="00136D76"/>
    <w:rsid w:val="001372EB"/>
    <w:rsid w:val="00137533"/>
    <w:rsid w:val="001375A4"/>
    <w:rsid w:val="00137B95"/>
    <w:rsid w:val="00137CB2"/>
    <w:rsid w:val="00137E66"/>
    <w:rsid w:val="00137E75"/>
    <w:rsid w:val="00137EED"/>
    <w:rsid w:val="00137F3B"/>
    <w:rsid w:val="00137F40"/>
    <w:rsid w:val="00140290"/>
    <w:rsid w:val="00140AEE"/>
    <w:rsid w:val="00140D33"/>
    <w:rsid w:val="00140F9F"/>
    <w:rsid w:val="00141200"/>
    <w:rsid w:val="00141519"/>
    <w:rsid w:val="001417F8"/>
    <w:rsid w:val="0014189B"/>
    <w:rsid w:val="00141F89"/>
    <w:rsid w:val="00142115"/>
    <w:rsid w:val="00142372"/>
    <w:rsid w:val="00142439"/>
    <w:rsid w:val="001424AE"/>
    <w:rsid w:val="00142672"/>
    <w:rsid w:val="00142790"/>
    <w:rsid w:val="00143216"/>
    <w:rsid w:val="00143381"/>
    <w:rsid w:val="00143828"/>
    <w:rsid w:val="00143BAA"/>
    <w:rsid w:val="00143C96"/>
    <w:rsid w:val="00143E02"/>
    <w:rsid w:val="001442DE"/>
    <w:rsid w:val="001442EA"/>
    <w:rsid w:val="001445CA"/>
    <w:rsid w:val="001446C9"/>
    <w:rsid w:val="00144C8B"/>
    <w:rsid w:val="00144E38"/>
    <w:rsid w:val="00144E5A"/>
    <w:rsid w:val="001453C1"/>
    <w:rsid w:val="00145403"/>
    <w:rsid w:val="001454D2"/>
    <w:rsid w:val="001455C0"/>
    <w:rsid w:val="00145653"/>
    <w:rsid w:val="00145960"/>
    <w:rsid w:val="00145987"/>
    <w:rsid w:val="00145F12"/>
    <w:rsid w:val="00145FC1"/>
    <w:rsid w:val="001460B3"/>
    <w:rsid w:val="00146383"/>
    <w:rsid w:val="001466B3"/>
    <w:rsid w:val="001470C8"/>
    <w:rsid w:val="001472EB"/>
    <w:rsid w:val="0014779B"/>
    <w:rsid w:val="00147BB2"/>
    <w:rsid w:val="00147E1E"/>
    <w:rsid w:val="00150007"/>
    <w:rsid w:val="00150008"/>
    <w:rsid w:val="00150439"/>
    <w:rsid w:val="00150447"/>
    <w:rsid w:val="00150481"/>
    <w:rsid w:val="0015074F"/>
    <w:rsid w:val="00150762"/>
    <w:rsid w:val="0015083C"/>
    <w:rsid w:val="001509F9"/>
    <w:rsid w:val="00150A9D"/>
    <w:rsid w:val="00150DD3"/>
    <w:rsid w:val="001511B9"/>
    <w:rsid w:val="001512F4"/>
    <w:rsid w:val="0015166F"/>
    <w:rsid w:val="00151814"/>
    <w:rsid w:val="001518EC"/>
    <w:rsid w:val="00151CB5"/>
    <w:rsid w:val="00151DC7"/>
    <w:rsid w:val="00151E6B"/>
    <w:rsid w:val="00151F4B"/>
    <w:rsid w:val="00151F62"/>
    <w:rsid w:val="00152014"/>
    <w:rsid w:val="00152824"/>
    <w:rsid w:val="00152A11"/>
    <w:rsid w:val="00152E6D"/>
    <w:rsid w:val="001533C9"/>
    <w:rsid w:val="001534C1"/>
    <w:rsid w:val="001537F4"/>
    <w:rsid w:val="00153956"/>
    <w:rsid w:val="00153C99"/>
    <w:rsid w:val="00153D27"/>
    <w:rsid w:val="00153D3A"/>
    <w:rsid w:val="00153F75"/>
    <w:rsid w:val="00154010"/>
    <w:rsid w:val="00154159"/>
    <w:rsid w:val="001543D8"/>
    <w:rsid w:val="00154459"/>
    <w:rsid w:val="0015497A"/>
    <w:rsid w:val="00154A40"/>
    <w:rsid w:val="00154AF3"/>
    <w:rsid w:val="00154D42"/>
    <w:rsid w:val="00154DED"/>
    <w:rsid w:val="001551E3"/>
    <w:rsid w:val="00155914"/>
    <w:rsid w:val="00155BCF"/>
    <w:rsid w:val="001562A1"/>
    <w:rsid w:val="0015654D"/>
    <w:rsid w:val="00156555"/>
    <w:rsid w:val="0015679E"/>
    <w:rsid w:val="00156923"/>
    <w:rsid w:val="00156A58"/>
    <w:rsid w:val="00156D93"/>
    <w:rsid w:val="00156E05"/>
    <w:rsid w:val="001574E8"/>
    <w:rsid w:val="001576D4"/>
    <w:rsid w:val="001576FF"/>
    <w:rsid w:val="00157A6B"/>
    <w:rsid w:val="00157D1C"/>
    <w:rsid w:val="00157E9E"/>
    <w:rsid w:val="00157EA6"/>
    <w:rsid w:val="00157F0F"/>
    <w:rsid w:val="00157FE2"/>
    <w:rsid w:val="001601AF"/>
    <w:rsid w:val="001602AF"/>
    <w:rsid w:val="0016041A"/>
    <w:rsid w:val="00160936"/>
    <w:rsid w:val="00160948"/>
    <w:rsid w:val="00160B5F"/>
    <w:rsid w:val="00160D4B"/>
    <w:rsid w:val="00161101"/>
    <w:rsid w:val="0016110F"/>
    <w:rsid w:val="001612F2"/>
    <w:rsid w:val="00161521"/>
    <w:rsid w:val="001615A2"/>
    <w:rsid w:val="0016164A"/>
    <w:rsid w:val="001617B7"/>
    <w:rsid w:val="001619E2"/>
    <w:rsid w:val="001619FF"/>
    <w:rsid w:val="00161A52"/>
    <w:rsid w:val="00162027"/>
    <w:rsid w:val="00162169"/>
    <w:rsid w:val="001621BD"/>
    <w:rsid w:val="00162475"/>
    <w:rsid w:val="0016283D"/>
    <w:rsid w:val="00162A7D"/>
    <w:rsid w:val="00162AB4"/>
    <w:rsid w:val="00162BA7"/>
    <w:rsid w:val="00162BB1"/>
    <w:rsid w:val="00162DA2"/>
    <w:rsid w:val="00162DFF"/>
    <w:rsid w:val="00162F24"/>
    <w:rsid w:val="001630EE"/>
    <w:rsid w:val="00163335"/>
    <w:rsid w:val="0016334B"/>
    <w:rsid w:val="001633EC"/>
    <w:rsid w:val="00163927"/>
    <w:rsid w:val="00163A97"/>
    <w:rsid w:val="00164060"/>
    <w:rsid w:val="00164475"/>
    <w:rsid w:val="0016490E"/>
    <w:rsid w:val="00164A84"/>
    <w:rsid w:val="00164AFA"/>
    <w:rsid w:val="00164B34"/>
    <w:rsid w:val="00164C7F"/>
    <w:rsid w:val="00164CEB"/>
    <w:rsid w:val="00164D24"/>
    <w:rsid w:val="00164F92"/>
    <w:rsid w:val="0016509C"/>
    <w:rsid w:val="001655F3"/>
    <w:rsid w:val="00165873"/>
    <w:rsid w:val="0016595C"/>
    <w:rsid w:val="00165FC6"/>
    <w:rsid w:val="00166388"/>
    <w:rsid w:val="0016639E"/>
    <w:rsid w:val="00166541"/>
    <w:rsid w:val="00166895"/>
    <w:rsid w:val="00166B0E"/>
    <w:rsid w:val="00166B5B"/>
    <w:rsid w:val="00166BF0"/>
    <w:rsid w:val="00166E17"/>
    <w:rsid w:val="00167017"/>
    <w:rsid w:val="00167151"/>
    <w:rsid w:val="00167169"/>
    <w:rsid w:val="001671D0"/>
    <w:rsid w:val="001675EE"/>
    <w:rsid w:val="00167961"/>
    <w:rsid w:val="00167B65"/>
    <w:rsid w:val="00167DCF"/>
    <w:rsid w:val="00170142"/>
    <w:rsid w:val="0017042C"/>
    <w:rsid w:val="0017094A"/>
    <w:rsid w:val="001709A5"/>
    <w:rsid w:val="00170CC3"/>
    <w:rsid w:val="00170DD8"/>
    <w:rsid w:val="001711B4"/>
    <w:rsid w:val="00171208"/>
    <w:rsid w:val="0017124C"/>
    <w:rsid w:val="001712C6"/>
    <w:rsid w:val="00171358"/>
    <w:rsid w:val="001714A8"/>
    <w:rsid w:val="001716CD"/>
    <w:rsid w:val="00171795"/>
    <w:rsid w:val="001717CE"/>
    <w:rsid w:val="00171DD8"/>
    <w:rsid w:val="00171E47"/>
    <w:rsid w:val="00171E6D"/>
    <w:rsid w:val="00171E8C"/>
    <w:rsid w:val="00171FA3"/>
    <w:rsid w:val="001722ED"/>
    <w:rsid w:val="0017272C"/>
    <w:rsid w:val="00173149"/>
    <w:rsid w:val="0017358F"/>
    <w:rsid w:val="0017362F"/>
    <w:rsid w:val="001736B2"/>
    <w:rsid w:val="001736DE"/>
    <w:rsid w:val="0017378E"/>
    <w:rsid w:val="00173808"/>
    <w:rsid w:val="00173862"/>
    <w:rsid w:val="00173A07"/>
    <w:rsid w:val="00173B14"/>
    <w:rsid w:val="00173DF5"/>
    <w:rsid w:val="00174218"/>
    <w:rsid w:val="001742CB"/>
    <w:rsid w:val="001742CD"/>
    <w:rsid w:val="00174350"/>
    <w:rsid w:val="00174352"/>
    <w:rsid w:val="0017481E"/>
    <w:rsid w:val="0017484D"/>
    <w:rsid w:val="00174A7C"/>
    <w:rsid w:val="00174B07"/>
    <w:rsid w:val="00174F20"/>
    <w:rsid w:val="00174F74"/>
    <w:rsid w:val="001752E4"/>
    <w:rsid w:val="001754B3"/>
    <w:rsid w:val="0017553F"/>
    <w:rsid w:val="0017554A"/>
    <w:rsid w:val="00175720"/>
    <w:rsid w:val="00175B60"/>
    <w:rsid w:val="00175C94"/>
    <w:rsid w:val="00175DAF"/>
    <w:rsid w:val="001761D6"/>
    <w:rsid w:val="001761FD"/>
    <w:rsid w:val="00176228"/>
    <w:rsid w:val="00176275"/>
    <w:rsid w:val="00176435"/>
    <w:rsid w:val="0017644D"/>
    <w:rsid w:val="001764D6"/>
    <w:rsid w:val="001769AA"/>
    <w:rsid w:val="00176A19"/>
    <w:rsid w:val="00176AD9"/>
    <w:rsid w:val="00176C45"/>
    <w:rsid w:val="00176D1D"/>
    <w:rsid w:val="00176DED"/>
    <w:rsid w:val="00176E1F"/>
    <w:rsid w:val="00176F9C"/>
    <w:rsid w:val="00176FDA"/>
    <w:rsid w:val="00177221"/>
    <w:rsid w:val="001774A2"/>
    <w:rsid w:val="001774B7"/>
    <w:rsid w:val="001775B1"/>
    <w:rsid w:val="00177649"/>
    <w:rsid w:val="00177BD2"/>
    <w:rsid w:val="00180179"/>
    <w:rsid w:val="00180524"/>
    <w:rsid w:val="0018077B"/>
    <w:rsid w:val="00180A2F"/>
    <w:rsid w:val="00180AF7"/>
    <w:rsid w:val="00180B62"/>
    <w:rsid w:val="00180B99"/>
    <w:rsid w:val="00180EB6"/>
    <w:rsid w:val="00180F69"/>
    <w:rsid w:val="00181197"/>
    <w:rsid w:val="00181388"/>
    <w:rsid w:val="00181398"/>
    <w:rsid w:val="0018170B"/>
    <w:rsid w:val="001819E4"/>
    <w:rsid w:val="00181F7D"/>
    <w:rsid w:val="00181F92"/>
    <w:rsid w:val="00182376"/>
    <w:rsid w:val="0018247C"/>
    <w:rsid w:val="001826BD"/>
    <w:rsid w:val="001827F2"/>
    <w:rsid w:val="001829A6"/>
    <w:rsid w:val="00182A63"/>
    <w:rsid w:val="00182B67"/>
    <w:rsid w:val="00182C3F"/>
    <w:rsid w:val="00182E1D"/>
    <w:rsid w:val="00182E51"/>
    <w:rsid w:val="0018309C"/>
    <w:rsid w:val="00183366"/>
    <w:rsid w:val="0018338A"/>
    <w:rsid w:val="00183517"/>
    <w:rsid w:val="0018365E"/>
    <w:rsid w:val="001837B5"/>
    <w:rsid w:val="00183C13"/>
    <w:rsid w:val="00183C7A"/>
    <w:rsid w:val="001840B4"/>
    <w:rsid w:val="001840E3"/>
    <w:rsid w:val="001844D8"/>
    <w:rsid w:val="00184739"/>
    <w:rsid w:val="001847B6"/>
    <w:rsid w:val="001847ED"/>
    <w:rsid w:val="001849E8"/>
    <w:rsid w:val="00184C4F"/>
    <w:rsid w:val="00184E33"/>
    <w:rsid w:val="00185049"/>
    <w:rsid w:val="00185144"/>
    <w:rsid w:val="00185220"/>
    <w:rsid w:val="00185222"/>
    <w:rsid w:val="00185241"/>
    <w:rsid w:val="0018529E"/>
    <w:rsid w:val="0018541D"/>
    <w:rsid w:val="001855D2"/>
    <w:rsid w:val="00185691"/>
    <w:rsid w:val="001858C0"/>
    <w:rsid w:val="001858D1"/>
    <w:rsid w:val="00185A01"/>
    <w:rsid w:val="001865AC"/>
    <w:rsid w:val="00186664"/>
    <w:rsid w:val="0018680D"/>
    <w:rsid w:val="001868DB"/>
    <w:rsid w:val="00186BD0"/>
    <w:rsid w:val="00187160"/>
    <w:rsid w:val="0018716B"/>
    <w:rsid w:val="0018768A"/>
    <w:rsid w:val="0018785C"/>
    <w:rsid w:val="00187C2C"/>
    <w:rsid w:val="00187D3F"/>
    <w:rsid w:val="0019042F"/>
    <w:rsid w:val="0019079D"/>
    <w:rsid w:val="00190A79"/>
    <w:rsid w:val="00190BA2"/>
    <w:rsid w:val="001915B0"/>
    <w:rsid w:val="001916B3"/>
    <w:rsid w:val="001918F4"/>
    <w:rsid w:val="0019199B"/>
    <w:rsid w:val="00191BAD"/>
    <w:rsid w:val="00191E0F"/>
    <w:rsid w:val="00192078"/>
    <w:rsid w:val="00192187"/>
    <w:rsid w:val="0019219D"/>
    <w:rsid w:val="00192251"/>
    <w:rsid w:val="00192372"/>
    <w:rsid w:val="001923C3"/>
    <w:rsid w:val="001923F6"/>
    <w:rsid w:val="001924CC"/>
    <w:rsid w:val="0019271E"/>
    <w:rsid w:val="001929D9"/>
    <w:rsid w:val="00192BD3"/>
    <w:rsid w:val="00192C3F"/>
    <w:rsid w:val="00192C7E"/>
    <w:rsid w:val="00192D27"/>
    <w:rsid w:val="001931E1"/>
    <w:rsid w:val="0019337B"/>
    <w:rsid w:val="00193509"/>
    <w:rsid w:val="001935C6"/>
    <w:rsid w:val="0019368C"/>
    <w:rsid w:val="001936FD"/>
    <w:rsid w:val="0019375A"/>
    <w:rsid w:val="00193785"/>
    <w:rsid w:val="001937AD"/>
    <w:rsid w:val="00193AE8"/>
    <w:rsid w:val="00193BC4"/>
    <w:rsid w:val="00193CA0"/>
    <w:rsid w:val="00193FEC"/>
    <w:rsid w:val="0019411D"/>
    <w:rsid w:val="00194169"/>
    <w:rsid w:val="00194234"/>
    <w:rsid w:val="00194448"/>
    <w:rsid w:val="001945D9"/>
    <w:rsid w:val="001946C9"/>
    <w:rsid w:val="00194853"/>
    <w:rsid w:val="00194A7D"/>
    <w:rsid w:val="00194C69"/>
    <w:rsid w:val="00194F0B"/>
    <w:rsid w:val="00194F58"/>
    <w:rsid w:val="001950E1"/>
    <w:rsid w:val="0019529A"/>
    <w:rsid w:val="001953D2"/>
    <w:rsid w:val="001954C9"/>
    <w:rsid w:val="00195633"/>
    <w:rsid w:val="00195675"/>
    <w:rsid w:val="001957B8"/>
    <w:rsid w:val="00195B5F"/>
    <w:rsid w:val="00195DB2"/>
    <w:rsid w:val="00195E12"/>
    <w:rsid w:val="00195F09"/>
    <w:rsid w:val="0019605F"/>
    <w:rsid w:val="0019612C"/>
    <w:rsid w:val="0019631D"/>
    <w:rsid w:val="0019635F"/>
    <w:rsid w:val="001963D2"/>
    <w:rsid w:val="00196491"/>
    <w:rsid w:val="00196696"/>
    <w:rsid w:val="001966C0"/>
    <w:rsid w:val="001967F4"/>
    <w:rsid w:val="001967F5"/>
    <w:rsid w:val="0019686F"/>
    <w:rsid w:val="001978EF"/>
    <w:rsid w:val="00197926"/>
    <w:rsid w:val="00197B07"/>
    <w:rsid w:val="00197C14"/>
    <w:rsid w:val="00197E30"/>
    <w:rsid w:val="00197EBB"/>
    <w:rsid w:val="001A012A"/>
    <w:rsid w:val="001A016E"/>
    <w:rsid w:val="001A02E4"/>
    <w:rsid w:val="001A04F9"/>
    <w:rsid w:val="001A07B1"/>
    <w:rsid w:val="001A07BF"/>
    <w:rsid w:val="001A0A15"/>
    <w:rsid w:val="001A0EEB"/>
    <w:rsid w:val="001A10A5"/>
    <w:rsid w:val="001A1372"/>
    <w:rsid w:val="001A13EC"/>
    <w:rsid w:val="001A14A4"/>
    <w:rsid w:val="001A15F7"/>
    <w:rsid w:val="001A1762"/>
    <w:rsid w:val="001A1AB2"/>
    <w:rsid w:val="001A1F3B"/>
    <w:rsid w:val="001A245C"/>
    <w:rsid w:val="001A25AD"/>
    <w:rsid w:val="001A2897"/>
    <w:rsid w:val="001A2959"/>
    <w:rsid w:val="001A2997"/>
    <w:rsid w:val="001A2A39"/>
    <w:rsid w:val="001A2A4D"/>
    <w:rsid w:val="001A2B55"/>
    <w:rsid w:val="001A2BAF"/>
    <w:rsid w:val="001A2C25"/>
    <w:rsid w:val="001A2E1A"/>
    <w:rsid w:val="001A316F"/>
    <w:rsid w:val="001A31CD"/>
    <w:rsid w:val="001A3346"/>
    <w:rsid w:val="001A3503"/>
    <w:rsid w:val="001A351F"/>
    <w:rsid w:val="001A373F"/>
    <w:rsid w:val="001A3799"/>
    <w:rsid w:val="001A3A33"/>
    <w:rsid w:val="001A3D72"/>
    <w:rsid w:val="001A3DBF"/>
    <w:rsid w:val="001A3E0B"/>
    <w:rsid w:val="001A4493"/>
    <w:rsid w:val="001A47A7"/>
    <w:rsid w:val="001A4DB6"/>
    <w:rsid w:val="001A4E56"/>
    <w:rsid w:val="001A4F4C"/>
    <w:rsid w:val="001A4FE1"/>
    <w:rsid w:val="001A52A4"/>
    <w:rsid w:val="001A539F"/>
    <w:rsid w:val="001A55A3"/>
    <w:rsid w:val="001A5C44"/>
    <w:rsid w:val="001A5D87"/>
    <w:rsid w:val="001A60FE"/>
    <w:rsid w:val="001A615C"/>
    <w:rsid w:val="001A6199"/>
    <w:rsid w:val="001A647F"/>
    <w:rsid w:val="001A65C0"/>
    <w:rsid w:val="001A6602"/>
    <w:rsid w:val="001A6763"/>
    <w:rsid w:val="001A6846"/>
    <w:rsid w:val="001A6849"/>
    <w:rsid w:val="001A6880"/>
    <w:rsid w:val="001A6AEC"/>
    <w:rsid w:val="001A6C86"/>
    <w:rsid w:val="001A6D3C"/>
    <w:rsid w:val="001A6DCE"/>
    <w:rsid w:val="001A6E53"/>
    <w:rsid w:val="001A704F"/>
    <w:rsid w:val="001A73BE"/>
    <w:rsid w:val="001A766B"/>
    <w:rsid w:val="001A7866"/>
    <w:rsid w:val="001B0034"/>
    <w:rsid w:val="001B00F6"/>
    <w:rsid w:val="001B0176"/>
    <w:rsid w:val="001B04D1"/>
    <w:rsid w:val="001B05C7"/>
    <w:rsid w:val="001B0686"/>
    <w:rsid w:val="001B0820"/>
    <w:rsid w:val="001B096B"/>
    <w:rsid w:val="001B0E2E"/>
    <w:rsid w:val="001B1175"/>
    <w:rsid w:val="001B1180"/>
    <w:rsid w:val="001B136F"/>
    <w:rsid w:val="001B1596"/>
    <w:rsid w:val="001B173E"/>
    <w:rsid w:val="001B17C7"/>
    <w:rsid w:val="001B1BE6"/>
    <w:rsid w:val="001B1D6F"/>
    <w:rsid w:val="001B1F74"/>
    <w:rsid w:val="001B21C5"/>
    <w:rsid w:val="001B231C"/>
    <w:rsid w:val="001B23EC"/>
    <w:rsid w:val="001B24B3"/>
    <w:rsid w:val="001B25DF"/>
    <w:rsid w:val="001B2DE2"/>
    <w:rsid w:val="001B2E99"/>
    <w:rsid w:val="001B33C7"/>
    <w:rsid w:val="001B3745"/>
    <w:rsid w:val="001B37D7"/>
    <w:rsid w:val="001B3862"/>
    <w:rsid w:val="001B39EB"/>
    <w:rsid w:val="001B3C20"/>
    <w:rsid w:val="001B40A0"/>
    <w:rsid w:val="001B40B4"/>
    <w:rsid w:val="001B41EE"/>
    <w:rsid w:val="001B4754"/>
    <w:rsid w:val="001B4896"/>
    <w:rsid w:val="001B4A64"/>
    <w:rsid w:val="001B4A7A"/>
    <w:rsid w:val="001B4B62"/>
    <w:rsid w:val="001B4BB7"/>
    <w:rsid w:val="001B4D93"/>
    <w:rsid w:val="001B4D9E"/>
    <w:rsid w:val="001B5570"/>
    <w:rsid w:val="001B5654"/>
    <w:rsid w:val="001B59A2"/>
    <w:rsid w:val="001B59EB"/>
    <w:rsid w:val="001B5E65"/>
    <w:rsid w:val="001B5F07"/>
    <w:rsid w:val="001B5F4B"/>
    <w:rsid w:val="001B6036"/>
    <w:rsid w:val="001B6038"/>
    <w:rsid w:val="001B60EC"/>
    <w:rsid w:val="001B616A"/>
    <w:rsid w:val="001B664B"/>
    <w:rsid w:val="001B666A"/>
    <w:rsid w:val="001B675D"/>
    <w:rsid w:val="001B6836"/>
    <w:rsid w:val="001B6950"/>
    <w:rsid w:val="001B6E52"/>
    <w:rsid w:val="001B6EB1"/>
    <w:rsid w:val="001B74CF"/>
    <w:rsid w:val="001B7619"/>
    <w:rsid w:val="001B7882"/>
    <w:rsid w:val="001B7C10"/>
    <w:rsid w:val="001B7C33"/>
    <w:rsid w:val="001B7D5B"/>
    <w:rsid w:val="001B7F78"/>
    <w:rsid w:val="001B7F9C"/>
    <w:rsid w:val="001C0031"/>
    <w:rsid w:val="001C0061"/>
    <w:rsid w:val="001C0214"/>
    <w:rsid w:val="001C0296"/>
    <w:rsid w:val="001C02FB"/>
    <w:rsid w:val="001C061A"/>
    <w:rsid w:val="001C0661"/>
    <w:rsid w:val="001C073F"/>
    <w:rsid w:val="001C0802"/>
    <w:rsid w:val="001C08F5"/>
    <w:rsid w:val="001C0953"/>
    <w:rsid w:val="001C0C06"/>
    <w:rsid w:val="001C0E77"/>
    <w:rsid w:val="001C0F40"/>
    <w:rsid w:val="001C1158"/>
    <w:rsid w:val="001C12C3"/>
    <w:rsid w:val="001C1431"/>
    <w:rsid w:val="001C17B9"/>
    <w:rsid w:val="001C1A82"/>
    <w:rsid w:val="001C1ABD"/>
    <w:rsid w:val="001C20FB"/>
    <w:rsid w:val="001C2152"/>
    <w:rsid w:val="001C2153"/>
    <w:rsid w:val="001C25F5"/>
    <w:rsid w:val="001C26F5"/>
    <w:rsid w:val="001C285E"/>
    <w:rsid w:val="001C2886"/>
    <w:rsid w:val="001C2BAC"/>
    <w:rsid w:val="001C2BCC"/>
    <w:rsid w:val="001C2C49"/>
    <w:rsid w:val="001C3051"/>
    <w:rsid w:val="001C3095"/>
    <w:rsid w:val="001C3485"/>
    <w:rsid w:val="001C3589"/>
    <w:rsid w:val="001C35A6"/>
    <w:rsid w:val="001C3649"/>
    <w:rsid w:val="001C3777"/>
    <w:rsid w:val="001C3CAA"/>
    <w:rsid w:val="001C4235"/>
    <w:rsid w:val="001C4316"/>
    <w:rsid w:val="001C4521"/>
    <w:rsid w:val="001C4582"/>
    <w:rsid w:val="001C45CD"/>
    <w:rsid w:val="001C4AF2"/>
    <w:rsid w:val="001C4C0C"/>
    <w:rsid w:val="001C4E38"/>
    <w:rsid w:val="001C4E5F"/>
    <w:rsid w:val="001C51A6"/>
    <w:rsid w:val="001C51EE"/>
    <w:rsid w:val="001C529C"/>
    <w:rsid w:val="001C52B2"/>
    <w:rsid w:val="001C5427"/>
    <w:rsid w:val="001C5917"/>
    <w:rsid w:val="001C59E7"/>
    <w:rsid w:val="001C5A1A"/>
    <w:rsid w:val="001C5A33"/>
    <w:rsid w:val="001C5D50"/>
    <w:rsid w:val="001C5FE1"/>
    <w:rsid w:val="001C6452"/>
    <w:rsid w:val="001C64E8"/>
    <w:rsid w:val="001C690A"/>
    <w:rsid w:val="001C6AA1"/>
    <w:rsid w:val="001C6B6B"/>
    <w:rsid w:val="001C6C94"/>
    <w:rsid w:val="001C6D65"/>
    <w:rsid w:val="001C6E0F"/>
    <w:rsid w:val="001C73E2"/>
    <w:rsid w:val="001C7417"/>
    <w:rsid w:val="001C7B7A"/>
    <w:rsid w:val="001C7BF8"/>
    <w:rsid w:val="001C7C49"/>
    <w:rsid w:val="001D038A"/>
    <w:rsid w:val="001D0491"/>
    <w:rsid w:val="001D074D"/>
    <w:rsid w:val="001D09B3"/>
    <w:rsid w:val="001D0BB9"/>
    <w:rsid w:val="001D0C86"/>
    <w:rsid w:val="001D0D04"/>
    <w:rsid w:val="001D0D45"/>
    <w:rsid w:val="001D0F97"/>
    <w:rsid w:val="001D1050"/>
    <w:rsid w:val="001D109B"/>
    <w:rsid w:val="001D15D6"/>
    <w:rsid w:val="001D16B9"/>
    <w:rsid w:val="001D171E"/>
    <w:rsid w:val="001D18A4"/>
    <w:rsid w:val="001D1A47"/>
    <w:rsid w:val="001D1D6B"/>
    <w:rsid w:val="001D1D7C"/>
    <w:rsid w:val="001D1E63"/>
    <w:rsid w:val="001D1F3A"/>
    <w:rsid w:val="001D219B"/>
    <w:rsid w:val="001D2352"/>
    <w:rsid w:val="001D2395"/>
    <w:rsid w:val="001D258E"/>
    <w:rsid w:val="001D2734"/>
    <w:rsid w:val="001D28C2"/>
    <w:rsid w:val="001D29F0"/>
    <w:rsid w:val="001D2BF1"/>
    <w:rsid w:val="001D32D0"/>
    <w:rsid w:val="001D3508"/>
    <w:rsid w:val="001D3A62"/>
    <w:rsid w:val="001D3A8C"/>
    <w:rsid w:val="001D3ACF"/>
    <w:rsid w:val="001D3AEF"/>
    <w:rsid w:val="001D3DD2"/>
    <w:rsid w:val="001D3EFD"/>
    <w:rsid w:val="001D3FE7"/>
    <w:rsid w:val="001D4056"/>
    <w:rsid w:val="001D4156"/>
    <w:rsid w:val="001D4207"/>
    <w:rsid w:val="001D4311"/>
    <w:rsid w:val="001D4682"/>
    <w:rsid w:val="001D49A6"/>
    <w:rsid w:val="001D539D"/>
    <w:rsid w:val="001D5457"/>
    <w:rsid w:val="001D54D2"/>
    <w:rsid w:val="001D5538"/>
    <w:rsid w:val="001D5574"/>
    <w:rsid w:val="001D5609"/>
    <w:rsid w:val="001D565E"/>
    <w:rsid w:val="001D5696"/>
    <w:rsid w:val="001D59A1"/>
    <w:rsid w:val="001D5AD3"/>
    <w:rsid w:val="001D5B04"/>
    <w:rsid w:val="001D5C52"/>
    <w:rsid w:val="001D5DE9"/>
    <w:rsid w:val="001D60FE"/>
    <w:rsid w:val="001D627F"/>
    <w:rsid w:val="001D6978"/>
    <w:rsid w:val="001D6B23"/>
    <w:rsid w:val="001D6D64"/>
    <w:rsid w:val="001D6F2B"/>
    <w:rsid w:val="001D6F9B"/>
    <w:rsid w:val="001D7115"/>
    <w:rsid w:val="001D71F5"/>
    <w:rsid w:val="001D72CE"/>
    <w:rsid w:val="001D7556"/>
    <w:rsid w:val="001D7728"/>
    <w:rsid w:val="001D7AB1"/>
    <w:rsid w:val="001D7C46"/>
    <w:rsid w:val="001E0073"/>
    <w:rsid w:val="001E01B0"/>
    <w:rsid w:val="001E030E"/>
    <w:rsid w:val="001E0576"/>
    <w:rsid w:val="001E0707"/>
    <w:rsid w:val="001E0840"/>
    <w:rsid w:val="001E0983"/>
    <w:rsid w:val="001E0AEC"/>
    <w:rsid w:val="001E0BA2"/>
    <w:rsid w:val="001E0C18"/>
    <w:rsid w:val="001E0DE6"/>
    <w:rsid w:val="001E100B"/>
    <w:rsid w:val="001E135E"/>
    <w:rsid w:val="001E140F"/>
    <w:rsid w:val="001E157A"/>
    <w:rsid w:val="001E1B3D"/>
    <w:rsid w:val="001E1B49"/>
    <w:rsid w:val="001E1B58"/>
    <w:rsid w:val="001E1D8F"/>
    <w:rsid w:val="001E225B"/>
    <w:rsid w:val="001E26ED"/>
    <w:rsid w:val="001E28AA"/>
    <w:rsid w:val="001E2966"/>
    <w:rsid w:val="001E2998"/>
    <w:rsid w:val="001E2A61"/>
    <w:rsid w:val="001E2E06"/>
    <w:rsid w:val="001E3394"/>
    <w:rsid w:val="001E353D"/>
    <w:rsid w:val="001E367B"/>
    <w:rsid w:val="001E3A32"/>
    <w:rsid w:val="001E3DC8"/>
    <w:rsid w:val="001E3DE2"/>
    <w:rsid w:val="001E3E2D"/>
    <w:rsid w:val="001E4245"/>
    <w:rsid w:val="001E4715"/>
    <w:rsid w:val="001E4C26"/>
    <w:rsid w:val="001E4C8B"/>
    <w:rsid w:val="001E4CE3"/>
    <w:rsid w:val="001E4E51"/>
    <w:rsid w:val="001E51D3"/>
    <w:rsid w:val="001E51F6"/>
    <w:rsid w:val="001E52C5"/>
    <w:rsid w:val="001E5531"/>
    <w:rsid w:val="001E5813"/>
    <w:rsid w:val="001E585B"/>
    <w:rsid w:val="001E58AB"/>
    <w:rsid w:val="001E5A67"/>
    <w:rsid w:val="001E5CB5"/>
    <w:rsid w:val="001E6047"/>
    <w:rsid w:val="001E6552"/>
    <w:rsid w:val="001E6874"/>
    <w:rsid w:val="001E68E1"/>
    <w:rsid w:val="001E6F2E"/>
    <w:rsid w:val="001E7744"/>
    <w:rsid w:val="001E782A"/>
    <w:rsid w:val="001E78EE"/>
    <w:rsid w:val="001E7BB5"/>
    <w:rsid w:val="001E7BEB"/>
    <w:rsid w:val="001F01FB"/>
    <w:rsid w:val="001F0910"/>
    <w:rsid w:val="001F0932"/>
    <w:rsid w:val="001F09D1"/>
    <w:rsid w:val="001F0AEC"/>
    <w:rsid w:val="001F0EA1"/>
    <w:rsid w:val="001F0FCB"/>
    <w:rsid w:val="001F1032"/>
    <w:rsid w:val="001F1079"/>
    <w:rsid w:val="001F10A4"/>
    <w:rsid w:val="001F10C4"/>
    <w:rsid w:val="001F10F4"/>
    <w:rsid w:val="001F1363"/>
    <w:rsid w:val="001F1397"/>
    <w:rsid w:val="001F15F2"/>
    <w:rsid w:val="001F1679"/>
    <w:rsid w:val="001F17A5"/>
    <w:rsid w:val="001F2025"/>
    <w:rsid w:val="001F205E"/>
    <w:rsid w:val="001F209B"/>
    <w:rsid w:val="001F20E9"/>
    <w:rsid w:val="001F2291"/>
    <w:rsid w:val="001F22F8"/>
    <w:rsid w:val="001F237D"/>
    <w:rsid w:val="001F259A"/>
    <w:rsid w:val="001F25D9"/>
    <w:rsid w:val="001F2AAF"/>
    <w:rsid w:val="001F2B3D"/>
    <w:rsid w:val="001F2E8F"/>
    <w:rsid w:val="001F2FE2"/>
    <w:rsid w:val="001F3759"/>
    <w:rsid w:val="001F3A9D"/>
    <w:rsid w:val="001F3B17"/>
    <w:rsid w:val="001F3BC8"/>
    <w:rsid w:val="001F3D33"/>
    <w:rsid w:val="001F4025"/>
    <w:rsid w:val="001F41DB"/>
    <w:rsid w:val="001F44F1"/>
    <w:rsid w:val="001F4C56"/>
    <w:rsid w:val="001F4F62"/>
    <w:rsid w:val="001F4FAC"/>
    <w:rsid w:val="001F5B22"/>
    <w:rsid w:val="001F5D51"/>
    <w:rsid w:val="001F5DEC"/>
    <w:rsid w:val="001F6275"/>
    <w:rsid w:val="001F62C3"/>
    <w:rsid w:val="001F6778"/>
    <w:rsid w:val="001F67D9"/>
    <w:rsid w:val="001F6A01"/>
    <w:rsid w:val="001F6C7B"/>
    <w:rsid w:val="001F6D9E"/>
    <w:rsid w:val="001F6D9F"/>
    <w:rsid w:val="001F708E"/>
    <w:rsid w:val="001F7115"/>
    <w:rsid w:val="001F765A"/>
    <w:rsid w:val="001F7802"/>
    <w:rsid w:val="001F7DBC"/>
    <w:rsid w:val="001F7DE8"/>
    <w:rsid w:val="001F7FA3"/>
    <w:rsid w:val="0020040C"/>
    <w:rsid w:val="0020081F"/>
    <w:rsid w:val="002008DB"/>
    <w:rsid w:val="00200EF8"/>
    <w:rsid w:val="002012FC"/>
    <w:rsid w:val="00201C80"/>
    <w:rsid w:val="00201E2A"/>
    <w:rsid w:val="00201ECF"/>
    <w:rsid w:val="00201FED"/>
    <w:rsid w:val="002022CA"/>
    <w:rsid w:val="002022FD"/>
    <w:rsid w:val="002025E5"/>
    <w:rsid w:val="0020263A"/>
    <w:rsid w:val="002026C2"/>
    <w:rsid w:val="002027A8"/>
    <w:rsid w:val="00202936"/>
    <w:rsid w:val="002029B8"/>
    <w:rsid w:val="00202AA4"/>
    <w:rsid w:val="00202B9E"/>
    <w:rsid w:val="00202ED4"/>
    <w:rsid w:val="0020349F"/>
    <w:rsid w:val="002035D2"/>
    <w:rsid w:val="002036D1"/>
    <w:rsid w:val="00203781"/>
    <w:rsid w:val="00203837"/>
    <w:rsid w:val="002038CD"/>
    <w:rsid w:val="00203A54"/>
    <w:rsid w:val="00203B9F"/>
    <w:rsid w:val="002043B6"/>
    <w:rsid w:val="002044B1"/>
    <w:rsid w:val="002045CE"/>
    <w:rsid w:val="00204755"/>
    <w:rsid w:val="00204B9A"/>
    <w:rsid w:val="00204F2B"/>
    <w:rsid w:val="00204FB4"/>
    <w:rsid w:val="002054E3"/>
    <w:rsid w:val="0020592B"/>
    <w:rsid w:val="00205B4F"/>
    <w:rsid w:val="00205E6F"/>
    <w:rsid w:val="00206298"/>
    <w:rsid w:val="002062DC"/>
    <w:rsid w:val="00206525"/>
    <w:rsid w:val="00206843"/>
    <w:rsid w:val="002069C4"/>
    <w:rsid w:val="00206A6F"/>
    <w:rsid w:val="00206F8D"/>
    <w:rsid w:val="00207069"/>
    <w:rsid w:val="00207092"/>
    <w:rsid w:val="0020728E"/>
    <w:rsid w:val="002076AD"/>
    <w:rsid w:val="002077B6"/>
    <w:rsid w:val="00207DD7"/>
    <w:rsid w:val="00207F13"/>
    <w:rsid w:val="002100F8"/>
    <w:rsid w:val="002105FA"/>
    <w:rsid w:val="0021070A"/>
    <w:rsid w:val="002111E8"/>
    <w:rsid w:val="00211737"/>
    <w:rsid w:val="00211778"/>
    <w:rsid w:val="00211915"/>
    <w:rsid w:val="00211E49"/>
    <w:rsid w:val="00211F7D"/>
    <w:rsid w:val="002120ED"/>
    <w:rsid w:val="002123D6"/>
    <w:rsid w:val="002127D5"/>
    <w:rsid w:val="002128CB"/>
    <w:rsid w:val="00212B5A"/>
    <w:rsid w:val="00212E83"/>
    <w:rsid w:val="00212FF3"/>
    <w:rsid w:val="0021301D"/>
    <w:rsid w:val="00213289"/>
    <w:rsid w:val="002133FA"/>
    <w:rsid w:val="00213734"/>
    <w:rsid w:val="002139EC"/>
    <w:rsid w:val="00213BB6"/>
    <w:rsid w:val="00214152"/>
    <w:rsid w:val="0021460B"/>
    <w:rsid w:val="00214653"/>
    <w:rsid w:val="0021467D"/>
    <w:rsid w:val="002146E7"/>
    <w:rsid w:val="00214BD1"/>
    <w:rsid w:val="00214E0E"/>
    <w:rsid w:val="00214E38"/>
    <w:rsid w:val="00214E95"/>
    <w:rsid w:val="00214ED3"/>
    <w:rsid w:val="00214F41"/>
    <w:rsid w:val="00214FE6"/>
    <w:rsid w:val="0021503E"/>
    <w:rsid w:val="0021576A"/>
    <w:rsid w:val="00215791"/>
    <w:rsid w:val="0021587C"/>
    <w:rsid w:val="00215A14"/>
    <w:rsid w:val="00215CEF"/>
    <w:rsid w:val="00215D3B"/>
    <w:rsid w:val="00215E40"/>
    <w:rsid w:val="00215E86"/>
    <w:rsid w:val="002164CE"/>
    <w:rsid w:val="0021669B"/>
    <w:rsid w:val="002166F7"/>
    <w:rsid w:val="0021675F"/>
    <w:rsid w:val="00216A7E"/>
    <w:rsid w:val="00216D89"/>
    <w:rsid w:val="00216DD8"/>
    <w:rsid w:val="00216E14"/>
    <w:rsid w:val="00216F49"/>
    <w:rsid w:val="0021707E"/>
    <w:rsid w:val="00217325"/>
    <w:rsid w:val="00217926"/>
    <w:rsid w:val="00217A0B"/>
    <w:rsid w:val="00217A67"/>
    <w:rsid w:val="00217EBE"/>
    <w:rsid w:val="00220135"/>
    <w:rsid w:val="00220196"/>
    <w:rsid w:val="00220211"/>
    <w:rsid w:val="002202DE"/>
    <w:rsid w:val="002205B9"/>
    <w:rsid w:val="00220617"/>
    <w:rsid w:val="00220737"/>
    <w:rsid w:val="00220789"/>
    <w:rsid w:val="002208F3"/>
    <w:rsid w:val="002209C1"/>
    <w:rsid w:val="00220C51"/>
    <w:rsid w:val="00220E7C"/>
    <w:rsid w:val="00221259"/>
    <w:rsid w:val="00221424"/>
    <w:rsid w:val="00221481"/>
    <w:rsid w:val="00221585"/>
    <w:rsid w:val="00221828"/>
    <w:rsid w:val="00221A3A"/>
    <w:rsid w:val="00221C04"/>
    <w:rsid w:val="002220E2"/>
    <w:rsid w:val="00222145"/>
    <w:rsid w:val="00222594"/>
    <w:rsid w:val="00222802"/>
    <w:rsid w:val="00222857"/>
    <w:rsid w:val="0022289E"/>
    <w:rsid w:val="00222A61"/>
    <w:rsid w:val="00222A96"/>
    <w:rsid w:val="00222BC2"/>
    <w:rsid w:val="00222BE2"/>
    <w:rsid w:val="00222C89"/>
    <w:rsid w:val="00222D53"/>
    <w:rsid w:val="00222D63"/>
    <w:rsid w:val="0022300D"/>
    <w:rsid w:val="0022304F"/>
    <w:rsid w:val="00223122"/>
    <w:rsid w:val="0022315B"/>
    <w:rsid w:val="002232D9"/>
    <w:rsid w:val="002233A3"/>
    <w:rsid w:val="00223E09"/>
    <w:rsid w:val="00224115"/>
    <w:rsid w:val="002241BC"/>
    <w:rsid w:val="00224255"/>
    <w:rsid w:val="00224481"/>
    <w:rsid w:val="002244B7"/>
    <w:rsid w:val="00224865"/>
    <w:rsid w:val="00224997"/>
    <w:rsid w:val="002249E4"/>
    <w:rsid w:val="00224DDB"/>
    <w:rsid w:val="00224E52"/>
    <w:rsid w:val="0022557E"/>
    <w:rsid w:val="002258DA"/>
    <w:rsid w:val="002259AF"/>
    <w:rsid w:val="00225EC4"/>
    <w:rsid w:val="00225FD3"/>
    <w:rsid w:val="0022659B"/>
    <w:rsid w:val="002265CF"/>
    <w:rsid w:val="0022684F"/>
    <w:rsid w:val="00226977"/>
    <w:rsid w:val="002269AD"/>
    <w:rsid w:val="00226BDD"/>
    <w:rsid w:val="00226CFD"/>
    <w:rsid w:val="00226ECF"/>
    <w:rsid w:val="002276D5"/>
    <w:rsid w:val="00227A96"/>
    <w:rsid w:val="00227B88"/>
    <w:rsid w:val="002300FD"/>
    <w:rsid w:val="0023058A"/>
    <w:rsid w:val="00230771"/>
    <w:rsid w:val="00230BCA"/>
    <w:rsid w:val="00230D60"/>
    <w:rsid w:val="00230E23"/>
    <w:rsid w:val="00230E3F"/>
    <w:rsid w:val="00230F83"/>
    <w:rsid w:val="0023110E"/>
    <w:rsid w:val="002311E7"/>
    <w:rsid w:val="002314E4"/>
    <w:rsid w:val="00231529"/>
    <w:rsid w:val="00231545"/>
    <w:rsid w:val="0023190D"/>
    <w:rsid w:val="002319E3"/>
    <w:rsid w:val="00231A42"/>
    <w:rsid w:val="00231CAF"/>
    <w:rsid w:val="00232162"/>
    <w:rsid w:val="0023232D"/>
    <w:rsid w:val="00232428"/>
    <w:rsid w:val="00232562"/>
    <w:rsid w:val="00232A69"/>
    <w:rsid w:val="00232B7D"/>
    <w:rsid w:val="00232CC3"/>
    <w:rsid w:val="00232E38"/>
    <w:rsid w:val="00232FA7"/>
    <w:rsid w:val="00233209"/>
    <w:rsid w:val="0023329C"/>
    <w:rsid w:val="00233349"/>
    <w:rsid w:val="0023349C"/>
    <w:rsid w:val="002334A4"/>
    <w:rsid w:val="00233A17"/>
    <w:rsid w:val="00233AFE"/>
    <w:rsid w:val="00233B17"/>
    <w:rsid w:val="00233C01"/>
    <w:rsid w:val="00233C48"/>
    <w:rsid w:val="00233E56"/>
    <w:rsid w:val="00233E77"/>
    <w:rsid w:val="00234230"/>
    <w:rsid w:val="0023424C"/>
    <w:rsid w:val="00234286"/>
    <w:rsid w:val="00234386"/>
    <w:rsid w:val="0023453B"/>
    <w:rsid w:val="0023469A"/>
    <w:rsid w:val="00234792"/>
    <w:rsid w:val="00234E0C"/>
    <w:rsid w:val="00235064"/>
    <w:rsid w:val="002351C5"/>
    <w:rsid w:val="00235768"/>
    <w:rsid w:val="002357A6"/>
    <w:rsid w:val="00235A6C"/>
    <w:rsid w:val="00235B94"/>
    <w:rsid w:val="00235C16"/>
    <w:rsid w:val="00235CF3"/>
    <w:rsid w:val="00235D7B"/>
    <w:rsid w:val="00236046"/>
    <w:rsid w:val="002364C6"/>
    <w:rsid w:val="00236A42"/>
    <w:rsid w:val="00236F4E"/>
    <w:rsid w:val="0023725C"/>
    <w:rsid w:val="0023725E"/>
    <w:rsid w:val="002372DC"/>
    <w:rsid w:val="00237531"/>
    <w:rsid w:val="00237660"/>
    <w:rsid w:val="002378F2"/>
    <w:rsid w:val="00237E69"/>
    <w:rsid w:val="00237EFE"/>
    <w:rsid w:val="00237F52"/>
    <w:rsid w:val="00240328"/>
    <w:rsid w:val="00240435"/>
    <w:rsid w:val="00240574"/>
    <w:rsid w:val="002405EB"/>
    <w:rsid w:val="0024064C"/>
    <w:rsid w:val="0024077F"/>
    <w:rsid w:val="002409B4"/>
    <w:rsid w:val="00240DA6"/>
    <w:rsid w:val="00240E02"/>
    <w:rsid w:val="00240FB5"/>
    <w:rsid w:val="0024120C"/>
    <w:rsid w:val="00241394"/>
    <w:rsid w:val="00241892"/>
    <w:rsid w:val="002418B8"/>
    <w:rsid w:val="00241FEB"/>
    <w:rsid w:val="002420CD"/>
    <w:rsid w:val="00242259"/>
    <w:rsid w:val="0024239F"/>
    <w:rsid w:val="0024248C"/>
    <w:rsid w:val="002424AF"/>
    <w:rsid w:val="0024268C"/>
    <w:rsid w:val="00242894"/>
    <w:rsid w:val="002429B5"/>
    <w:rsid w:val="00242BCA"/>
    <w:rsid w:val="00242C01"/>
    <w:rsid w:val="00242C86"/>
    <w:rsid w:val="00243024"/>
    <w:rsid w:val="002434F3"/>
    <w:rsid w:val="00243ABF"/>
    <w:rsid w:val="00243C4D"/>
    <w:rsid w:val="00244093"/>
    <w:rsid w:val="00244212"/>
    <w:rsid w:val="00244300"/>
    <w:rsid w:val="002443E6"/>
    <w:rsid w:val="002445A9"/>
    <w:rsid w:val="002445E2"/>
    <w:rsid w:val="002447E8"/>
    <w:rsid w:val="0024485C"/>
    <w:rsid w:val="00244B11"/>
    <w:rsid w:val="00244D14"/>
    <w:rsid w:val="00244F3B"/>
    <w:rsid w:val="002450A9"/>
    <w:rsid w:val="00245100"/>
    <w:rsid w:val="002452EF"/>
    <w:rsid w:val="00245896"/>
    <w:rsid w:val="00245929"/>
    <w:rsid w:val="00245AA9"/>
    <w:rsid w:val="00245B79"/>
    <w:rsid w:val="00246104"/>
    <w:rsid w:val="00246349"/>
    <w:rsid w:val="002463DA"/>
    <w:rsid w:val="002464BD"/>
    <w:rsid w:val="00246657"/>
    <w:rsid w:val="002466B6"/>
    <w:rsid w:val="002466E3"/>
    <w:rsid w:val="00246881"/>
    <w:rsid w:val="002468F8"/>
    <w:rsid w:val="0024707A"/>
    <w:rsid w:val="0024709B"/>
    <w:rsid w:val="00247204"/>
    <w:rsid w:val="00247330"/>
    <w:rsid w:val="0024774C"/>
    <w:rsid w:val="002477BF"/>
    <w:rsid w:val="002477D9"/>
    <w:rsid w:val="00247B6B"/>
    <w:rsid w:val="00247C3F"/>
    <w:rsid w:val="00247DDD"/>
    <w:rsid w:val="00247E0E"/>
    <w:rsid w:val="00247E4F"/>
    <w:rsid w:val="00247F31"/>
    <w:rsid w:val="002500AE"/>
    <w:rsid w:val="002502DD"/>
    <w:rsid w:val="0025041A"/>
    <w:rsid w:val="00250596"/>
    <w:rsid w:val="002505EA"/>
    <w:rsid w:val="002506C7"/>
    <w:rsid w:val="0025105A"/>
    <w:rsid w:val="00251535"/>
    <w:rsid w:val="00251B1D"/>
    <w:rsid w:val="00251B7F"/>
    <w:rsid w:val="00251D55"/>
    <w:rsid w:val="00251D75"/>
    <w:rsid w:val="00251D77"/>
    <w:rsid w:val="00251EAE"/>
    <w:rsid w:val="00251EE7"/>
    <w:rsid w:val="00252060"/>
    <w:rsid w:val="00252147"/>
    <w:rsid w:val="00252629"/>
    <w:rsid w:val="00252894"/>
    <w:rsid w:val="0025291D"/>
    <w:rsid w:val="0025295B"/>
    <w:rsid w:val="00252966"/>
    <w:rsid w:val="00252B35"/>
    <w:rsid w:val="00252B97"/>
    <w:rsid w:val="00252C3C"/>
    <w:rsid w:val="00252C42"/>
    <w:rsid w:val="00252DC0"/>
    <w:rsid w:val="00253238"/>
    <w:rsid w:val="00253458"/>
    <w:rsid w:val="002534C4"/>
    <w:rsid w:val="00253615"/>
    <w:rsid w:val="0025367A"/>
    <w:rsid w:val="0025376B"/>
    <w:rsid w:val="00253785"/>
    <w:rsid w:val="00253847"/>
    <w:rsid w:val="00253B9F"/>
    <w:rsid w:val="00253FF8"/>
    <w:rsid w:val="0025404D"/>
    <w:rsid w:val="00254269"/>
    <w:rsid w:val="002542A5"/>
    <w:rsid w:val="002542E9"/>
    <w:rsid w:val="00254454"/>
    <w:rsid w:val="0025469F"/>
    <w:rsid w:val="00254711"/>
    <w:rsid w:val="00254EB0"/>
    <w:rsid w:val="00255283"/>
    <w:rsid w:val="00255308"/>
    <w:rsid w:val="00255447"/>
    <w:rsid w:val="00255587"/>
    <w:rsid w:val="002556B0"/>
    <w:rsid w:val="002558A1"/>
    <w:rsid w:val="00255B82"/>
    <w:rsid w:val="00255CDC"/>
    <w:rsid w:val="0025600E"/>
    <w:rsid w:val="00256613"/>
    <w:rsid w:val="00256758"/>
    <w:rsid w:val="00256B81"/>
    <w:rsid w:val="00256CA5"/>
    <w:rsid w:val="00256D80"/>
    <w:rsid w:val="00256D81"/>
    <w:rsid w:val="00256DE2"/>
    <w:rsid w:val="00256FEE"/>
    <w:rsid w:val="00257225"/>
    <w:rsid w:val="00257693"/>
    <w:rsid w:val="00257877"/>
    <w:rsid w:val="0025795E"/>
    <w:rsid w:val="00257EB1"/>
    <w:rsid w:val="00257F15"/>
    <w:rsid w:val="00257F23"/>
    <w:rsid w:val="00260346"/>
    <w:rsid w:val="002605FF"/>
    <w:rsid w:val="00260674"/>
    <w:rsid w:val="00260D4C"/>
    <w:rsid w:val="00260EC4"/>
    <w:rsid w:val="002610AC"/>
    <w:rsid w:val="0026148C"/>
    <w:rsid w:val="002614B7"/>
    <w:rsid w:val="002615FD"/>
    <w:rsid w:val="00261AAC"/>
    <w:rsid w:val="00261E51"/>
    <w:rsid w:val="00261E87"/>
    <w:rsid w:val="00261FBF"/>
    <w:rsid w:val="002621E8"/>
    <w:rsid w:val="002628BF"/>
    <w:rsid w:val="00262B22"/>
    <w:rsid w:val="00262C98"/>
    <w:rsid w:val="00262EA9"/>
    <w:rsid w:val="002630CE"/>
    <w:rsid w:val="002631F9"/>
    <w:rsid w:val="00263367"/>
    <w:rsid w:val="00263591"/>
    <w:rsid w:val="002635AE"/>
    <w:rsid w:val="0026363A"/>
    <w:rsid w:val="00263731"/>
    <w:rsid w:val="00263940"/>
    <w:rsid w:val="00263979"/>
    <w:rsid w:val="00263BA3"/>
    <w:rsid w:val="00264046"/>
    <w:rsid w:val="002644FB"/>
    <w:rsid w:val="00264CC6"/>
    <w:rsid w:val="00264DBE"/>
    <w:rsid w:val="00264DF5"/>
    <w:rsid w:val="00264E8A"/>
    <w:rsid w:val="00264F29"/>
    <w:rsid w:val="002654A5"/>
    <w:rsid w:val="002655C8"/>
    <w:rsid w:val="0026569E"/>
    <w:rsid w:val="00265ADC"/>
    <w:rsid w:val="00265FC8"/>
    <w:rsid w:val="002661CE"/>
    <w:rsid w:val="00266701"/>
    <w:rsid w:val="00266726"/>
    <w:rsid w:val="00266C07"/>
    <w:rsid w:val="00266F6E"/>
    <w:rsid w:val="002677E9"/>
    <w:rsid w:val="002701DA"/>
    <w:rsid w:val="0027024E"/>
    <w:rsid w:val="002702EB"/>
    <w:rsid w:val="002704B5"/>
    <w:rsid w:val="002705C7"/>
    <w:rsid w:val="002706BF"/>
    <w:rsid w:val="002706ED"/>
    <w:rsid w:val="0027076F"/>
    <w:rsid w:val="002708DC"/>
    <w:rsid w:val="00270BE7"/>
    <w:rsid w:val="00270C1A"/>
    <w:rsid w:val="00270C73"/>
    <w:rsid w:val="00270E0B"/>
    <w:rsid w:val="00271371"/>
    <w:rsid w:val="002713B3"/>
    <w:rsid w:val="0027143C"/>
    <w:rsid w:val="002715B5"/>
    <w:rsid w:val="002719CD"/>
    <w:rsid w:val="00271B85"/>
    <w:rsid w:val="00271BE5"/>
    <w:rsid w:val="00271CE6"/>
    <w:rsid w:val="00271FD1"/>
    <w:rsid w:val="002723FF"/>
    <w:rsid w:val="002726C3"/>
    <w:rsid w:val="00272798"/>
    <w:rsid w:val="00272B8B"/>
    <w:rsid w:val="00272C3F"/>
    <w:rsid w:val="002732E7"/>
    <w:rsid w:val="00273503"/>
    <w:rsid w:val="00273557"/>
    <w:rsid w:val="002739BD"/>
    <w:rsid w:val="00273A15"/>
    <w:rsid w:val="00273BDD"/>
    <w:rsid w:val="00273E24"/>
    <w:rsid w:val="00273F3B"/>
    <w:rsid w:val="0027437B"/>
    <w:rsid w:val="002747B2"/>
    <w:rsid w:val="00274EE5"/>
    <w:rsid w:val="00275A79"/>
    <w:rsid w:val="00275B66"/>
    <w:rsid w:val="00275E1F"/>
    <w:rsid w:val="00275E34"/>
    <w:rsid w:val="00276098"/>
    <w:rsid w:val="002760D8"/>
    <w:rsid w:val="002761E2"/>
    <w:rsid w:val="002763C0"/>
    <w:rsid w:val="002765E5"/>
    <w:rsid w:val="00276629"/>
    <w:rsid w:val="00276641"/>
    <w:rsid w:val="0027689C"/>
    <w:rsid w:val="002768B2"/>
    <w:rsid w:val="00276CD5"/>
    <w:rsid w:val="00276E23"/>
    <w:rsid w:val="00276E44"/>
    <w:rsid w:val="002770DC"/>
    <w:rsid w:val="002771F7"/>
    <w:rsid w:val="00277722"/>
    <w:rsid w:val="002777DE"/>
    <w:rsid w:val="0027790F"/>
    <w:rsid w:val="00277A44"/>
    <w:rsid w:val="00277B35"/>
    <w:rsid w:val="00277B9C"/>
    <w:rsid w:val="00277BE2"/>
    <w:rsid w:val="00277BF0"/>
    <w:rsid w:val="00277DA4"/>
    <w:rsid w:val="00277E33"/>
    <w:rsid w:val="00280983"/>
    <w:rsid w:val="00280AAF"/>
    <w:rsid w:val="00280C79"/>
    <w:rsid w:val="00280CA5"/>
    <w:rsid w:val="00280FF5"/>
    <w:rsid w:val="00281648"/>
    <w:rsid w:val="002817A3"/>
    <w:rsid w:val="00281947"/>
    <w:rsid w:val="0028197D"/>
    <w:rsid w:val="00281F96"/>
    <w:rsid w:val="002824F1"/>
    <w:rsid w:val="002829A0"/>
    <w:rsid w:val="00282CDC"/>
    <w:rsid w:val="00282CE6"/>
    <w:rsid w:val="00282E71"/>
    <w:rsid w:val="00282F36"/>
    <w:rsid w:val="00282F83"/>
    <w:rsid w:val="002830DE"/>
    <w:rsid w:val="0028323C"/>
    <w:rsid w:val="002832F3"/>
    <w:rsid w:val="0028365D"/>
    <w:rsid w:val="00283895"/>
    <w:rsid w:val="002839EF"/>
    <w:rsid w:val="00283A86"/>
    <w:rsid w:val="00283C9F"/>
    <w:rsid w:val="00283CE1"/>
    <w:rsid w:val="00283FDA"/>
    <w:rsid w:val="00284312"/>
    <w:rsid w:val="00284695"/>
    <w:rsid w:val="00284788"/>
    <w:rsid w:val="00284FFB"/>
    <w:rsid w:val="0028502C"/>
    <w:rsid w:val="0028514A"/>
    <w:rsid w:val="002854F7"/>
    <w:rsid w:val="0028557D"/>
    <w:rsid w:val="00285A65"/>
    <w:rsid w:val="00285E7D"/>
    <w:rsid w:val="00286053"/>
    <w:rsid w:val="002860AB"/>
    <w:rsid w:val="002860EA"/>
    <w:rsid w:val="002862E7"/>
    <w:rsid w:val="002863D2"/>
    <w:rsid w:val="002866DB"/>
    <w:rsid w:val="00286907"/>
    <w:rsid w:val="00286B6F"/>
    <w:rsid w:val="00287312"/>
    <w:rsid w:val="0028737A"/>
    <w:rsid w:val="002873A5"/>
    <w:rsid w:val="00287435"/>
    <w:rsid w:val="00287459"/>
    <w:rsid w:val="00287764"/>
    <w:rsid w:val="00287B8F"/>
    <w:rsid w:val="00287BCB"/>
    <w:rsid w:val="00287BF3"/>
    <w:rsid w:val="00287CDB"/>
    <w:rsid w:val="00287CF8"/>
    <w:rsid w:val="002901B3"/>
    <w:rsid w:val="002907CD"/>
    <w:rsid w:val="002909E4"/>
    <w:rsid w:val="00290A58"/>
    <w:rsid w:val="00290B71"/>
    <w:rsid w:val="00290EC7"/>
    <w:rsid w:val="00290EE5"/>
    <w:rsid w:val="0029114D"/>
    <w:rsid w:val="00291279"/>
    <w:rsid w:val="00291678"/>
    <w:rsid w:val="002916AA"/>
    <w:rsid w:val="002916D9"/>
    <w:rsid w:val="00291771"/>
    <w:rsid w:val="0029179B"/>
    <w:rsid w:val="002918AF"/>
    <w:rsid w:val="002918C3"/>
    <w:rsid w:val="00291900"/>
    <w:rsid w:val="0029199A"/>
    <w:rsid w:val="00291C15"/>
    <w:rsid w:val="00291C86"/>
    <w:rsid w:val="00291DEB"/>
    <w:rsid w:val="00291E6B"/>
    <w:rsid w:val="00292064"/>
    <w:rsid w:val="00292106"/>
    <w:rsid w:val="002924C4"/>
    <w:rsid w:val="00292901"/>
    <w:rsid w:val="00292B15"/>
    <w:rsid w:val="00292B37"/>
    <w:rsid w:val="00292B8B"/>
    <w:rsid w:val="0029305A"/>
    <w:rsid w:val="002931E2"/>
    <w:rsid w:val="002932A6"/>
    <w:rsid w:val="00293838"/>
    <w:rsid w:val="002938CE"/>
    <w:rsid w:val="00293F01"/>
    <w:rsid w:val="00294228"/>
    <w:rsid w:val="0029432B"/>
    <w:rsid w:val="0029450B"/>
    <w:rsid w:val="0029472C"/>
    <w:rsid w:val="00294862"/>
    <w:rsid w:val="00294878"/>
    <w:rsid w:val="0029499A"/>
    <w:rsid w:val="00294EBD"/>
    <w:rsid w:val="00294F1D"/>
    <w:rsid w:val="00294F64"/>
    <w:rsid w:val="002950EC"/>
    <w:rsid w:val="00295689"/>
    <w:rsid w:val="00295A59"/>
    <w:rsid w:val="00295A7C"/>
    <w:rsid w:val="00295D35"/>
    <w:rsid w:val="00295F1E"/>
    <w:rsid w:val="002960F9"/>
    <w:rsid w:val="0029619D"/>
    <w:rsid w:val="00296316"/>
    <w:rsid w:val="00296319"/>
    <w:rsid w:val="00296785"/>
    <w:rsid w:val="002969DC"/>
    <w:rsid w:val="00296BEE"/>
    <w:rsid w:val="00296D6C"/>
    <w:rsid w:val="00297030"/>
    <w:rsid w:val="002974C1"/>
    <w:rsid w:val="0029759B"/>
    <w:rsid w:val="00297768"/>
    <w:rsid w:val="0029784E"/>
    <w:rsid w:val="00297C1F"/>
    <w:rsid w:val="00297C9C"/>
    <w:rsid w:val="00297EC8"/>
    <w:rsid w:val="002A00AD"/>
    <w:rsid w:val="002A0127"/>
    <w:rsid w:val="002A0192"/>
    <w:rsid w:val="002A060C"/>
    <w:rsid w:val="002A0848"/>
    <w:rsid w:val="002A0886"/>
    <w:rsid w:val="002A0981"/>
    <w:rsid w:val="002A0B2F"/>
    <w:rsid w:val="002A0C96"/>
    <w:rsid w:val="002A0D02"/>
    <w:rsid w:val="002A1142"/>
    <w:rsid w:val="002A124D"/>
    <w:rsid w:val="002A1453"/>
    <w:rsid w:val="002A17F1"/>
    <w:rsid w:val="002A188D"/>
    <w:rsid w:val="002A1A65"/>
    <w:rsid w:val="002A1C69"/>
    <w:rsid w:val="002A1D46"/>
    <w:rsid w:val="002A20C1"/>
    <w:rsid w:val="002A20E5"/>
    <w:rsid w:val="002A2373"/>
    <w:rsid w:val="002A23F2"/>
    <w:rsid w:val="002A286E"/>
    <w:rsid w:val="002A28BC"/>
    <w:rsid w:val="002A2993"/>
    <w:rsid w:val="002A2CC1"/>
    <w:rsid w:val="002A2E5D"/>
    <w:rsid w:val="002A2E60"/>
    <w:rsid w:val="002A2F16"/>
    <w:rsid w:val="002A33B4"/>
    <w:rsid w:val="002A3690"/>
    <w:rsid w:val="002A36FF"/>
    <w:rsid w:val="002A38A6"/>
    <w:rsid w:val="002A38FE"/>
    <w:rsid w:val="002A3A28"/>
    <w:rsid w:val="002A3ABB"/>
    <w:rsid w:val="002A3B87"/>
    <w:rsid w:val="002A3B9E"/>
    <w:rsid w:val="002A3CE9"/>
    <w:rsid w:val="002A3DF0"/>
    <w:rsid w:val="002A410A"/>
    <w:rsid w:val="002A4187"/>
    <w:rsid w:val="002A42F5"/>
    <w:rsid w:val="002A457E"/>
    <w:rsid w:val="002A46C4"/>
    <w:rsid w:val="002A47D6"/>
    <w:rsid w:val="002A4B2D"/>
    <w:rsid w:val="002A4B34"/>
    <w:rsid w:val="002A4BA6"/>
    <w:rsid w:val="002A4F2A"/>
    <w:rsid w:val="002A5215"/>
    <w:rsid w:val="002A568B"/>
    <w:rsid w:val="002A5696"/>
    <w:rsid w:val="002A5C62"/>
    <w:rsid w:val="002A5DDF"/>
    <w:rsid w:val="002A5F7F"/>
    <w:rsid w:val="002A62D8"/>
    <w:rsid w:val="002A6301"/>
    <w:rsid w:val="002A6328"/>
    <w:rsid w:val="002A637F"/>
    <w:rsid w:val="002A66D3"/>
    <w:rsid w:val="002A6805"/>
    <w:rsid w:val="002A6A44"/>
    <w:rsid w:val="002A6D57"/>
    <w:rsid w:val="002A6DB6"/>
    <w:rsid w:val="002A6E55"/>
    <w:rsid w:val="002A6ED8"/>
    <w:rsid w:val="002A7572"/>
    <w:rsid w:val="002A76BE"/>
    <w:rsid w:val="002A7770"/>
    <w:rsid w:val="002A7A6C"/>
    <w:rsid w:val="002A7AA6"/>
    <w:rsid w:val="002A7BF2"/>
    <w:rsid w:val="002A7CCA"/>
    <w:rsid w:val="002A7EA7"/>
    <w:rsid w:val="002B011D"/>
    <w:rsid w:val="002B0212"/>
    <w:rsid w:val="002B0400"/>
    <w:rsid w:val="002B04A7"/>
    <w:rsid w:val="002B04AB"/>
    <w:rsid w:val="002B0603"/>
    <w:rsid w:val="002B069F"/>
    <w:rsid w:val="002B06F3"/>
    <w:rsid w:val="002B099E"/>
    <w:rsid w:val="002B0A7D"/>
    <w:rsid w:val="002B0C68"/>
    <w:rsid w:val="002B0F58"/>
    <w:rsid w:val="002B16E8"/>
    <w:rsid w:val="002B18B3"/>
    <w:rsid w:val="002B2085"/>
    <w:rsid w:val="002B20D9"/>
    <w:rsid w:val="002B2105"/>
    <w:rsid w:val="002B2126"/>
    <w:rsid w:val="002B21E1"/>
    <w:rsid w:val="002B25F6"/>
    <w:rsid w:val="002B29E0"/>
    <w:rsid w:val="002B2A34"/>
    <w:rsid w:val="002B2BE5"/>
    <w:rsid w:val="002B2D66"/>
    <w:rsid w:val="002B2FD0"/>
    <w:rsid w:val="002B3274"/>
    <w:rsid w:val="002B35FB"/>
    <w:rsid w:val="002B3609"/>
    <w:rsid w:val="002B37D9"/>
    <w:rsid w:val="002B3812"/>
    <w:rsid w:val="002B3930"/>
    <w:rsid w:val="002B3A33"/>
    <w:rsid w:val="002B4890"/>
    <w:rsid w:val="002B49F6"/>
    <w:rsid w:val="002B4A5E"/>
    <w:rsid w:val="002B4B29"/>
    <w:rsid w:val="002B4D37"/>
    <w:rsid w:val="002B4E42"/>
    <w:rsid w:val="002B4F1A"/>
    <w:rsid w:val="002B50DA"/>
    <w:rsid w:val="002B5274"/>
    <w:rsid w:val="002B52F0"/>
    <w:rsid w:val="002B561B"/>
    <w:rsid w:val="002B5870"/>
    <w:rsid w:val="002B5B3D"/>
    <w:rsid w:val="002B5FCF"/>
    <w:rsid w:val="002B6473"/>
    <w:rsid w:val="002B6508"/>
    <w:rsid w:val="002B6703"/>
    <w:rsid w:val="002B6B23"/>
    <w:rsid w:val="002B6C40"/>
    <w:rsid w:val="002B738E"/>
    <w:rsid w:val="002B74DA"/>
    <w:rsid w:val="002B7810"/>
    <w:rsid w:val="002B7855"/>
    <w:rsid w:val="002B7B63"/>
    <w:rsid w:val="002B7D3B"/>
    <w:rsid w:val="002B7FEB"/>
    <w:rsid w:val="002C016E"/>
    <w:rsid w:val="002C0651"/>
    <w:rsid w:val="002C0713"/>
    <w:rsid w:val="002C090F"/>
    <w:rsid w:val="002C09C9"/>
    <w:rsid w:val="002C0DF4"/>
    <w:rsid w:val="002C0E5B"/>
    <w:rsid w:val="002C0EE8"/>
    <w:rsid w:val="002C12F4"/>
    <w:rsid w:val="002C1465"/>
    <w:rsid w:val="002C15D2"/>
    <w:rsid w:val="002C182F"/>
    <w:rsid w:val="002C184F"/>
    <w:rsid w:val="002C1A1A"/>
    <w:rsid w:val="002C1AE3"/>
    <w:rsid w:val="002C1CA2"/>
    <w:rsid w:val="002C1D83"/>
    <w:rsid w:val="002C1DE5"/>
    <w:rsid w:val="002C22F9"/>
    <w:rsid w:val="002C2388"/>
    <w:rsid w:val="002C2392"/>
    <w:rsid w:val="002C29D5"/>
    <w:rsid w:val="002C2ADD"/>
    <w:rsid w:val="002C2E5A"/>
    <w:rsid w:val="002C2F73"/>
    <w:rsid w:val="002C31EE"/>
    <w:rsid w:val="002C329B"/>
    <w:rsid w:val="002C32AC"/>
    <w:rsid w:val="002C33B9"/>
    <w:rsid w:val="002C34BE"/>
    <w:rsid w:val="002C369B"/>
    <w:rsid w:val="002C37A6"/>
    <w:rsid w:val="002C38AB"/>
    <w:rsid w:val="002C3F51"/>
    <w:rsid w:val="002C419E"/>
    <w:rsid w:val="002C435F"/>
    <w:rsid w:val="002C471F"/>
    <w:rsid w:val="002C48C5"/>
    <w:rsid w:val="002C49F3"/>
    <w:rsid w:val="002C4A04"/>
    <w:rsid w:val="002C4BE7"/>
    <w:rsid w:val="002C4BE8"/>
    <w:rsid w:val="002C4C4C"/>
    <w:rsid w:val="002C509E"/>
    <w:rsid w:val="002C521B"/>
    <w:rsid w:val="002C5364"/>
    <w:rsid w:val="002C556B"/>
    <w:rsid w:val="002C56EB"/>
    <w:rsid w:val="002C5994"/>
    <w:rsid w:val="002C5A72"/>
    <w:rsid w:val="002C5B55"/>
    <w:rsid w:val="002C5D0D"/>
    <w:rsid w:val="002C5E47"/>
    <w:rsid w:val="002C5EAB"/>
    <w:rsid w:val="002C5ECA"/>
    <w:rsid w:val="002C606E"/>
    <w:rsid w:val="002C60C1"/>
    <w:rsid w:val="002C6782"/>
    <w:rsid w:val="002C696E"/>
    <w:rsid w:val="002C6AA6"/>
    <w:rsid w:val="002C6B31"/>
    <w:rsid w:val="002C6C13"/>
    <w:rsid w:val="002C6CC2"/>
    <w:rsid w:val="002C6DAA"/>
    <w:rsid w:val="002C6DE4"/>
    <w:rsid w:val="002C6E21"/>
    <w:rsid w:val="002C7979"/>
    <w:rsid w:val="002C7A46"/>
    <w:rsid w:val="002C7C5F"/>
    <w:rsid w:val="002C7C76"/>
    <w:rsid w:val="002C7D46"/>
    <w:rsid w:val="002C7FCB"/>
    <w:rsid w:val="002D02AB"/>
    <w:rsid w:val="002D0426"/>
    <w:rsid w:val="002D060E"/>
    <w:rsid w:val="002D0A57"/>
    <w:rsid w:val="002D0B13"/>
    <w:rsid w:val="002D0D8D"/>
    <w:rsid w:val="002D10DB"/>
    <w:rsid w:val="002D1299"/>
    <w:rsid w:val="002D1461"/>
    <w:rsid w:val="002D1611"/>
    <w:rsid w:val="002D17D4"/>
    <w:rsid w:val="002D184A"/>
    <w:rsid w:val="002D19BF"/>
    <w:rsid w:val="002D1DAB"/>
    <w:rsid w:val="002D1FA1"/>
    <w:rsid w:val="002D1FA4"/>
    <w:rsid w:val="002D2206"/>
    <w:rsid w:val="002D2405"/>
    <w:rsid w:val="002D2A88"/>
    <w:rsid w:val="002D2AB0"/>
    <w:rsid w:val="002D2BC9"/>
    <w:rsid w:val="002D2D6B"/>
    <w:rsid w:val="002D2E3D"/>
    <w:rsid w:val="002D2E9E"/>
    <w:rsid w:val="002D35C4"/>
    <w:rsid w:val="002D3756"/>
    <w:rsid w:val="002D3879"/>
    <w:rsid w:val="002D3B02"/>
    <w:rsid w:val="002D3E0B"/>
    <w:rsid w:val="002D3F64"/>
    <w:rsid w:val="002D4091"/>
    <w:rsid w:val="002D41DD"/>
    <w:rsid w:val="002D441B"/>
    <w:rsid w:val="002D459C"/>
    <w:rsid w:val="002D4740"/>
    <w:rsid w:val="002D47FA"/>
    <w:rsid w:val="002D48FE"/>
    <w:rsid w:val="002D4A30"/>
    <w:rsid w:val="002D4C43"/>
    <w:rsid w:val="002D4E4F"/>
    <w:rsid w:val="002D503C"/>
    <w:rsid w:val="002D50E5"/>
    <w:rsid w:val="002D516B"/>
    <w:rsid w:val="002D529E"/>
    <w:rsid w:val="002D55C7"/>
    <w:rsid w:val="002D56D5"/>
    <w:rsid w:val="002D5799"/>
    <w:rsid w:val="002D5B31"/>
    <w:rsid w:val="002D5FD4"/>
    <w:rsid w:val="002D607D"/>
    <w:rsid w:val="002D61B9"/>
    <w:rsid w:val="002D6202"/>
    <w:rsid w:val="002D6373"/>
    <w:rsid w:val="002D637E"/>
    <w:rsid w:val="002D639B"/>
    <w:rsid w:val="002D642C"/>
    <w:rsid w:val="002D65B7"/>
    <w:rsid w:val="002D6691"/>
    <w:rsid w:val="002D6697"/>
    <w:rsid w:val="002D6793"/>
    <w:rsid w:val="002D694D"/>
    <w:rsid w:val="002D69E1"/>
    <w:rsid w:val="002D6E61"/>
    <w:rsid w:val="002D6EC2"/>
    <w:rsid w:val="002D7046"/>
    <w:rsid w:val="002D7293"/>
    <w:rsid w:val="002D74D1"/>
    <w:rsid w:val="002D7556"/>
    <w:rsid w:val="002D7647"/>
    <w:rsid w:val="002D7889"/>
    <w:rsid w:val="002D78D3"/>
    <w:rsid w:val="002D7B1B"/>
    <w:rsid w:val="002D7BAB"/>
    <w:rsid w:val="002D7F4C"/>
    <w:rsid w:val="002E010B"/>
    <w:rsid w:val="002E01DC"/>
    <w:rsid w:val="002E0354"/>
    <w:rsid w:val="002E0610"/>
    <w:rsid w:val="002E0D8B"/>
    <w:rsid w:val="002E0DDF"/>
    <w:rsid w:val="002E0E19"/>
    <w:rsid w:val="002E0F5A"/>
    <w:rsid w:val="002E1668"/>
    <w:rsid w:val="002E16E9"/>
    <w:rsid w:val="002E171A"/>
    <w:rsid w:val="002E1B0E"/>
    <w:rsid w:val="002E1E39"/>
    <w:rsid w:val="002E1F15"/>
    <w:rsid w:val="002E1F3D"/>
    <w:rsid w:val="002E2006"/>
    <w:rsid w:val="002E2191"/>
    <w:rsid w:val="002E21D0"/>
    <w:rsid w:val="002E24C8"/>
    <w:rsid w:val="002E24E1"/>
    <w:rsid w:val="002E2505"/>
    <w:rsid w:val="002E2589"/>
    <w:rsid w:val="002E2599"/>
    <w:rsid w:val="002E2606"/>
    <w:rsid w:val="002E27B7"/>
    <w:rsid w:val="002E29C7"/>
    <w:rsid w:val="002E2AA9"/>
    <w:rsid w:val="002E2B75"/>
    <w:rsid w:val="002E2C6F"/>
    <w:rsid w:val="002E343E"/>
    <w:rsid w:val="002E35A3"/>
    <w:rsid w:val="002E35F5"/>
    <w:rsid w:val="002E3B07"/>
    <w:rsid w:val="002E3D53"/>
    <w:rsid w:val="002E3EB4"/>
    <w:rsid w:val="002E4030"/>
    <w:rsid w:val="002E409C"/>
    <w:rsid w:val="002E426B"/>
    <w:rsid w:val="002E45A1"/>
    <w:rsid w:val="002E4660"/>
    <w:rsid w:val="002E4895"/>
    <w:rsid w:val="002E5171"/>
    <w:rsid w:val="002E52D3"/>
    <w:rsid w:val="002E551F"/>
    <w:rsid w:val="002E5649"/>
    <w:rsid w:val="002E591D"/>
    <w:rsid w:val="002E59B9"/>
    <w:rsid w:val="002E59C1"/>
    <w:rsid w:val="002E5C3E"/>
    <w:rsid w:val="002E5D5B"/>
    <w:rsid w:val="002E5DA3"/>
    <w:rsid w:val="002E5FD0"/>
    <w:rsid w:val="002E60E3"/>
    <w:rsid w:val="002E617C"/>
    <w:rsid w:val="002E628D"/>
    <w:rsid w:val="002E6327"/>
    <w:rsid w:val="002E6473"/>
    <w:rsid w:val="002E64C8"/>
    <w:rsid w:val="002E6872"/>
    <w:rsid w:val="002E6C53"/>
    <w:rsid w:val="002E6CDA"/>
    <w:rsid w:val="002E6DCF"/>
    <w:rsid w:val="002E6E78"/>
    <w:rsid w:val="002E70CC"/>
    <w:rsid w:val="002E70F5"/>
    <w:rsid w:val="002E74FE"/>
    <w:rsid w:val="002E75FB"/>
    <w:rsid w:val="002E77FC"/>
    <w:rsid w:val="002E7AB5"/>
    <w:rsid w:val="002E7AFA"/>
    <w:rsid w:val="002F00A7"/>
    <w:rsid w:val="002F00DA"/>
    <w:rsid w:val="002F0172"/>
    <w:rsid w:val="002F040C"/>
    <w:rsid w:val="002F04A0"/>
    <w:rsid w:val="002F04BD"/>
    <w:rsid w:val="002F0755"/>
    <w:rsid w:val="002F07D0"/>
    <w:rsid w:val="002F097D"/>
    <w:rsid w:val="002F0A9D"/>
    <w:rsid w:val="002F0B1C"/>
    <w:rsid w:val="002F0BA3"/>
    <w:rsid w:val="002F10B6"/>
    <w:rsid w:val="002F170C"/>
    <w:rsid w:val="002F1770"/>
    <w:rsid w:val="002F185B"/>
    <w:rsid w:val="002F19E1"/>
    <w:rsid w:val="002F1AB7"/>
    <w:rsid w:val="002F1CCF"/>
    <w:rsid w:val="002F2095"/>
    <w:rsid w:val="002F234A"/>
    <w:rsid w:val="002F2471"/>
    <w:rsid w:val="002F2488"/>
    <w:rsid w:val="002F25CF"/>
    <w:rsid w:val="002F2796"/>
    <w:rsid w:val="002F27E2"/>
    <w:rsid w:val="002F2821"/>
    <w:rsid w:val="002F28F3"/>
    <w:rsid w:val="002F28FF"/>
    <w:rsid w:val="002F29FF"/>
    <w:rsid w:val="002F2B3A"/>
    <w:rsid w:val="002F2BA5"/>
    <w:rsid w:val="002F2BF7"/>
    <w:rsid w:val="002F307E"/>
    <w:rsid w:val="002F31C4"/>
    <w:rsid w:val="002F3399"/>
    <w:rsid w:val="002F3855"/>
    <w:rsid w:val="002F3B7C"/>
    <w:rsid w:val="002F3DC7"/>
    <w:rsid w:val="002F3ECD"/>
    <w:rsid w:val="002F4183"/>
    <w:rsid w:val="002F4721"/>
    <w:rsid w:val="002F4974"/>
    <w:rsid w:val="002F49DA"/>
    <w:rsid w:val="002F4AC3"/>
    <w:rsid w:val="002F4CB8"/>
    <w:rsid w:val="002F4CF3"/>
    <w:rsid w:val="002F4E74"/>
    <w:rsid w:val="002F5068"/>
    <w:rsid w:val="002F5386"/>
    <w:rsid w:val="002F5555"/>
    <w:rsid w:val="002F55B1"/>
    <w:rsid w:val="002F55DD"/>
    <w:rsid w:val="002F598F"/>
    <w:rsid w:val="002F5B80"/>
    <w:rsid w:val="002F5B87"/>
    <w:rsid w:val="002F5D3D"/>
    <w:rsid w:val="002F5DDB"/>
    <w:rsid w:val="002F5DF1"/>
    <w:rsid w:val="002F611D"/>
    <w:rsid w:val="002F624A"/>
    <w:rsid w:val="002F6D9D"/>
    <w:rsid w:val="002F7362"/>
    <w:rsid w:val="002F7891"/>
    <w:rsid w:val="002F790F"/>
    <w:rsid w:val="002F7C27"/>
    <w:rsid w:val="002F7EFA"/>
    <w:rsid w:val="003000CC"/>
    <w:rsid w:val="003001C0"/>
    <w:rsid w:val="0030034D"/>
    <w:rsid w:val="00300385"/>
    <w:rsid w:val="003003C4"/>
    <w:rsid w:val="00300526"/>
    <w:rsid w:val="00300571"/>
    <w:rsid w:val="00300719"/>
    <w:rsid w:val="003007C5"/>
    <w:rsid w:val="00300968"/>
    <w:rsid w:val="00300B66"/>
    <w:rsid w:val="00300CAE"/>
    <w:rsid w:val="00300EEE"/>
    <w:rsid w:val="00300F91"/>
    <w:rsid w:val="00301070"/>
    <w:rsid w:val="003017DD"/>
    <w:rsid w:val="00301820"/>
    <w:rsid w:val="00301A4D"/>
    <w:rsid w:val="00301CFB"/>
    <w:rsid w:val="00301F50"/>
    <w:rsid w:val="003027B4"/>
    <w:rsid w:val="00302D62"/>
    <w:rsid w:val="00302FDC"/>
    <w:rsid w:val="00302FEF"/>
    <w:rsid w:val="0030331B"/>
    <w:rsid w:val="00303402"/>
    <w:rsid w:val="003035A1"/>
    <w:rsid w:val="0030366D"/>
    <w:rsid w:val="0030368B"/>
    <w:rsid w:val="003037E7"/>
    <w:rsid w:val="0030384A"/>
    <w:rsid w:val="00303A52"/>
    <w:rsid w:val="00303AC1"/>
    <w:rsid w:val="00303F82"/>
    <w:rsid w:val="00304129"/>
    <w:rsid w:val="00304718"/>
    <w:rsid w:val="00304F83"/>
    <w:rsid w:val="0030500E"/>
    <w:rsid w:val="00305FBA"/>
    <w:rsid w:val="00306712"/>
    <w:rsid w:val="0030690B"/>
    <w:rsid w:val="00306B2F"/>
    <w:rsid w:val="00306DE5"/>
    <w:rsid w:val="00306F84"/>
    <w:rsid w:val="003072D7"/>
    <w:rsid w:val="00307357"/>
    <w:rsid w:val="0030755F"/>
    <w:rsid w:val="003076F1"/>
    <w:rsid w:val="00307C64"/>
    <w:rsid w:val="00307E4D"/>
    <w:rsid w:val="003103F2"/>
    <w:rsid w:val="00310550"/>
    <w:rsid w:val="0031065D"/>
    <w:rsid w:val="00310D29"/>
    <w:rsid w:val="00310E21"/>
    <w:rsid w:val="0031181A"/>
    <w:rsid w:val="00311BBE"/>
    <w:rsid w:val="00311E10"/>
    <w:rsid w:val="00311E5F"/>
    <w:rsid w:val="00312129"/>
    <w:rsid w:val="0031215D"/>
    <w:rsid w:val="003121DA"/>
    <w:rsid w:val="003124C6"/>
    <w:rsid w:val="00312580"/>
    <w:rsid w:val="00312A7C"/>
    <w:rsid w:val="00312F54"/>
    <w:rsid w:val="00312FCF"/>
    <w:rsid w:val="00312FFF"/>
    <w:rsid w:val="0031373F"/>
    <w:rsid w:val="00313A1E"/>
    <w:rsid w:val="00313B2E"/>
    <w:rsid w:val="003140FD"/>
    <w:rsid w:val="0031415E"/>
    <w:rsid w:val="00314797"/>
    <w:rsid w:val="00314A45"/>
    <w:rsid w:val="00314D71"/>
    <w:rsid w:val="0031511B"/>
    <w:rsid w:val="003152FF"/>
    <w:rsid w:val="0031530A"/>
    <w:rsid w:val="0031534E"/>
    <w:rsid w:val="0031549D"/>
    <w:rsid w:val="003154D7"/>
    <w:rsid w:val="00315742"/>
    <w:rsid w:val="00315867"/>
    <w:rsid w:val="0031591F"/>
    <w:rsid w:val="00315976"/>
    <w:rsid w:val="00315C0D"/>
    <w:rsid w:val="00315DFD"/>
    <w:rsid w:val="00316061"/>
    <w:rsid w:val="003162F2"/>
    <w:rsid w:val="003163EB"/>
    <w:rsid w:val="00316872"/>
    <w:rsid w:val="00316875"/>
    <w:rsid w:val="00316A9C"/>
    <w:rsid w:val="00316E00"/>
    <w:rsid w:val="00316E9B"/>
    <w:rsid w:val="00316F51"/>
    <w:rsid w:val="003173EA"/>
    <w:rsid w:val="00317490"/>
    <w:rsid w:val="003176AE"/>
    <w:rsid w:val="0031770B"/>
    <w:rsid w:val="00317ACA"/>
    <w:rsid w:val="00317B70"/>
    <w:rsid w:val="00317B79"/>
    <w:rsid w:val="00317FA3"/>
    <w:rsid w:val="00317FF4"/>
    <w:rsid w:val="0032069D"/>
    <w:rsid w:val="00320926"/>
    <w:rsid w:val="003209B1"/>
    <w:rsid w:val="00320E42"/>
    <w:rsid w:val="00320F14"/>
    <w:rsid w:val="003211A1"/>
    <w:rsid w:val="003212BB"/>
    <w:rsid w:val="00321576"/>
    <w:rsid w:val="003215A5"/>
    <w:rsid w:val="00321B80"/>
    <w:rsid w:val="00321BAE"/>
    <w:rsid w:val="00321F66"/>
    <w:rsid w:val="00321FC8"/>
    <w:rsid w:val="00321FD2"/>
    <w:rsid w:val="0032265B"/>
    <w:rsid w:val="0032283D"/>
    <w:rsid w:val="00322B5B"/>
    <w:rsid w:val="00323571"/>
    <w:rsid w:val="003237DA"/>
    <w:rsid w:val="0032380A"/>
    <w:rsid w:val="00323891"/>
    <w:rsid w:val="00323A37"/>
    <w:rsid w:val="00323BAC"/>
    <w:rsid w:val="00323BB8"/>
    <w:rsid w:val="00323E3E"/>
    <w:rsid w:val="003241A6"/>
    <w:rsid w:val="00324678"/>
    <w:rsid w:val="0032491F"/>
    <w:rsid w:val="00324A4F"/>
    <w:rsid w:val="00324ED2"/>
    <w:rsid w:val="00324FDD"/>
    <w:rsid w:val="0032514B"/>
    <w:rsid w:val="00325162"/>
    <w:rsid w:val="0032518C"/>
    <w:rsid w:val="00325392"/>
    <w:rsid w:val="003257EB"/>
    <w:rsid w:val="0032599D"/>
    <w:rsid w:val="00325ABA"/>
    <w:rsid w:val="00325C46"/>
    <w:rsid w:val="00325C84"/>
    <w:rsid w:val="0032669B"/>
    <w:rsid w:val="0032697F"/>
    <w:rsid w:val="003269F6"/>
    <w:rsid w:val="00326A18"/>
    <w:rsid w:val="00326A25"/>
    <w:rsid w:val="00326A84"/>
    <w:rsid w:val="00326C51"/>
    <w:rsid w:val="003270B5"/>
    <w:rsid w:val="0032723D"/>
    <w:rsid w:val="003272A4"/>
    <w:rsid w:val="00327574"/>
    <w:rsid w:val="0032760F"/>
    <w:rsid w:val="00327761"/>
    <w:rsid w:val="00327820"/>
    <w:rsid w:val="00327840"/>
    <w:rsid w:val="003278CA"/>
    <w:rsid w:val="00327A4E"/>
    <w:rsid w:val="00327B73"/>
    <w:rsid w:val="00327C72"/>
    <w:rsid w:val="00327D15"/>
    <w:rsid w:val="00327D63"/>
    <w:rsid w:val="00327DC2"/>
    <w:rsid w:val="00327FBC"/>
    <w:rsid w:val="003301EF"/>
    <w:rsid w:val="003303F6"/>
    <w:rsid w:val="00330833"/>
    <w:rsid w:val="00330BB1"/>
    <w:rsid w:val="00330D7E"/>
    <w:rsid w:val="0033101F"/>
    <w:rsid w:val="0033147F"/>
    <w:rsid w:val="00331566"/>
    <w:rsid w:val="003315F9"/>
    <w:rsid w:val="00331741"/>
    <w:rsid w:val="00331901"/>
    <w:rsid w:val="00331949"/>
    <w:rsid w:val="003319CE"/>
    <w:rsid w:val="00331AEE"/>
    <w:rsid w:val="00331B4C"/>
    <w:rsid w:val="00331B6C"/>
    <w:rsid w:val="00331BA8"/>
    <w:rsid w:val="00331FC7"/>
    <w:rsid w:val="003322CA"/>
    <w:rsid w:val="00332352"/>
    <w:rsid w:val="003323BF"/>
    <w:rsid w:val="00332577"/>
    <w:rsid w:val="00332742"/>
    <w:rsid w:val="0033281C"/>
    <w:rsid w:val="00332B04"/>
    <w:rsid w:val="00332B80"/>
    <w:rsid w:val="00332BE5"/>
    <w:rsid w:val="00332CB6"/>
    <w:rsid w:val="003332FD"/>
    <w:rsid w:val="00333532"/>
    <w:rsid w:val="00333777"/>
    <w:rsid w:val="003337D3"/>
    <w:rsid w:val="00333898"/>
    <w:rsid w:val="00333BEE"/>
    <w:rsid w:val="0033415B"/>
    <w:rsid w:val="003344B3"/>
    <w:rsid w:val="00334B6E"/>
    <w:rsid w:val="00334BC3"/>
    <w:rsid w:val="00334CD1"/>
    <w:rsid w:val="003352B7"/>
    <w:rsid w:val="0033590F"/>
    <w:rsid w:val="00335B6C"/>
    <w:rsid w:val="00335CA8"/>
    <w:rsid w:val="00335E60"/>
    <w:rsid w:val="00336241"/>
    <w:rsid w:val="0033624F"/>
    <w:rsid w:val="0033669B"/>
    <w:rsid w:val="00336785"/>
    <w:rsid w:val="00336BE6"/>
    <w:rsid w:val="00336CA2"/>
    <w:rsid w:val="00336E2D"/>
    <w:rsid w:val="00336EBB"/>
    <w:rsid w:val="00336EF6"/>
    <w:rsid w:val="003372DD"/>
    <w:rsid w:val="0033737D"/>
    <w:rsid w:val="003374B8"/>
    <w:rsid w:val="003375D4"/>
    <w:rsid w:val="003375F2"/>
    <w:rsid w:val="00337B8E"/>
    <w:rsid w:val="00337BE2"/>
    <w:rsid w:val="00337C52"/>
    <w:rsid w:val="00337CDB"/>
    <w:rsid w:val="00337D7E"/>
    <w:rsid w:val="00337DF3"/>
    <w:rsid w:val="00340074"/>
    <w:rsid w:val="00340172"/>
    <w:rsid w:val="003401A5"/>
    <w:rsid w:val="0034020A"/>
    <w:rsid w:val="003404B5"/>
    <w:rsid w:val="0034050B"/>
    <w:rsid w:val="003405DB"/>
    <w:rsid w:val="003407AA"/>
    <w:rsid w:val="00340DB9"/>
    <w:rsid w:val="00341150"/>
    <w:rsid w:val="00341236"/>
    <w:rsid w:val="0034131A"/>
    <w:rsid w:val="003413FA"/>
    <w:rsid w:val="0034177F"/>
    <w:rsid w:val="0034179C"/>
    <w:rsid w:val="003419F0"/>
    <w:rsid w:val="00341BA8"/>
    <w:rsid w:val="00341C8E"/>
    <w:rsid w:val="00341C90"/>
    <w:rsid w:val="00341CC4"/>
    <w:rsid w:val="00342719"/>
    <w:rsid w:val="003427DF"/>
    <w:rsid w:val="00342AA0"/>
    <w:rsid w:val="00342E9D"/>
    <w:rsid w:val="00343033"/>
    <w:rsid w:val="003431CA"/>
    <w:rsid w:val="0034325E"/>
    <w:rsid w:val="0034327B"/>
    <w:rsid w:val="0034363A"/>
    <w:rsid w:val="003437BC"/>
    <w:rsid w:val="0034382A"/>
    <w:rsid w:val="0034390E"/>
    <w:rsid w:val="00343925"/>
    <w:rsid w:val="003439B2"/>
    <w:rsid w:val="00343CC5"/>
    <w:rsid w:val="0034400B"/>
    <w:rsid w:val="00344020"/>
    <w:rsid w:val="003440C8"/>
    <w:rsid w:val="00344165"/>
    <w:rsid w:val="003441AA"/>
    <w:rsid w:val="00344441"/>
    <w:rsid w:val="003445C7"/>
    <w:rsid w:val="0034468D"/>
    <w:rsid w:val="003446C0"/>
    <w:rsid w:val="00344BA5"/>
    <w:rsid w:val="00344BC2"/>
    <w:rsid w:val="00344E8F"/>
    <w:rsid w:val="00345554"/>
    <w:rsid w:val="00345759"/>
    <w:rsid w:val="00345885"/>
    <w:rsid w:val="00345B25"/>
    <w:rsid w:val="00345E87"/>
    <w:rsid w:val="003462C3"/>
    <w:rsid w:val="0034641C"/>
    <w:rsid w:val="00346640"/>
    <w:rsid w:val="0034684F"/>
    <w:rsid w:val="00346B2B"/>
    <w:rsid w:val="00346BDD"/>
    <w:rsid w:val="00346CB1"/>
    <w:rsid w:val="00346DC9"/>
    <w:rsid w:val="00346E12"/>
    <w:rsid w:val="00347384"/>
    <w:rsid w:val="003473F5"/>
    <w:rsid w:val="0034754B"/>
    <w:rsid w:val="003475AD"/>
    <w:rsid w:val="003476E5"/>
    <w:rsid w:val="003479EA"/>
    <w:rsid w:val="0035001A"/>
    <w:rsid w:val="0035028E"/>
    <w:rsid w:val="003503A8"/>
    <w:rsid w:val="00350493"/>
    <w:rsid w:val="003504D7"/>
    <w:rsid w:val="003508C0"/>
    <w:rsid w:val="00350957"/>
    <w:rsid w:val="003509FB"/>
    <w:rsid w:val="00350B94"/>
    <w:rsid w:val="00351145"/>
    <w:rsid w:val="003511A2"/>
    <w:rsid w:val="003512A0"/>
    <w:rsid w:val="003515CF"/>
    <w:rsid w:val="00351834"/>
    <w:rsid w:val="003519D6"/>
    <w:rsid w:val="00351B68"/>
    <w:rsid w:val="00351C3D"/>
    <w:rsid w:val="00351C83"/>
    <w:rsid w:val="00351CD7"/>
    <w:rsid w:val="00351E4B"/>
    <w:rsid w:val="00351F4D"/>
    <w:rsid w:val="00352138"/>
    <w:rsid w:val="003521DC"/>
    <w:rsid w:val="00352448"/>
    <w:rsid w:val="0035246A"/>
    <w:rsid w:val="003524D1"/>
    <w:rsid w:val="003525BE"/>
    <w:rsid w:val="00352931"/>
    <w:rsid w:val="003529A6"/>
    <w:rsid w:val="003529D0"/>
    <w:rsid w:val="00352A65"/>
    <w:rsid w:val="003530A8"/>
    <w:rsid w:val="003534DA"/>
    <w:rsid w:val="00353532"/>
    <w:rsid w:val="0035370A"/>
    <w:rsid w:val="0035399E"/>
    <w:rsid w:val="003539DA"/>
    <w:rsid w:val="003539DF"/>
    <w:rsid w:val="00353ACB"/>
    <w:rsid w:val="00353B22"/>
    <w:rsid w:val="00353D6E"/>
    <w:rsid w:val="00353EF7"/>
    <w:rsid w:val="00353F09"/>
    <w:rsid w:val="00353F3C"/>
    <w:rsid w:val="00354073"/>
    <w:rsid w:val="003541E1"/>
    <w:rsid w:val="00354399"/>
    <w:rsid w:val="003543CA"/>
    <w:rsid w:val="00354478"/>
    <w:rsid w:val="00354651"/>
    <w:rsid w:val="00354683"/>
    <w:rsid w:val="003547E6"/>
    <w:rsid w:val="00354A4F"/>
    <w:rsid w:val="00354A87"/>
    <w:rsid w:val="00354C3A"/>
    <w:rsid w:val="00355229"/>
    <w:rsid w:val="003554AD"/>
    <w:rsid w:val="00355750"/>
    <w:rsid w:val="00355928"/>
    <w:rsid w:val="0035597B"/>
    <w:rsid w:val="00355B63"/>
    <w:rsid w:val="00355FDF"/>
    <w:rsid w:val="0035644D"/>
    <w:rsid w:val="00356487"/>
    <w:rsid w:val="00356624"/>
    <w:rsid w:val="00356711"/>
    <w:rsid w:val="003567DB"/>
    <w:rsid w:val="003567DC"/>
    <w:rsid w:val="0035689A"/>
    <w:rsid w:val="003568D4"/>
    <w:rsid w:val="00356A8E"/>
    <w:rsid w:val="00356ACF"/>
    <w:rsid w:val="00356B1D"/>
    <w:rsid w:val="00356EC3"/>
    <w:rsid w:val="00356F63"/>
    <w:rsid w:val="0035704D"/>
    <w:rsid w:val="003571F4"/>
    <w:rsid w:val="003572EB"/>
    <w:rsid w:val="003573DB"/>
    <w:rsid w:val="003573EE"/>
    <w:rsid w:val="00357736"/>
    <w:rsid w:val="00357853"/>
    <w:rsid w:val="003578CB"/>
    <w:rsid w:val="00357E70"/>
    <w:rsid w:val="0036010E"/>
    <w:rsid w:val="00360153"/>
    <w:rsid w:val="0036024E"/>
    <w:rsid w:val="003603C0"/>
    <w:rsid w:val="00360408"/>
    <w:rsid w:val="00360487"/>
    <w:rsid w:val="00360624"/>
    <w:rsid w:val="0036062E"/>
    <w:rsid w:val="00360772"/>
    <w:rsid w:val="003609CF"/>
    <w:rsid w:val="00360B5D"/>
    <w:rsid w:val="00360B85"/>
    <w:rsid w:val="00360DA6"/>
    <w:rsid w:val="00360E77"/>
    <w:rsid w:val="00360F6F"/>
    <w:rsid w:val="00360F83"/>
    <w:rsid w:val="00360FE4"/>
    <w:rsid w:val="00361161"/>
    <w:rsid w:val="0036120E"/>
    <w:rsid w:val="00361278"/>
    <w:rsid w:val="0036149D"/>
    <w:rsid w:val="00361555"/>
    <w:rsid w:val="0036156D"/>
    <w:rsid w:val="0036161F"/>
    <w:rsid w:val="0036199C"/>
    <w:rsid w:val="00361E50"/>
    <w:rsid w:val="003620BE"/>
    <w:rsid w:val="003622B0"/>
    <w:rsid w:val="003625A7"/>
    <w:rsid w:val="003625AD"/>
    <w:rsid w:val="003629E2"/>
    <w:rsid w:val="00362CF7"/>
    <w:rsid w:val="00362E11"/>
    <w:rsid w:val="003631C5"/>
    <w:rsid w:val="003635F5"/>
    <w:rsid w:val="003637E0"/>
    <w:rsid w:val="0036390D"/>
    <w:rsid w:val="0036392E"/>
    <w:rsid w:val="00363960"/>
    <w:rsid w:val="00363B89"/>
    <w:rsid w:val="00363D08"/>
    <w:rsid w:val="00363EB2"/>
    <w:rsid w:val="0036401B"/>
    <w:rsid w:val="0036421F"/>
    <w:rsid w:val="00364397"/>
    <w:rsid w:val="003643B8"/>
    <w:rsid w:val="003643C6"/>
    <w:rsid w:val="003644DC"/>
    <w:rsid w:val="0036464D"/>
    <w:rsid w:val="003647F3"/>
    <w:rsid w:val="003649AA"/>
    <w:rsid w:val="00364ABE"/>
    <w:rsid w:val="00364DD3"/>
    <w:rsid w:val="00365052"/>
    <w:rsid w:val="003650A5"/>
    <w:rsid w:val="00365439"/>
    <w:rsid w:val="00365773"/>
    <w:rsid w:val="003658C7"/>
    <w:rsid w:val="00365C81"/>
    <w:rsid w:val="00365E03"/>
    <w:rsid w:val="00365EE5"/>
    <w:rsid w:val="003660D9"/>
    <w:rsid w:val="003663AB"/>
    <w:rsid w:val="003663D6"/>
    <w:rsid w:val="0036642B"/>
    <w:rsid w:val="00366431"/>
    <w:rsid w:val="003664C0"/>
    <w:rsid w:val="00366504"/>
    <w:rsid w:val="003667A1"/>
    <w:rsid w:val="00366867"/>
    <w:rsid w:val="00366AA7"/>
    <w:rsid w:val="00366FFF"/>
    <w:rsid w:val="0036704E"/>
    <w:rsid w:val="00367101"/>
    <w:rsid w:val="00367670"/>
    <w:rsid w:val="003679D4"/>
    <w:rsid w:val="00367B44"/>
    <w:rsid w:val="00367F58"/>
    <w:rsid w:val="003702BD"/>
    <w:rsid w:val="00370407"/>
    <w:rsid w:val="003704F6"/>
    <w:rsid w:val="0037051D"/>
    <w:rsid w:val="0037070D"/>
    <w:rsid w:val="00370982"/>
    <w:rsid w:val="00370A52"/>
    <w:rsid w:val="00370A97"/>
    <w:rsid w:val="00370AC3"/>
    <w:rsid w:val="00370E23"/>
    <w:rsid w:val="00370F21"/>
    <w:rsid w:val="00370F60"/>
    <w:rsid w:val="00370FD8"/>
    <w:rsid w:val="00371013"/>
    <w:rsid w:val="0037106D"/>
    <w:rsid w:val="003713BE"/>
    <w:rsid w:val="00371430"/>
    <w:rsid w:val="00371459"/>
    <w:rsid w:val="003714B9"/>
    <w:rsid w:val="00371517"/>
    <w:rsid w:val="003716F4"/>
    <w:rsid w:val="003716F8"/>
    <w:rsid w:val="00371A6F"/>
    <w:rsid w:val="00371F09"/>
    <w:rsid w:val="00371FE6"/>
    <w:rsid w:val="00372104"/>
    <w:rsid w:val="0037236F"/>
    <w:rsid w:val="0037238D"/>
    <w:rsid w:val="00372521"/>
    <w:rsid w:val="0037253A"/>
    <w:rsid w:val="00372BB2"/>
    <w:rsid w:val="00372F78"/>
    <w:rsid w:val="00373266"/>
    <w:rsid w:val="0037335E"/>
    <w:rsid w:val="003733C2"/>
    <w:rsid w:val="00373439"/>
    <w:rsid w:val="003734F4"/>
    <w:rsid w:val="0037390A"/>
    <w:rsid w:val="00373A0F"/>
    <w:rsid w:val="00373B9C"/>
    <w:rsid w:val="00373DAB"/>
    <w:rsid w:val="00373EF7"/>
    <w:rsid w:val="00373F4A"/>
    <w:rsid w:val="0037427A"/>
    <w:rsid w:val="003742DE"/>
    <w:rsid w:val="00374708"/>
    <w:rsid w:val="00374773"/>
    <w:rsid w:val="003748E1"/>
    <w:rsid w:val="003750EF"/>
    <w:rsid w:val="0037532D"/>
    <w:rsid w:val="003756B9"/>
    <w:rsid w:val="0037585E"/>
    <w:rsid w:val="00375B0B"/>
    <w:rsid w:val="00376134"/>
    <w:rsid w:val="0037625A"/>
    <w:rsid w:val="00376274"/>
    <w:rsid w:val="003762EF"/>
    <w:rsid w:val="003763A4"/>
    <w:rsid w:val="0037675F"/>
    <w:rsid w:val="003767D6"/>
    <w:rsid w:val="00376966"/>
    <w:rsid w:val="00376A22"/>
    <w:rsid w:val="00376AF1"/>
    <w:rsid w:val="00376DD5"/>
    <w:rsid w:val="003771E3"/>
    <w:rsid w:val="0037759E"/>
    <w:rsid w:val="00377604"/>
    <w:rsid w:val="00377974"/>
    <w:rsid w:val="00377AF0"/>
    <w:rsid w:val="00377E11"/>
    <w:rsid w:val="00377EAB"/>
    <w:rsid w:val="00377FF9"/>
    <w:rsid w:val="00380191"/>
    <w:rsid w:val="00380360"/>
    <w:rsid w:val="003805C8"/>
    <w:rsid w:val="003806C6"/>
    <w:rsid w:val="00380884"/>
    <w:rsid w:val="00380AE0"/>
    <w:rsid w:val="00380B68"/>
    <w:rsid w:val="00380FBF"/>
    <w:rsid w:val="0038100A"/>
    <w:rsid w:val="003810DD"/>
    <w:rsid w:val="00381699"/>
    <w:rsid w:val="003816A4"/>
    <w:rsid w:val="003816DC"/>
    <w:rsid w:val="00381753"/>
    <w:rsid w:val="0038193B"/>
    <w:rsid w:val="00381B5E"/>
    <w:rsid w:val="00381B6E"/>
    <w:rsid w:val="00381BE1"/>
    <w:rsid w:val="00381CEF"/>
    <w:rsid w:val="00381D68"/>
    <w:rsid w:val="00382375"/>
    <w:rsid w:val="0038238A"/>
    <w:rsid w:val="0038242D"/>
    <w:rsid w:val="00382620"/>
    <w:rsid w:val="003828A0"/>
    <w:rsid w:val="00382A2C"/>
    <w:rsid w:val="00382FEF"/>
    <w:rsid w:val="0038313E"/>
    <w:rsid w:val="00383474"/>
    <w:rsid w:val="0038355A"/>
    <w:rsid w:val="00383A74"/>
    <w:rsid w:val="00383B2A"/>
    <w:rsid w:val="00383D92"/>
    <w:rsid w:val="00383EE8"/>
    <w:rsid w:val="00383FE3"/>
    <w:rsid w:val="003841E3"/>
    <w:rsid w:val="00384292"/>
    <w:rsid w:val="00384634"/>
    <w:rsid w:val="003848DA"/>
    <w:rsid w:val="00384D97"/>
    <w:rsid w:val="00384F12"/>
    <w:rsid w:val="003851AB"/>
    <w:rsid w:val="00385247"/>
    <w:rsid w:val="0038535D"/>
    <w:rsid w:val="003853B7"/>
    <w:rsid w:val="003854C2"/>
    <w:rsid w:val="00385662"/>
    <w:rsid w:val="00385B29"/>
    <w:rsid w:val="00385BD1"/>
    <w:rsid w:val="00385D93"/>
    <w:rsid w:val="00385E9B"/>
    <w:rsid w:val="00385EA2"/>
    <w:rsid w:val="00385FA4"/>
    <w:rsid w:val="003860A1"/>
    <w:rsid w:val="00386112"/>
    <w:rsid w:val="00386254"/>
    <w:rsid w:val="003863B7"/>
    <w:rsid w:val="003865C6"/>
    <w:rsid w:val="003869FE"/>
    <w:rsid w:val="00386CAD"/>
    <w:rsid w:val="00386D5A"/>
    <w:rsid w:val="0038755F"/>
    <w:rsid w:val="00387666"/>
    <w:rsid w:val="00387748"/>
    <w:rsid w:val="00387838"/>
    <w:rsid w:val="00387BD6"/>
    <w:rsid w:val="003900A8"/>
    <w:rsid w:val="00390631"/>
    <w:rsid w:val="00390CD6"/>
    <w:rsid w:val="00390CFA"/>
    <w:rsid w:val="00390EDF"/>
    <w:rsid w:val="00391153"/>
    <w:rsid w:val="0039131D"/>
    <w:rsid w:val="003914A1"/>
    <w:rsid w:val="0039150F"/>
    <w:rsid w:val="003916E2"/>
    <w:rsid w:val="00391AD6"/>
    <w:rsid w:val="00391E9B"/>
    <w:rsid w:val="00391EE9"/>
    <w:rsid w:val="0039228E"/>
    <w:rsid w:val="0039232E"/>
    <w:rsid w:val="00392601"/>
    <w:rsid w:val="003928C0"/>
    <w:rsid w:val="00392BD1"/>
    <w:rsid w:val="00392C56"/>
    <w:rsid w:val="00392CCF"/>
    <w:rsid w:val="00392FEA"/>
    <w:rsid w:val="00393017"/>
    <w:rsid w:val="00393143"/>
    <w:rsid w:val="003932E8"/>
    <w:rsid w:val="00393575"/>
    <w:rsid w:val="003935D7"/>
    <w:rsid w:val="00393C4F"/>
    <w:rsid w:val="00393E55"/>
    <w:rsid w:val="00393F2E"/>
    <w:rsid w:val="00393F47"/>
    <w:rsid w:val="00394212"/>
    <w:rsid w:val="00394365"/>
    <w:rsid w:val="00394790"/>
    <w:rsid w:val="003947F4"/>
    <w:rsid w:val="00394A86"/>
    <w:rsid w:val="00394AFC"/>
    <w:rsid w:val="00394C5A"/>
    <w:rsid w:val="003953A9"/>
    <w:rsid w:val="0039577A"/>
    <w:rsid w:val="0039593A"/>
    <w:rsid w:val="0039598E"/>
    <w:rsid w:val="00395AAC"/>
    <w:rsid w:val="00395DD7"/>
    <w:rsid w:val="00395E1A"/>
    <w:rsid w:val="00395EF0"/>
    <w:rsid w:val="0039601F"/>
    <w:rsid w:val="00396115"/>
    <w:rsid w:val="00396321"/>
    <w:rsid w:val="003963A7"/>
    <w:rsid w:val="003966D0"/>
    <w:rsid w:val="00396885"/>
    <w:rsid w:val="00396A82"/>
    <w:rsid w:val="003971CF"/>
    <w:rsid w:val="0039730C"/>
    <w:rsid w:val="00397342"/>
    <w:rsid w:val="003974CD"/>
    <w:rsid w:val="003975A4"/>
    <w:rsid w:val="003975E4"/>
    <w:rsid w:val="00397633"/>
    <w:rsid w:val="00397EC7"/>
    <w:rsid w:val="00397F80"/>
    <w:rsid w:val="003A0229"/>
    <w:rsid w:val="003A044A"/>
    <w:rsid w:val="003A04FC"/>
    <w:rsid w:val="003A052B"/>
    <w:rsid w:val="003A056F"/>
    <w:rsid w:val="003A07A1"/>
    <w:rsid w:val="003A08C4"/>
    <w:rsid w:val="003A0A80"/>
    <w:rsid w:val="003A0ADE"/>
    <w:rsid w:val="003A0C44"/>
    <w:rsid w:val="003A103C"/>
    <w:rsid w:val="003A15EF"/>
    <w:rsid w:val="003A19CC"/>
    <w:rsid w:val="003A1B60"/>
    <w:rsid w:val="003A1C16"/>
    <w:rsid w:val="003A1F1A"/>
    <w:rsid w:val="003A2201"/>
    <w:rsid w:val="003A22A3"/>
    <w:rsid w:val="003A244A"/>
    <w:rsid w:val="003A2815"/>
    <w:rsid w:val="003A3109"/>
    <w:rsid w:val="003A33DB"/>
    <w:rsid w:val="003A347F"/>
    <w:rsid w:val="003A34B1"/>
    <w:rsid w:val="003A34E6"/>
    <w:rsid w:val="003A3CFF"/>
    <w:rsid w:val="003A3D10"/>
    <w:rsid w:val="003A4B9A"/>
    <w:rsid w:val="003A4F08"/>
    <w:rsid w:val="003A4FAE"/>
    <w:rsid w:val="003A52AC"/>
    <w:rsid w:val="003A534F"/>
    <w:rsid w:val="003A535D"/>
    <w:rsid w:val="003A5360"/>
    <w:rsid w:val="003A53A4"/>
    <w:rsid w:val="003A544B"/>
    <w:rsid w:val="003A55B1"/>
    <w:rsid w:val="003A580F"/>
    <w:rsid w:val="003A5C23"/>
    <w:rsid w:val="003A5D71"/>
    <w:rsid w:val="003A5F5A"/>
    <w:rsid w:val="003A605B"/>
    <w:rsid w:val="003A6062"/>
    <w:rsid w:val="003A6084"/>
    <w:rsid w:val="003A61EC"/>
    <w:rsid w:val="003A6418"/>
    <w:rsid w:val="003A6631"/>
    <w:rsid w:val="003A6845"/>
    <w:rsid w:val="003A6B35"/>
    <w:rsid w:val="003A6D13"/>
    <w:rsid w:val="003A6DA0"/>
    <w:rsid w:val="003A7063"/>
    <w:rsid w:val="003A7474"/>
    <w:rsid w:val="003A7682"/>
    <w:rsid w:val="003A773D"/>
    <w:rsid w:val="003A7F81"/>
    <w:rsid w:val="003B01CC"/>
    <w:rsid w:val="003B0467"/>
    <w:rsid w:val="003B06E1"/>
    <w:rsid w:val="003B07D5"/>
    <w:rsid w:val="003B081F"/>
    <w:rsid w:val="003B0A76"/>
    <w:rsid w:val="003B0AFE"/>
    <w:rsid w:val="003B0BC5"/>
    <w:rsid w:val="003B0BD8"/>
    <w:rsid w:val="003B0C11"/>
    <w:rsid w:val="003B0DDA"/>
    <w:rsid w:val="003B0DE5"/>
    <w:rsid w:val="003B0E24"/>
    <w:rsid w:val="003B0F93"/>
    <w:rsid w:val="003B1558"/>
    <w:rsid w:val="003B15A5"/>
    <w:rsid w:val="003B17E3"/>
    <w:rsid w:val="003B1C14"/>
    <w:rsid w:val="003B1CB9"/>
    <w:rsid w:val="003B1DFB"/>
    <w:rsid w:val="003B204E"/>
    <w:rsid w:val="003B2144"/>
    <w:rsid w:val="003B21A2"/>
    <w:rsid w:val="003B29BD"/>
    <w:rsid w:val="003B2A41"/>
    <w:rsid w:val="003B2FBD"/>
    <w:rsid w:val="003B30FA"/>
    <w:rsid w:val="003B3367"/>
    <w:rsid w:val="003B3468"/>
    <w:rsid w:val="003B346D"/>
    <w:rsid w:val="003B3950"/>
    <w:rsid w:val="003B3BB7"/>
    <w:rsid w:val="003B3D50"/>
    <w:rsid w:val="003B3D87"/>
    <w:rsid w:val="003B3FA1"/>
    <w:rsid w:val="003B3FD4"/>
    <w:rsid w:val="003B43DB"/>
    <w:rsid w:val="003B4570"/>
    <w:rsid w:val="003B4590"/>
    <w:rsid w:val="003B4672"/>
    <w:rsid w:val="003B47D1"/>
    <w:rsid w:val="003B482A"/>
    <w:rsid w:val="003B4A70"/>
    <w:rsid w:val="003B4D7A"/>
    <w:rsid w:val="003B5697"/>
    <w:rsid w:val="003B5A6C"/>
    <w:rsid w:val="003B5AA5"/>
    <w:rsid w:val="003B62CC"/>
    <w:rsid w:val="003B67D2"/>
    <w:rsid w:val="003B6A39"/>
    <w:rsid w:val="003B6ABF"/>
    <w:rsid w:val="003B6CD9"/>
    <w:rsid w:val="003B6D59"/>
    <w:rsid w:val="003B70A5"/>
    <w:rsid w:val="003B73C6"/>
    <w:rsid w:val="003B75F0"/>
    <w:rsid w:val="003B7CA0"/>
    <w:rsid w:val="003B7D3C"/>
    <w:rsid w:val="003C0057"/>
    <w:rsid w:val="003C07C5"/>
    <w:rsid w:val="003C0902"/>
    <w:rsid w:val="003C0A0F"/>
    <w:rsid w:val="003C0AD3"/>
    <w:rsid w:val="003C0B61"/>
    <w:rsid w:val="003C0EFC"/>
    <w:rsid w:val="003C11A3"/>
    <w:rsid w:val="003C1324"/>
    <w:rsid w:val="003C1438"/>
    <w:rsid w:val="003C15A2"/>
    <w:rsid w:val="003C15CE"/>
    <w:rsid w:val="003C1C5C"/>
    <w:rsid w:val="003C1D02"/>
    <w:rsid w:val="003C2250"/>
    <w:rsid w:val="003C24EE"/>
    <w:rsid w:val="003C2954"/>
    <w:rsid w:val="003C29D0"/>
    <w:rsid w:val="003C29EC"/>
    <w:rsid w:val="003C2A3F"/>
    <w:rsid w:val="003C2F55"/>
    <w:rsid w:val="003C2FE5"/>
    <w:rsid w:val="003C34BA"/>
    <w:rsid w:val="003C3A21"/>
    <w:rsid w:val="003C3A8B"/>
    <w:rsid w:val="003C3B64"/>
    <w:rsid w:val="003C3D41"/>
    <w:rsid w:val="003C42BD"/>
    <w:rsid w:val="003C4490"/>
    <w:rsid w:val="003C44D2"/>
    <w:rsid w:val="003C4A00"/>
    <w:rsid w:val="003C4C68"/>
    <w:rsid w:val="003C4E9B"/>
    <w:rsid w:val="003C511A"/>
    <w:rsid w:val="003C52DF"/>
    <w:rsid w:val="003C552C"/>
    <w:rsid w:val="003C55C9"/>
    <w:rsid w:val="003C5A88"/>
    <w:rsid w:val="003C5AFB"/>
    <w:rsid w:val="003C5B1A"/>
    <w:rsid w:val="003C5C11"/>
    <w:rsid w:val="003C5D47"/>
    <w:rsid w:val="003C5F91"/>
    <w:rsid w:val="003C5FB7"/>
    <w:rsid w:val="003C6139"/>
    <w:rsid w:val="003C626D"/>
    <w:rsid w:val="003C62DA"/>
    <w:rsid w:val="003C65AA"/>
    <w:rsid w:val="003C6917"/>
    <w:rsid w:val="003C6970"/>
    <w:rsid w:val="003C6B92"/>
    <w:rsid w:val="003C6BEA"/>
    <w:rsid w:val="003C6CD0"/>
    <w:rsid w:val="003C6F2E"/>
    <w:rsid w:val="003C6F98"/>
    <w:rsid w:val="003C7118"/>
    <w:rsid w:val="003C7282"/>
    <w:rsid w:val="003C764A"/>
    <w:rsid w:val="003C768F"/>
    <w:rsid w:val="003C76CF"/>
    <w:rsid w:val="003C7828"/>
    <w:rsid w:val="003C7837"/>
    <w:rsid w:val="003C78C3"/>
    <w:rsid w:val="003C78F8"/>
    <w:rsid w:val="003C79A8"/>
    <w:rsid w:val="003C79DC"/>
    <w:rsid w:val="003C7CC8"/>
    <w:rsid w:val="003D01E8"/>
    <w:rsid w:val="003D036A"/>
    <w:rsid w:val="003D0581"/>
    <w:rsid w:val="003D06F6"/>
    <w:rsid w:val="003D0872"/>
    <w:rsid w:val="003D0C89"/>
    <w:rsid w:val="003D0DF5"/>
    <w:rsid w:val="003D1107"/>
    <w:rsid w:val="003D14A6"/>
    <w:rsid w:val="003D1890"/>
    <w:rsid w:val="003D196D"/>
    <w:rsid w:val="003D19C0"/>
    <w:rsid w:val="003D1DF0"/>
    <w:rsid w:val="003D1F2D"/>
    <w:rsid w:val="003D205D"/>
    <w:rsid w:val="003D227C"/>
    <w:rsid w:val="003D238B"/>
    <w:rsid w:val="003D2534"/>
    <w:rsid w:val="003D271B"/>
    <w:rsid w:val="003D27E1"/>
    <w:rsid w:val="003D29EE"/>
    <w:rsid w:val="003D2A7E"/>
    <w:rsid w:val="003D2A8E"/>
    <w:rsid w:val="003D2B43"/>
    <w:rsid w:val="003D2D70"/>
    <w:rsid w:val="003D2F48"/>
    <w:rsid w:val="003D3099"/>
    <w:rsid w:val="003D33EE"/>
    <w:rsid w:val="003D350F"/>
    <w:rsid w:val="003D3DF6"/>
    <w:rsid w:val="003D3EFA"/>
    <w:rsid w:val="003D3FB0"/>
    <w:rsid w:val="003D406E"/>
    <w:rsid w:val="003D4167"/>
    <w:rsid w:val="003D41F7"/>
    <w:rsid w:val="003D4704"/>
    <w:rsid w:val="003D4A08"/>
    <w:rsid w:val="003D4A46"/>
    <w:rsid w:val="003D4B08"/>
    <w:rsid w:val="003D4B12"/>
    <w:rsid w:val="003D4E80"/>
    <w:rsid w:val="003D4FFC"/>
    <w:rsid w:val="003D5220"/>
    <w:rsid w:val="003D5222"/>
    <w:rsid w:val="003D530D"/>
    <w:rsid w:val="003D5339"/>
    <w:rsid w:val="003D56BB"/>
    <w:rsid w:val="003D5B02"/>
    <w:rsid w:val="003D5BEE"/>
    <w:rsid w:val="003D5CBC"/>
    <w:rsid w:val="003D5E25"/>
    <w:rsid w:val="003D61F3"/>
    <w:rsid w:val="003D6465"/>
    <w:rsid w:val="003D65CE"/>
    <w:rsid w:val="003D66CA"/>
    <w:rsid w:val="003D69EF"/>
    <w:rsid w:val="003D6CB4"/>
    <w:rsid w:val="003D6D5F"/>
    <w:rsid w:val="003D6DDA"/>
    <w:rsid w:val="003D6F87"/>
    <w:rsid w:val="003D7055"/>
    <w:rsid w:val="003D708B"/>
    <w:rsid w:val="003D7384"/>
    <w:rsid w:val="003D781F"/>
    <w:rsid w:val="003D7851"/>
    <w:rsid w:val="003D7D39"/>
    <w:rsid w:val="003D7F6B"/>
    <w:rsid w:val="003E077A"/>
    <w:rsid w:val="003E091A"/>
    <w:rsid w:val="003E09E2"/>
    <w:rsid w:val="003E09F3"/>
    <w:rsid w:val="003E0A37"/>
    <w:rsid w:val="003E0B3B"/>
    <w:rsid w:val="003E10A9"/>
    <w:rsid w:val="003E120B"/>
    <w:rsid w:val="003E15CD"/>
    <w:rsid w:val="003E1944"/>
    <w:rsid w:val="003E1CB0"/>
    <w:rsid w:val="003E1CF0"/>
    <w:rsid w:val="003E1CF5"/>
    <w:rsid w:val="003E1FB2"/>
    <w:rsid w:val="003E211A"/>
    <w:rsid w:val="003E241A"/>
    <w:rsid w:val="003E25F7"/>
    <w:rsid w:val="003E2605"/>
    <w:rsid w:val="003E2850"/>
    <w:rsid w:val="003E2897"/>
    <w:rsid w:val="003E2941"/>
    <w:rsid w:val="003E2971"/>
    <w:rsid w:val="003E29AB"/>
    <w:rsid w:val="003E2A9B"/>
    <w:rsid w:val="003E2AB0"/>
    <w:rsid w:val="003E2C52"/>
    <w:rsid w:val="003E2D5D"/>
    <w:rsid w:val="003E2E3D"/>
    <w:rsid w:val="003E2EDD"/>
    <w:rsid w:val="003E2EE0"/>
    <w:rsid w:val="003E32CD"/>
    <w:rsid w:val="003E33AD"/>
    <w:rsid w:val="003E3451"/>
    <w:rsid w:val="003E35A2"/>
    <w:rsid w:val="003E397B"/>
    <w:rsid w:val="003E3A34"/>
    <w:rsid w:val="003E3BE7"/>
    <w:rsid w:val="003E3FFC"/>
    <w:rsid w:val="003E44C5"/>
    <w:rsid w:val="003E44D5"/>
    <w:rsid w:val="003E4879"/>
    <w:rsid w:val="003E4899"/>
    <w:rsid w:val="003E4945"/>
    <w:rsid w:val="003E4E30"/>
    <w:rsid w:val="003E4ECC"/>
    <w:rsid w:val="003E4F28"/>
    <w:rsid w:val="003E4F7A"/>
    <w:rsid w:val="003E4FCB"/>
    <w:rsid w:val="003E5047"/>
    <w:rsid w:val="003E5363"/>
    <w:rsid w:val="003E5439"/>
    <w:rsid w:val="003E553A"/>
    <w:rsid w:val="003E573D"/>
    <w:rsid w:val="003E592D"/>
    <w:rsid w:val="003E5A52"/>
    <w:rsid w:val="003E5ADD"/>
    <w:rsid w:val="003E5B8D"/>
    <w:rsid w:val="003E6156"/>
    <w:rsid w:val="003E624E"/>
    <w:rsid w:val="003E65AE"/>
    <w:rsid w:val="003E65CF"/>
    <w:rsid w:val="003E6847"/>
    <w:rsid w:val="003E6DF4"/>
    <w:rsid w:val="003E6EFC"/>
    <w:rsid w:val="003E701C"/>
    <w:rsid w:val="003E722B"/>
    <w:rsid w:val="003E75C6"/>
    <w:rsid w:val="003E7843"/>
    <w:rsid w:val="003E7954"/>
    <w:rsid w:val="003E7C45"/>
    <w:rsid w:val="003E7D28"/>
    <w:rsid w:val="003E7F03"/>
    <w:rsid w:val="003E7F2F"/>
    <w:rsid w:val="003E7F6C"/>
    <w:rsid w:val="003F009C"/>
    <w:rsid w:val="003F0218"/>
    <w:rsid w:val="003F0266"/>
    <w:rsid w:val="003F0321"/>
    <w:rsid w:val="003F0428"/>
    <w:rsid w:val="003F0994"/>
    <w:rsid w:val="003F09D8"/>
    <w:rsid w:val="003F0DF5"/>
    <w:rsid w:val="003F0F39"/>
    <w:rsid w:val="003F113B"/>
    <w:rsid w:val="003F11DB"/>
    <w:rsid w:val="003F12A5"/>
    <w:rsid w:val="003F18CF"/>
    <w:rsid w:val="003F19B6"/>
    <w:rsid w:val="003F1C13"/>
    <w:rsid w:val="003F20D9"/>
    <w:rsid w:val="003F3091"/>
    <w:rsid w:val="003F34C4"/>
    <w:rsid w:val="003F350A"/>
    <w:rsid w:val="003F377E"/>
    <w:rsid w:val="003F394E"/>
    <w:rsid w:val="003F3ACF"/>
    <w:rsid w:val="003F3BAF"/>
    <w:rsid w:val="003F3E7C"/>
    <w:rsid w:val="003F3E92"/>
    <w:rsid w:val="003F40F2"/>
    <w:rsid w:val="003F425E"/>
    <w:rsid w:val="003F42AC"/>
    <w:rsid w:val="003F446E"/>
    <w:rsid w:val="003F4847"/>
    <w:rsid w:val="003F4910"/>
    <w:rsid w:val="003F4917"/>
    <w:rsid w:val="003F49BD"/>
    <w:rsid w:val="003F4C56"/>
    <w:rsid w:val="003F4C78"/>
    <w:rsid w:val="003F4CB9"/>
    <w:rsid w:val="003F5077"/>
    <w:rsid w:val="003F51F5"/>
    <w:rsid w:val="003F5388"/>
    <w:rsid w:val="003F5412"/>
    <w:rsid w:val="003F54E3"/>
    <w:rsid w:val="003F564A"/>
    <w:rsid w:val="003F5C7F"/>
    <w:rsid w:val="003F5E1B"/>
    <w:rsid w:val="003F5FB5"/>
    <w:rsid w:val="003F605B"/>
    <w:rsid w:val="003F60B1"/>
    <w:rsid w:val="003F61B3"/>
    <w:rsid w:val="003F62CB"/>
    <w:rsid w:val="003F6318"/>
    <w:rsid w:val="003F68DA"/>
    <w:rsid w:val="003F69FC"/>
    <w:rsid w:val="003F6B28"/>
    <w:rsid w:val="003F6C0B"/>
    <w:rsid w:val="003F6EBA"/>
    <w:rsid w:val="003F6F37"/>
    <w:rsid w:val="003F6FF1"/>
    <w:rsid w:val="003F7389"/>
    <w:rsid w:val="003F743B"/>
    <w:rsid w:val="003F7611"/>
    <w:rsid w:val="003F7619"/>
    <w:rsid w:val="003F7784"/>
    <w:rsid w:val="003F78C3"/>
    <w:rsid w:val="003F794B"/>
    <w:rsid w:val="003F7B90"/>
    <w:rsid w:val="003F7C6E"/>
    <w:rsid w:val="003F7FCD"/>
    <w:rsid w:val="0040017A"/>
    <w:rsid w:val="004002D1"/>
    <w:rsid w:val="0040045F"/>
    <w:rsid w:val="0040076D"/>
    <w:rsid w:val="0040089A"/>
    <w:rsid w:val="00400C2E"/>
    <w:rsid w:val="00400CA9"/>
    <w:rsid w:val="00400CEC"/>
    <w:rsid w:val="0040117D"/>
    <w:rsid w:val="0040122B"/>
    <w:rsid w:val="0040134B"/>
    <w:rsid w:val="004017A8"/>
    <w:rsid w:val="00401B91"/>
    <w:rsid w:val="00401C41"/>
    <w:rsid w:val="00401FD5"/>
    <w:rsid w:val="00402454"/>
    <w:rsid w:val="00402768"/>
    <w:rsid w:val="004027A6"/>
    <w:rsid w:val="00402851"/>
    <w:rsid w:val="0040318E"/>
    <w:rsid w:val="00403260"/>
    <w:rsid w:val="00403304"/>
    <w:rsid w:val="00403719"/>
    <w:rsid w:val="0040395F"/>
    <w:rsid w:val="00403A58"/>
    <w:rsid w:val="00403B6C"/>
    <w:rsid w:val="00403DC3"/>
    <w:rsid w:val="00403EB1"/>
    <w:rsid w:val="0040418A"/>
    <w:rsid w:val="004042D8"/>
    <w:rsid w:val="00404327"/>
    <w:rsid w:val="0040475C"/>
    <w:rsid w:val="004047C5"/>
    <w:rsid w:val="0040481F"/>
    <w:rsid w:val="00404839"/>
    <w:rsid w:val="00404AB5"/>
    <w:rsid w:val="00404AC8"/>
    <w:rsid w:val="00404B59"/>
    <w:rsid w:val="00405941"/>
    <w:rsid w:val="00405987"/>
    <w:rsid w:val="004059A0"/>
    <w:rsid w:val="004059E7"/>
    <w:rsid w:val="00405D61"/>
    <w:rsid w:val="00406456"/>
    <w:rsid w:val="0040646C"/>
    <w:rsid w:val="004066FD"/>
    <w:rsid w:val="004067E9"/>
    <w:rsid w:val="0040696D"/>
    <w:rsid w:val="004069C9"/>
    <w:rsid w:val="00406C3F"/>
    <w:rsid w:val="00406D1A"/>
    <w:rsid w:val="00406DBD"/>
    <w:rsid w:val="00406F2A"/>
    <w:rsid w:val="00406F4E"/>
    <w:rsid w:val="00407338"/>
    <w:rsid w:val="004074B0"/>
    <w:rsid w:val="00407516"/>
    <w:rsid w:val="00407606"/>
    <w:rsid w:val="0040795E"/>
    <w:rsid w:val="00407B24"/>
    <w:rsid w:val="00407B5F"/>
    <w:rsid w:val="00407BDD"/>
    <w:rsid w:val="00407BF9"/>
    <w:rsid w:val="00407E28"/>
    <w:rsid w:val="00410585"/>
    <w:rsid w:val="00410798"/>
    <w:rsid w:val="004107FA"/>
    <w:rsid w:val="00410842"/>
    <w:rsid w:val="0041084C"/>
    <w:rsid w:val="00410856"/>
    <w:rsid w:val="0041091E"/>
    <w:rsid w:val="00410B8E"/>
    <w:rsid w:val="00410E9D"/>
    <w:rsid w:val="00411043"/>
    <w:rsid w:val="0041112B"/>
    <w:rsid w:val="00411373"/>
    <w:rsid w:val="004113A5"/>
    <w:rsid w:val="004116DE"/>
    <w:rsid w:val="004116DF"/>
    <w:rsid w:val="0041179E"/>
    <w:rsid w:val="004117FB"/>
    <w:rsid w:val="004118D1"/>
    <w:rsid w:val="004118DA"/>
    <w:rsid w:val="00412336"/>
    <w:rsid w:val="0041262E"/>
    <w:rsid w:val="00412838"/>
    <w:rsid w:val="004128ED"/>
    <w:rsid w:val="00412BBB"/>
    <w:rsid w:val="00412C16"/>
    <w:rsid w:val="00412D3C"/>
    <w:rsid w:val="00412D46"/>
    <w:rsid w:val="00412FE7"/>
    <w:rsid w:val="00413054"/>
    <w:rsid w:val="004130B3"/>
    <w:rsid w:val="0041311E"/>
    <w:rsid w:val="0041332B"/>
    <w:rsid w:val="004133B1"/>
    <w:rsid w:val="00413556"/>
    <w:rsid w:val="00413604"/>
    <w:rsid w:val="0041396F"/>
    <w:rsid w:val="00413A93"/>
    <w:rsid w:val="00413B39"/>
    <w:rsid w:val="00413FAB"/>
    <w:rsid w:val="004140BD"/>
    <w:rsid w:val="0041413E"/>
    <w:rsid w:val="00414179"/>
    <w:rsid w:val="004141D0"/>
    <w:rsid w:val="004141E7"/>
    <w:rsid w:val="004144B0"/>
    <w:rsid w:val="00414643"/>
    <w:rsid w:val="00414A71"/>
    <w:rsid w:val="00414B31"/>
    <w:rsid w:val="00414C75"/>
    <w:rsid w:val="00414D45"/>
    <w:rsid w:val="00415017"/>
    <w:rsid w:val="004150EE"/>
    <w:rsid w:val="00415116"/>
    <w:rsid w:val="004151E5"/>
    <w:rsid w:val="004153F5"/>
    <w:rsid w:val="0041544B"/>
    <w:rsid w:val="004154B7"/>
    <w:rsid w:val="00415604"/>
    <w:rsid w:val="0041584B"/>
    <w:rsid w:val="0041596C"/>
    <w:rsid w:val="004159E3"/>
    <w:rsid w:val="00415AC0"/>
    <w:rsid w:val="00415B78"/>
    <w:rsid w:val="00415C41"/>
    <w:rsid w:val="00415D9E"/>
    <w:rsid w:val="00415DEC"/>
    <w:rsid w:val="00415DF3"/>
    <w:rsid w:val="00415DFB"/>
    <w:rsid w:val="00416162"/>
    <w:rsid w:val="00416864"/>
    <w:rsid w:val="00416E8D"/>
    <w:rsid w:val="00416F31"/>
    <w:rsid w:val="0041749C"/>
    <w:rsid w:val="0041797B"/>
    <w:rsid w:val="00417D1F"/>
    <w:rsid w:val="00417E46"/>
    <w:rsid w:val="004200A9"/>
    <w:rsid w:val="0042052E"/>
    <w:rsid w:val="00420BB0"/>
    <w:rsid w:val="00420C45"/>
    <w:rsid w:val="00420C59"/>
    <w:rsid w:val="00420D9F"/>
    <w:rsid w:val="00420E7A"/>
    <w:rsid w:val="00420F5E"/>
    <w:rsid w:val="00420FC4"/>
    <w:rsid w:val="0042122E"/>
    <w:rsid w:val="00421477"/>
    <w:rsid w:val="00421504"/>
    <w:rsid w:val="00421629"/>
    <w:rsid w:val="0042178F"/>
    <w:rsid w:val="00421976"/>
    <w:rsid w:val="00421B03"/>
    <w:rsid w:val="00421C23"/>
    <w:rsid w:val="00421EE4"/>
    <w:rsid w:val="004220C0"/>
    <w:rsid w:val="00422186"/>
    <w:rsid w:val="0042229C"/>
    <w:rsid w:val="00422392"/>
    <w:rsid w:val="0042263C"/>
    <w:rsid w:val="0042273D"/>
    <w:rsid w:val="004227AA"/>
    <w:rsid w:val="004227BD"/>
    <w:rsid w:val="00422983"/>
    <w:rsid w:val="00422ADB"/>
    <w:rsid w:val="00422B6A"/>
    <w:rsid w:val="00422D41"/>
    <w:rsid w:val="00422F79"/>
    <w:rsid w:val="00422FAC"/>
    <w:rsid w:val="004230BE"/>
    <w:rsid w:val="004231D0"/>
    <w:rsid w:val="00423346"/>
    <w:rsid w:val="004233D1"/>
    <w:rsid w:val="00423516"/>
    <w:rsid w:val="004235D0"/>
    <w:rsid w:val="00423632"/>
    <w:rsid w:val="00423955"/>
    <w:rsid w:val="00423A04"/>
    <w:rsid w:val="00423A3B"/>
    <w:rsid w:val="00423AFC"/>
    <w:rsid w:val="00423B00"/>
    <w:rsid w:val="00423BCF"/>
    <w:rsid w:val="00423C4C"/>
    <w:rsid w:val="00423D87"/>
    <w:rsid w:val="00424155"/>
    <w:rsid w:val="00424226"/>
    <w:rsid w:val="004242FE"/>
    <w:rsid w:val="004249F0"/>
    <w:rsid w:val="00424D2B"/>
    <w:rsid w:val="00424FB2"/>
    <w:rsid w:val="00424FF9"/>
    <w:rsid w:val="00425089"/>
    <w:rsid w:val="0042568C"/>
    <w:rsid w:val="00425723"/>
    <w:rsid w:val="00425A4B"/>
    <w:rsid w:val="00425AB8"/>
    <w:rsid w:val="00425BBB"/>
    <w:rsid w:val="00425D36"/>
    <w:rsid w:val="00425DB9"/>
    <w:rsid w:val="00425E67"/>
    <w:rsid w:val="0042610D"/>
    <w:rsid w:val="0042612C"/>
    <w:rsid w:val="00426498"/>
    <w:rsid w:val="00426769"/>
    <w:rsid w:val="00426770"/>
    <w:rsid w:val="004267B8"/>
    <w:rsid w:val="004269A3"/>
    <w:rsid w:val="00426A50"/>
    <w:rsid w:val="00426E7E"/>
    <w:rsid w:val="00427145"/>
    <w:rsid w:val="00427318"/>
    <w:rsid w:val="00427519"/>
    <w:rsid w:val="0042787F"/>
    <w:rsid w:val="00427966"/>
    <w:rsid w:val="00427A14"/>
    <w:rsid w:val="00427BB8"/>
    <w:rsid w:val="00427DCA"/>
    <w:rsid w:val="0043097F"/>
    <w:rsid w:val="00430E59"/>
    <w:rsid w:val="00430E92"/>
    <w:rsid w:val="00431065"/>
    <w:rsid w:val="004310E0"/>
    <w:rsid w:val="00431295"/>
    <w:rsid w:val="0043133D"/>
    <w:rsid w:val="0043136C"/>
    <w:rsid w:val="00431413"/>
    <w:rsid w:val="00431444"/>
    <w:rsid w:val="004314F6"/>
    <w:rsid w:val="004316FB"/>
    <w:rsid w:val="00431776"/>
    <w:rsid w:val="004318A1"/>
    <w:rsid w:val="00431930"/>
    <w:rsid w:val="00431DFB"/>
    <w:rsid w:val="004320A6"/>
    <w:rsid w:val="00432122"/>
    <w:rsid w:val="0043214E"/>
    <w:rsid w:val="00432163"/>
    <w:rsid w:val="004321F6"/>
    <w:rsid w:val="0043220F"/>
    <w:rsid w:val="00432368"/>
    <w:rsid w:val="00432470"/>
    <w:rsid w:val="0043255F"/>
    <w:rsid w:val="0043259F"/>
    <w:rsid w:val="00432B2C"/>
    <w:rsid w:val="00432EEC"/>
    <w:rsid w:val="00433676"/>
    <w:rsid w:val="00433866"/>
    <w:rsid w:val="00433D67"/>
    <w:rsid w:val="00433E01"/>
    <w:rsid w:val="00433EBF"/>
    <w:rsid w:val="0043420A"/>
    <w:rsid w:val="00434481"/>
    <w:rsid w:val="0043455C"/>
    <w:rsid w:val="004347E2"/>
    <w:rsid w:val="00434928"/>
    <w:rsid w:val="004349C7"/>
    <w:rsid w:val="00434C0B"/>
    <w:rsid w:val="00434DBB"/>
    <w:rsid w:val="00434EB3"/>
    <w:rsid w:val="0043505E"/>
    <w:rsid w:val="0043514D"/>
    <w:rsid w:val="0043529A"/>
    <w:rsid w:val="004352E5"/>
    <w:rsid w:val="00435334"/>
    <w:rsid w:val="00435B1F"/>
    <w:rsid w:val="00435EAB"/>
    <w:rsid w:val="00435F2F"/>
    <w:rsid w:val="004361F1"/>
    <w:rsid w:val="004364FB"/>
    <w:rsid w:val="00436A5C"/>
    <w:rsid w:val="00436BFC"/>
    <w:rsid w:val="00436CE7"/>
    <w:rsid w:val="00437031"/>
    <w:rsid w:val="00437093"/>
    <w:rsid w:val="00437296"/>
    <w:rsid w:val="0043734E"/>
    <w:rsid w:val="00437BE3"/>
    <w:rsid w:val="00437D03"/>
    <w:rsid w:val="00437EC7"/>
    <w:rsid w:val="00437F79"/>
    <w:rsid w:val="0044029C"/>
    <w:rsid w:val="0044035A"/>
    <w:rsid w:val="0044040F"/>
    <w:rsid w:val="0044048A"/>
    <w:rsid w:val="00440E96"/>
    <w:rsid w:val="00440F13"/>
    <w:rsid w:val="0044114D"/>
    <w:rsid w:val="004411A5"/>
    <w:rsid w:val="004411CD"/>
    <w:rsid w:val="00441286"/>
    <w:rsid w:val="004415E8"/>
    <w:rsid w:val="00441605"/>
    <w:rsid w:val="0044160F"/>
    <w:rsid w:val="0044176D"/>
    <w:rsid w:val="00441853"/>
    <w:rsid w:val="00441899"/>
    <w:rsid w:val="00441A45"/>
    <w:rsid w:val="00441B25"/>
    <w:rsid w:val="00441B51"/>
    <w:rsid w:val="00441C0E"/>
    <w:rsid w:val="00441EBC"/>
    <w:rsid w:val="00441FE0"/>
    <w:rsid w:val="00442117"/>
    <w:rsid w:val="004421FC"/>
    <w:rsid w:val="0044221C"/>
    <w:rsid w:val="00442550"/>
    <w:rsid w:val="00442590"/>
    <w:rsid w:val="00442751"/>
    <w:rsid w:val="004428B7"/>
    <w:rsid w:val="0044292B"/>
    <w:rsid w:val="00442961"/>
    <w:rsid w:val="00442EAA"/>
    <w:rsid w:val="004433CF"/>
    <w:rsid w:val="00443D7B"/>
    <w:rsid w:val="0044409E"/>
    <w:rsid w:val="004442B0"/>
    <w:rsid w:val="00444343"/>
    <w:rsid w:val="004444B9"/>
    <w:rsid w:val="00444689"/>
    <w:rsid w:val="0044468E"/>
    <w:rsid w:val="004446BE"/>
    <w:rsid w:val="00444B1E"/>
    <w:rsid w:val="00444E83"/>
    <w:rsid w:val="00444E88"/>
    <w:rsid w:val="00444EE6"/>
    <w:rsid w:val="004450F7"/>
    <w:rsid w:val="00445173"/>
    <w:rsid w:val="00445309"/>
    <w:rsid w:val="004454FB"/>
    <w:rsid w:val="004456FA"/>
    <w:rsid w:val="004459F8"/>
    <w:rsid w:val="00445C3E"/>
    <w:rsid w:val="00445CCE"/>
    <w:rsid w:val="00445F3B"/>
    <w:rsid w:val="0044622D"/>
    <w:rsid w:val="00446487"/>
    <w:rsid w:val="0044682C"/>
    <w:rsid w:val="00446CF7"/>
    <w:rsid w:val="004470FD"/>
    <w:rsid w:val="00447CED"/>
    <w:rsid w:val="004500CE"/>
    <w:rsid w:val="00450421"/>
    <w:rsid w:val="004504D0"/>
    <w:rsid w:val="004505DE"/>
    <w:rsid w:val="004506D4"/>
    <w:rsid w:val="0045091B"/>
    <w:rsid w:val="00450F7A"/>
    <w:rsid w:val="00451075"/>
    <w:rsid w:val="00451159"/>
    <w:rsid w:val="004511D4"/>
    <w:rsid w:val="004514EB"/>
    <w:rsid w:val="004515A5"/>
    <w:rsid w:val="004515CD"/>
    <w:rsid w:val="0045194F"/>
    <w:rsid w:val="00451C6B"/>
    <w:rsid w:val="00451D84"/>
    <w:rsid w:val="00452563"/>
    <w:rsid w:val="004526D3"/>
    <w:rsid w:val="004526FC"/>
    <w:rsid w:val="00452F20"/>
    <w:rsid w:val="00452F95"/>
    <w:rsid w:val="00453799"/>
    <w:rsid w:val="00453BF5"/>
    <w:rsid w:val="00453EDB"/>
    <w:rsid w:val="0045400D"/>
    <w:rsid w:val="00454044"/>
    <w:rsid w:val="00454329"/>
    <w:rsid w:val="0045452A"/>
    <w:rsid w:val="00454638"/>
    <w:rsid w:val="00454743"/>
    <w:rsid w:val="00454DB9"/>
    <w:rsid w:val="00454F87"/>
    <w:rsid w:val="00454FA6"/>
    <w:rsid w:val="0045500D"/>
    <w:rsid w:val="00455035"/>
    <w:rsid w:val="0045521D"/>
    <w:rsid w:val="004554B1"/>
    <w:rsid w:val="0045568D"/>
    <w:rsid w:val="004556A7"/>
    <w:rsid w:val="00455C7A"/>
    <w:rsid w:val="00455CE8"/>
    <w:rsid w:val="00455D03"/>
    <w:rsid w:val="00455D47"/>
    <w:rsid w:val="00456057"/>
    <w:rsid w:val="00456189"/>
    <w:rsid w:val="00456285"/>
    <w:rsid w:val="004564E7"/>
    <w:rsid w:val="00456866"/>
    <w:rsid w:val="004568CA"/>
    <w:rsid w:val="004569F8"/>
    <w:rsid w:val="00456BA7"/>
    <w:rsid w:val="00456FAF"/>
    <w:rsid w:val="00456FD0"/>
    <w:rsid w:val="00456FFD"/>
    <w:rsid w:val="004573C0"/>
    <w:rsid w:val="004577E4"/>
    <w:rsid w:val="0045784C"/>
    <w:rsid w:val="00457AD2"/>
    <w:rsid w:val="00457B30"/>
    <w:rsid w:val="004600C1"/>
    <w:rsid w:val="004600ED"/>
    <w:rsid w:val="00460239"/>
    <w:rsid w:val="00460454"/>
    <w:rsid w:val="004606BE"/>
    <w:rsid w:val="004609F9"/>
    <w:rsid w:val="00460CA8"/>
    <w:rsid w:val="00460D89"/>
    <w:rsid w:val="00460F75"/>
    <w:rsid w:val="0046147A"/>
    <w:rsid w:val="0046158E"/>
    <w:rsid w:val="004617CB"/>
    <w:rsid w:val="00461834"/>
    <w:rsid w:val="00461960"/>
    <w:rsid w:val="00461C77"/>
    <w:rsid w:val="00461D1A"/>
    <w:rsid w:val="00461DEE"/>
    <w:rsid w:val="00462156"/>
    <w:rsid w:val="00462344"/>
    <w:rsid w:val="00462363"/>
    <w:rsid w:val="00462586"/>
    <w:rsid w:val="00462656"/>
    <w:rsid w:val="004626A2"/>
    <w:rsid w:val="0046287F"/>
    <w:rsid w:val="00462953"/>
    <w:rsid w:val="00462B3E"/>
    <w:rsid w:val="00462B85"/>
    <w:rsid w:val="00462EF0"/>
    <w:rsid w:val="004630FF"/>
    <w:rsid w:val="0046318C"/>
    <w:rsid w:val="00463203"/>
    <w:rsid w:val="0046437F"/>
    <w:rsid w:val="00464462"/>
    <w:rsid w:val="00464BB0"/>
    <w:rsid w:val="00464E5D"/>
    <w:rsid w:val="00465599"/>
    <w:rsid w:val="004655CC"/>
    <w:rsid w:val="004659CF"/>
    <w:rsid w:val="004659D1"/>
    <w:rsid w:val="00465DA1"/>
    <w:rsid w:val="00465DBA"/>
    <w:rsid w:val="004660BB"/>
    <w:rsid w:val="00466187"/>
    <w:rsid w:val="00466791"/>
    <w:rsid w:val="00466A85"/>
    <w:rsid w:val="00466AF5"/>
    <w:rsid w:val="00466B5A"/>
    <w:rsid w:val="004671FB"/>
    <w:rsid w:val="0046720B"/>
    <w:rsid w:val="004672E7"/>
    <w:rsid w:val="00467570"/>
    <w:rsid w:val="00467CD3"/>
    <w:rsid w:val="00470220"/>
    <w:rsid w:val="004702B4"/>
    <w:rsid w:val="00470323"/>
    <w:rsid w:val="004703A7"/>
    <w:rsid w:val="004703BE"/>
    <w:rsid w:val="00470528"/>
    <w:rsid w:val="0047060B"/>
    <w:rsid w:val="004707C7"/>
    <w:rsid w:val="00470905"/>
    <w:rsid w:val="00470AB4"/>
    <w:rsid w:val="00470D01"/>
    <w:rsid w:val="00470D6F"/>
    <w:rsid w:val="00470DCB"/>
    <w:rsid w:val="00470F36"/>
    <w:rsid w:val="00470F65"/>
    <w:rsid w:val="0047130D"/>
    <w:rsid w:val="0047132E"/>
    <w:rsid w:val="00471496"/>
    <w:rsid w:val="00471497"/>
    <w:rsid w:val="00471646"/>
    <w:rsid w:val="004719A4"/>
    <w:rsid w:val="00471B2E"/>
    <w:rsid w:val="0047202C"/>
    <w:rsid w:val="004723B0"/>
    <w:rsid w:val="00472A72"/>
    <w:rsid w:val="00472CFE"/>
    <w:rsid w:val="00472D77"/>
    <w:rsid w:val="00472DD1"/>
    <w:rsid w:val="00472E58"/>
    <w:rsid w:val="004731C5"/>
    <w:rsid w:val="0047397C"/>
    <w:rsid w:val="004739C3"/>
    <w:rsid w:val="00473AF4"/>
    <w:rsid w:val="00473C07"/>
    <w:rsid w:val="00474049"/>
    <w:rsid w:val="0047406E"/>
    <w:rsid w:val="00474155"/>
    <w:rsid w:val="00474215"/>
    <w:rsid w:val="0047426E"/>
    <w:rsid w:val="004742FF"/>
    <w:rsid w:val="00474425"/>
    <w:rsid w:val="00474DEB"/>
    <w:rsid w:val="004751BB"/>
    <w:rsid w:val="004752CA"/>
    <w:rsid w:val="00475314"/>
    <w:rsid w:val="0047565F"/>
    <w:rsid w:val="00475724"/>
    <w:rsid w:val="0047574F"/>
    <w:rsid w:val="00475758"/>
    <w:rsid w:val="00475A4E"/>
    <w:rsid w:val="00475BB7"/>
    <w:rsid w:val="00476201"/>
    <w:rsid w:val="00476467"/>
    <w:rsid w:val="0047679C"/>
    <w:rsid w:val="00476A2B"/>
    <w:rsid w:val="00476DFA"/>
    <w:rsid w:val="00476E80"/>
    <w:rsid w:val="004778A0"/>
    <w:rsid w:val="004778DF"/>
    <w:rsid w:val="004778E2"/>
    <w:rsid w:val="00477997"/>
    <w:rsid w:val="00477CE4"/>
    <w:rsid w:val="00477D61"/>
    <w:rsid w:val="00477DF5"/>
    <w:rsid w:val="00480526"/>
    <w:rsid w:val="00480651"/>
    <w:rsid w:val="00480AB5"/>
    <w:rsid w:val="00480FDE"/>
    <w:rsid w:val="00481036"/>
    <w:rsid w:val="004810C6"/>
    <w:rsid w:val="004810FC"/>
    <w:rsid w:val="00481398"/>
    <w:rsid w:val="0048148D"/>
    <w:rsid w:val="0048166E"/>
    <w:rsid w:val="00481A23"/>
    <w:rsid w:val="00481C8D"/>
    <w:rsid w:val="00481E12"/>
    <w:rsid w:val="004821BD"/>
    <w:rsid w:val="00482327"/>
    <w:rsid w:val="0048247A"/>
    <w:rsid w:val="00482561"/>
    <w:rsid w:val="0048259F"/>
    <w:rsid w:val="0048267C"/>
    <w:rsid w:val="004826F4"/>
    <w:rsid w:val="0048277F"/>
    <w:rsid w:val="00482C58"/>
    <w:rsid w:val="00482F8F"/>
    <w:rsid w:val="00483232"/>
    <w:rsid w:val="0048348D"/>
    <w:rsid w:val="00483ABF"/>
    <w:rsid w:val="00483C69"/>
    <w:rsid w:val="00483C92"/>
    <w:rsid w:val="00483D19"/>
    <w:rsid w:val="00483DF7"/>
    <w:rsid w:val="00484003"/>
    <w:rsid w:val="004840CC"/>
    <w:rsid w:val="0048432D"/>
    <w:rsid w:val="004846A4"/>
    <w:rsid w:val="00484708"/>
    <w:rsid w:val="00484767"/>
    <w:rsid w:val="00484D7F"/>
    <w:rsid w:val="00484F40"/>
    <w:rsid w:val="0048532D"/>
    <w:rsid w:val="00485429"/>
    <w:rsid w:val="00485492"/>
    <w:rsid w:val="0048560E"/>
    <w:rsid w:val="0048577D"/>
    <w:rsid w:val="00485882"/>
    <w:rsid w:val="00485901"/>
    <w:rsid w:val="00485902"/>
    <w:rsid w:val="00485E0C"/>
    <w:rsid w:val="00485F6C"/>
    <w:rsid w:val="004863F9"/>
    <w:rsid w:val="0048695B"/>
    <w:rsid w:val="0048697E"/>
    <w:rsid w:val="00486CF0"/>
    <w:rsid w:val="00486D61"/>
    <w:rsid w:val="00486F08"/>
    <w:rsid w:val="004875B1"/>
    <w:rsid w:val="004877F1"/>
    <w:rsid w:val="00487A52"/>
    <w:rsid w:val="00487BD5"/>
    <w:rsid w:val="00487F8E"/>
    <w:rsid w:val="004903B2"/>
    <w:rsid w:val="004904D8"/>
    <w:rsid w:val="00490667"/>
    <w:rsid w:val="0049070E"/>
    <w:rsid w:val="00491045"/>
    <w:rsid w:val="00491369"/>
    <w:rsid w:val="004919B5"/>
    <w:rsid w:val="00491C82"/>
    <w:rsid w:val="004923AD"/>
    <w:rsid w:val="004924F1"/>
    <w:rsid w:val="004926C9"/>
    <w:rsid w:val="004926E2"/>
    <w:rsid w:val="00492926"/>
    <w:rsid w:val="004929E7"/>
    <w:rsid w:val="00492A35"/>
    <w:rsid w:val="00492AF4"/>
    <w:rsid w:val="00492C3A"/>
    <w:rsid w:val="00492D94"/>
    <w:rsid w:val="00492E3A"/>
    <w:rsid w:val="00492FD2"/>
    <w:rsid w:val="0049309D"/>
    <w:rsid w:val="004930B9"/>
    <w:rsid w:val="00493286"/>
    <w:rsid w:val="00493628"/>
    <w:rsid w:val="00493969"/>
    <w:rsid w:val="00493CA3"/>
    <w:rsid w:val="00493E91"/>
    <w:rsid w:val="004940D3"/>
    <w:rsid w:val="00494640"/>
    <w:rsid w:val="00494A29"/>
    <w:rsid w:val="004950D1"/>
    <w:rsid w:val="00495151"/>
    <w:rsid w:val="00495672"/>
    <w:rsid w:val="00495B90"/>
    <w:rsid w:val="00495BC3"/>
    <w:rsid w:val="0049606E"/>
    <w:rsid w:val="004962D6"/>
    <w:rsid w:val="004965DB"/>
    <w:rsid w:val="0049661B"/>
    <w:rsid w:val="004967E2"/>
    <w:rsid w:val="00496AA4"/>
    <w:rsid w:val="00496BA5"/>
    <w:rsid w:val="00496C3C"/>
    <w:rsid w:val="00496D29"/>
    <w:rsid w:val="00496FF9"/>
    <w:rsid w:val="004976F9"/>
    <w:rsid w:val="004979B7"/>
    <w:rsid w:val="004979F2"/>
    <w:rsid w:val="004979F3"/>
    <w:rsid w:val="00497D3C"/>
    <w:rsid w:val="00497D9B"/>
    <w:rsid w:val="00497DFC"/>
    <w:rsid w:val="00497FC3"/>
    <w:rsid w:val="004A0069"/>
    <w:rsid w:val="004A0211"/>
    <w:rsid w:val="004A0990"/>
    <w:rsid w:val="004A0B0F"/>
    <w:rsid w:val="004A0E31"/>
    <w:rsid w:val="004A12FC"/>
    <w:rsid w:val="004A1606"/>
    <w:rsid w:val="004A173C"/>
    <w:rsid w:val="004A17B1"/>
    <w:rsid w:val="004A198B"/>
    <w:rsid w:val="004A1D40"/>
    <w:rsid w:val="004A1D99"/>
    <w:rsid w:val="004A2079"/>
    <w:rsid w:val="004A22E2"/>
    <w:rsid w:val="004A2361"/>
    <w:rsid w:val="004A27B6"/>
    <w:rsid w:val="004A2960"/>
    <w:rsid w:val="004A2AA1"/>
    <w:rsid w:val="004A2DB7"/>
    <w:rsid w:val="004A2F4A"/>
    <w:rsid w:val="004A3118"/>
    <w:rsid w:val="004A31D9"/>
    <w:rsid w:val="004A3750"/>
    <w:rsid w:val="004A37E7"/>
    <w:rsid w:val="004A3EF2"/>
    <w:rsid w:val="004A427C"/>
    <w:rsid w:val="004A43DC"/>
    <w:rsid w:val="004A46BD"/>
    <w:rsid w:val="004A4714"/>
    <w:rsid w:val="004A478A"/>
    <w:rsid w:val="004A490A"/>
    <w:rsid w:val="004A49B5"/>
    <w:rsid w:val="004A4A2B"/>
    <w:rsid w:val="004A4C75"/>
    <w:rsid w:val="004A505A"/>
    <w:rsid w:val="004A520C"/>
    <w:rsid w:val="004A5256"/>
    <w:rsid w:val="004A5300"/>
    <w:rsid w:val="004A5512"/>
    <w:rsid w:val="004A564C"/>
    <w:rsid w:val="004A5A49"/>
    <w:rsid w:val="004A5B4E"/>
    <w:rsid w:val="004A5D05"/>
    <w:rsid w:val="004A5FAF"/>
    <w:rsid w:val="004A6471"/>
    <w:rsid w:val="004A6794"/>
    <w:rsid w:val="004A6814"/>
    <w:rsid w:val="004A6F17"/>
    <w:rsid w:val="004A6F49"/>
    <w:rsid w:val="004A71B5"/>
    <w:rsid w:val="004A735D"/>
    <w:rsid w:val="004A76F1"/>
    <w:rsid w:val="004A7761"/>
    <w:rsid w:val="004A7892"/>
    <w:rsid w:val="004A7BA8"/>
    <w:rsid w:val="004A7BDE"/>
    <w:rsid w:val="004A7C2C"/>
    <w:rsid w:val="004A7EDA"/>
    <w:rsid w:val="004A7F9A"/>
    <w:rsid w:val="004B04AB"/>
    <w:rsid w:val="004B0AB0"/>
    <w:rsid w:val="004B0FC6"/>
    <w:rsid w:val="004B125D"/>
    <w:rsid w:val="004B1302"/>
    <w:rsid w:val="004B1524"/>
    <w:rsid w:val="004B172C"/>
    <w:rsid w:val="004B17D9"/>
    <w:rsid w:val="004B18BE"/>
    <w:rsid w:val="004B18D5"/>
    <w:rsid w:val="004B195D"/>
    <w:rsid w:val="004B19F3"/>
    <w:rsid w:val="004B1D0C"/>
    <w:rsid w:val="004B1E3F"/>
    <w:rsid w:val="004B1EE2"/>
    <w:rsid w:val="004B2268"/>
    <w:rsid w:val="004B23EA"/>
    <w:rsid w:val="004B288C"/>
    <w:rsid w:val="004B28F5"/>
    <w:rsid w:val="004B2E46"/>
    <w:rsid w:val="004B2FBB"/>
    <w:rsid w:val="004B36E2"/>
    <w:rsid w:val="004B38FD"/>
    <w:rsid w:val="004B39A0"/>
    <w:rsid w:val="004B3D93"/>
    <w:rsid w:val="004B3E71"/>
    <w:rsid w:val="004B4295"/>
    <w:rsid w:val="004B4430"/>
    <w:rsid w:val="004B44A4"/>
    <w:rsid w:val="004B44AD"/>
    <w:rsid w:val="004B460C"/>
    <w:rsid w:val="004B49A4"/>
    <w:rsid w:val="004B4A9D"/>
    <w:rsid w:val="004B4CED"/>
    <w:rsid w:val="004B4D99"/>
    <w:rsid w:val="004B4FBA"/>
    <w:rsid w:val="004B5123"/>
    <w:rsid w:val="004B543D"/>
    <w:rsid w:val="004B5698"/>
    <w:rsid w:val="004B5948"/>
    <w:rsid w:val="004B5A4A"/>
    <w:rsid w:val="004B5B61"/>
    <w:rsid w:val="004B5D61"/>
    <w:rsid w:val="004B5E00"/>
    <w:rsid w:val="004B63D1"/>
    <w:rsid w:val="004B6753"/>
    <w:rsid w:val="004B7611"/>
    <w:rsid w:val="004B79A0"/>
    <w:rsid w:val="004B79C6"/>
    <w:rsid w:val="004B7B76"/>
    <w:rsid w:val="004B7BDB"/>
    <w:rsid w:val="004B7BE9"/>
    <w:rsid w:val="004C021F"/>
    <w:rsid w:val="004C036C"/>
    <w:rsid w:val="004C0564"/>
    <w:rsid w:val="004C0576"/>
    <w:rsid w:val="004C07C3"/>
    <w:rsid w:val="004C0A6B"/>
    <w:rsid w:val="004C0CB5"/>
    <w:rsid w:val="004C0FC9"/>
    <w:rsid w:val="004C10E8"/>
    <w:rsid w:val="004C11A5"/>
    <w:rsid w:val="004C153B"/>
    <w:rsid w:val="004C16CA"/>
    <w:rsid w:val="004C1786"/>
    <w:rsid w:val="004C1854"/>
    <w:rsid w:val="004C185E"/>
    <w:rsid w:val="004C1984"/>
    <w:rsid w:val="004C1A18"/>
    <w:rsid w:val="004C1AFA"/>
    <w:rsid w:val="004C1DAB"/>
    <w:rsid w:val="004C1DBC"/>
    <w:rsid w:val="004C1E1D"/>
    <w:rsid w:val="004C1EA4"/>
    <w:rsid w:val="004C1F96"/>
    <w:rsid w:val="004C216D"/>
    <w:rsid w:val="004C2539"/>
    <w:rsid w:val="004C2F6F"/>
    <w:rsid w:val="004C31A7"/>
    <w:rsid w:val="004C3499"/>
    <w:rsid w:val="004C3569"/>
    <w:rsid w:val="004C3661"/>
    <w:rsid w:val="004C39E0"/>
    <w:rsid w:val="004C3CC2"/>
    <w:rsid w:val="004C3D0D"/>
    <w:rsid w:val="004C3EB8"/>
    <w:rsid w:val="004C3EBD"/>
    <w:rsid w:val="004C419C"/>
    <w:rsid w:val="004C451C"/>
    <w:rsid w:val="004C4706"/>
    <w:rsid w:val="004C49B0"/>
    <w:rsid w:val="004C4B6C"/>
    <w:rsid w:val="004C4DC7"/>
    <w:rsid w:val="004C55BA"/>
    <w:rsid w:val="004C57A6"/>
    <w:rsid w:val="004C585D"/>
    <w:rsid w:val="004C5864"/>
    <w:rsid w:val="004C59AC"/>
    <w:rsid w:val="004C59F4"/>
    <w:rsid w:val="004C5A5A"/>
    <w:rsid w:val="004C5ABF"/>
    <w:rsid w:val="004C5C70"/>
    <w:rsid w:val="004C5DD2"/>
    <w:rsid w:val="004C5EF7"/>
    <w:rsid w:val="004C5F38"/>
    <w:rsid w:val="004C5F68"/>
    <w:rsid w:val="004C63DF"/>
    <w:rsid w:val="004C67A7"/>
    <w:rsid w:val="004C688E"/>
    <w:rsid w:val="004C6936"/>
    <w:rsid w:val="004C693A"/>
    <w:rsid w:val="004C69B8"/>
    <w:rsid w:val="004C6B92"/>
    <w:rsid w:val="004C6C4F"/>
    <w:rsid w:val="004C6C99"/>
    <w:rsid w:val="004C6DA2"/>
    <w:rsid w:val="004C6F28"/>
    <w:rsid w:val="004C7374"/>
    <w:rsid w:val="004C7381"/>
    <w:rsid w:val="004C7446"/>
    <w:rsid w:val="004C758D"/>
    <w:rsid w:val="004C7A57"/>
    <w:rsid w:val="004C7AF3"/>
    <w:rsid w:val="004C7BFE"/>
    <w:rsid w:val="004C7D5B"/>
    <w:rsid w:val="004D020B"/>
    <w:rsid w:val="004D022B"/>
    <w:rsid w:val="004D065C"/>
    <w:rsid w:val="004D0849"/>
    <w:rsid w:val="004D0AC7"/>
    <w:rsid w:val="004D0DF4"/>
    <w:rsid w:val="004D0E01"/>
    <w:rsid w:val="004D0F08"/>
    <w:rsid w:val="004D1136"/>
    <w:rsid w:val="004D1222"/>
    <w:rsid w:val="004D1734"/>
    <w:rsid w:val="004D17ED"/>
    <w:rsid w:val="004D1D0F"/>
    <w:rsid w:val="004D1E34"/>
    <w:rsid w:val="004D1F63"/>
    <w:rsid w:val="004D2365"/>
    <w:rsid w:val="004D2475"/>
    <w:rsid w:val="004D2735"/>
    <w:rsid w:val="004D27EE"/>
    <w:rsid w:val="004D2BC5"/>
    <w:rsid w:val="004D2D2D"/>
    <w:rsid w:val="004D2D43"/>
    <w:rsid w:val="004D34B1"/>
    <w:rsid w:val="004D3520"/>
    <w:rsid w:val="004D3AB3"/>
    <w:rsid w:val="004D3BCF"/>
    <w:rsid w:val="004D3D6D"/>
    <w:rsid w:val="004D3E0A"/>
    <w:rsid w:val="004D3E14"/>
    <w:rsid w:val="004D4130"/>
    <w:rsid w:val="004D4257"/>
    <w:rsid w:val="004D42FB"/>
    <w:rsid w:val="004D45DF"/>
    <w:rsid w:val="004D4EDA"/>
    <w:rsid w:val="004D51C4"/>
    <w:rsid w:val="004D5674"/>
    <w:rsid w:val="004D567A"/>
    <w:rsid w:val="004D56C5"/>
    <w:rsid w:val="004D5779"/>
    <w:rsid w:val="004D585E"/>
    <w:rsid w:val="004D59BB"/>
    <w:rsid w:val="004D5A4A"/>
    <w:rsid w:val="004D5F6D"/>
    <w:rsid w:val="004D65C4"/>
    <w:rsid w:val="004D65D0"/>
    <w:rsid w:val="004D6609"/>
    <w:rsid w:val="004D664D"/>
    <w:rsid w:val="004D694E"/>
    <w:rsid w:val="004D6B6F"/>
    <w:rsid w:val="004D6E2C"/>
    <w:rsid w:val="004D6E43"/>
    <w:rsid w:val="004D7236"/>
    <w:rsid w:val="004D7618"/>
    <w:rsid w:val="004D7A48"/>
    <w:rsid w:val="004D7A57"/>
    <w:rsid w:val="004D7B40"/>
    <w:rsid w:val="004D7C0C"/>
    <w:rsid w:val="004D7C92"/>
    <w:rsid w:val="004D7CE8"/>
    <w:rsid w:val="004D7F2A"/>
    <w:rsid w:val="004E05A4"/>
    <w:rsid w:val="004E05A6"/>
    <w:rsid w:val="004E0726"/>
    <w:rsid w:val="004E07EA"/>
    <w:rsid w:val="004E0883"/>
    <w:rsid w:val="004E09EE"/>
    <w:rsid w:val="004E0A06"/>
    <w:rsid w:val="004E0D64"/>
    <w:rsid w:val="004E0E8E"/>
    <w:rsid w:val="004E10C3"/>
    <w:rsid w:val="004E128E"/>
    <w:rsid w:val="004E1428"/>
    <w:rsid w:val="004E15DD"/>
    <w:rsid w:val="004E1949"/>
    <w:rsid w:val="004E1B73"/>
    <w:rsid w:val="004E1E46"/>
    <w:rsid w:val="004E21FD"/>
    <w:rsid w:val="004E2399"/>
    <w:rsid w:val="004E2498"/>
    <w:rsid w:val="004E24CB"/>
    <w:rsid w:val="004E2776"/>
    <w:rsid w:val="004E2922"/>
    <w:rsid w:val="004E2948"/>
    <w:rsid w:val="004E294D"/>
    <w:rsid w:val="004E29A6"/>
    <w:rsid w:val="004E347B"/>
    <w:rsid w:val="004E34A9"/>
    <w:rsid w:val="004E34D0"/>
    <w:rsid w:val="004E386E"/>
    <w:rsid w:val="004E388E"/>
    <w:rsid w:val="004E397E"/>
    <w:rsid w:val="004E39A0"/>
    <w:rsid w:val="004E39AD"/>
    <w:rsid w:val="004E39E2"/>
    <w:rsid w:val="004E3AD5"/>
    <w:rsid w:val="004E3D68"/>
    <w:rsid w:val="004E3D6F"/>
    <w:rsid w:val="004E3EB2"/>
    <w:rsid w:val="004E461D"/>
    <w:rsid w:val="004E47B9"/>
    <w:rsid w:val="004E493D"/>
    <w:rsid w:val="004E4A59"/>
    <w:rsid w:val="004E4C68"/>
    <w:rsid w:val="004E4D3A"/>
    <w:rsid w:val="004E4EEF"/>
    <w:rsid w:val="004E5179"/>
    <w:rsid w:val="004E53D0"/>
    <w:rsid w:val="004E564B"/>
    <w:rsid w:val="004E56CF"/>
    <w:rsid w:val="004E5755"/>
    <w:rsid w:val="004E57AA"/>
    <w:rsid w:val="004E59FC"/>
    <w:rsid w:val="004E5C7A"/>
    <w:rsid w:val="004E5C87"/>
    <w:rsid w:val="004E5CFC"/>
    <w:rsid w:val="004E6401"/>
    <w:rsid w:val="004E68FE"/>
    <w:rsid w:val="004E6A53"/>
    <w:rsid w:val="004E6AD6"/>
    <w:rsid w:val="004E70FB"/>
    <w:rsid w:val="004E738C"/>
    <w:rsid w:val="004E77C0"/>
    <w:rsid w:val="004E797E"/>
    <w:rsid w:val="004E7B62"/>
    <w:rsid w:val="004E7DB3"/>
    <w:rsid w:val="004E7E07"/>
    <w:rsid w:val="004E7E1D"/>
    <w:rsid w:val="004E7E46"/>
    <w:rsid w:val="004F00B0"/>
    <w:rsid w:val="004F015F"/>
    <w:rsid w:val="004F03C7"/>
    <w:rsid w:val="004F0404"/>
    <w:rsid w:val="004F0618"/>
    <w:rsid w:val="004F0890"/>
    <w:rsid w:val="004F08F9"/>
    <w:rsid w:val="004F0A51"/>
    <w:rsid w:val="004F0D4D"/>
    <w:rsid w:val="004F0EC3"/>
    <w:rsid w:val="004F0EC5"/>
    <w:rsid w:val="004F0F1E"/>
    <w:rsid w:val="004F0F33"/>
    <w:rsid w:val="004F12E4"/>
    <w:rsid w:val="004F178B"/>
    <w:rsid w:val="004F1AAB"/>
    <w:rsid w:val="004F1E03"/>
    <w:rsid w:val="004F1EFC"/>
    <w:rsid w:val="004F2080"/>
    <w:rsid w:val="004F226F"/>
    <w:rsid w:val="004F22AB"/>
    <w:rsid w:val="004F238E"/>
    <w:rsid w:val="004F29E1"/>
    <w:rsid w:val="004F2BEF"/>
    <w:rsid w:val="004F2CC5"/>
    <w:rsid w:val="004F2D12"/>
    <w:rsid w:val="004F2DBC"/>
    <w:rsid w:val="004F30FA"/>
    <w:rsid w:val="004F3455"/>
    <w:rsid w:val="004F35B0"/>
    <w:rsid w:val="004F374E"/>
    <w:rsid w:val="004F3761"/>
    <w:rsid w:val="004F390D"/>
    <w:rsid w:val="004F408B"/>
    <w:rsid w:val="004F424A"/>
    <w:rsid w:val="004F424D"/>
    <w:rsid w:val="004F433F"/>
    <w:rsid w:val="004F44F6"/>
    <w:rsid w:val="004F46A0"/>
    <w:rsid w:val="004F4718"/>
    <w:rsid w:val="004F4922"/>
    <w:rsid w:val="004F4A42"/>
    <w:rsid w:val="004F4DFE"/>
    <w:rsid w:val="004F4FB6"/>
    <w:rsid w:val="004F5065"/>
    <w:rsid w:val="004F51B7"/>
    <w:rsid w:val="004F51B8"/>
    <w:rsid w:val="004F527B"/>
    <w:rsid w:val="004F543F"/>
    <w:rsid w:val="004F55ED"/>
    <w:rsid w:val="004F58B6"/>
    <w:rsid w:val="004F593C"/>
    <w:rsid w:val="004F5959"/>
    <w:rsid w:val="004F5A4F"/>
    <w:rsid w:val="004F5F76"/>
    <w:rsid w:val="004F5FED"/>
    <w:rsid w:val="004F6185"/>
    <w:rsid w:val="004F6653"/>
    <w:rsid w:val="004F6758"/>
    <w:rsid w:val="004F6934"/>
    <w:rsid w:val="004F6A41"/>
    <w:rsid w:val="004F72AD"/>
    <w:rsid w:val="004F731D"/>
    <w:rsid w:val="004F73B0"/>
    <w:rsid w:val="004F7558"/>
    <w:rsid w:val="004F76FF"/>
    <w:rsid w:val="004F77A0"/>
    <w:rsid w:val="004F7907"/>
    <w:rsid w:val="004F7BDA"/>
    <w:rsid w:val="004F7CF9"/>
    <w:rsid w:val="004F7E8A"/>
    <w:rsid w:val="005001F4"/>
    <w:rsid w:val="00500252"/>
    <w:rsid w:val="0050031F"/>
    <w:rsid w:val="00500441"/>
    <w:rsid w:val="005005A0"/>
    <w:rsid w:val="00500689"/>
    <w:rsid w:val="00500706"/>
    <w:rsid w:val="00500A88"/>
    <w:rsid w:val="00500C7C"/>
    <w:rsid w:val="00501210"/>
    <w:rsid w:val="005014DF"/>
    <w:rsid w:val="00501793"/>
    <w:rsid w:val="005017A2"/>
    <w:rsid w:val="00501A3E"/>
    <w:rsid w:val="00501C6D"/>
    <w:rsid w:val="00501F15"/>
    <w:rsid w:val="00502045"/>
    <w:rsid w:val="00502189"/>
    <w:rsid w:val="005027B7"/>
    <w:rsid w:val="00502973"/>
    <w:rsid w:val="00502C00"/>
    <w:rsid w:val="00502D10"/>
    <w:rsid w:val="005030A1"/>
    <w:rsid w:val="005036DD"/>
    <w:rsid w:val="005037BE"/>
    <w:rsid w:val="005037C8"/>
    <w:rsid w:val="00503B4F"/>
    <w:rsid w:val="00503B76"/>
    <w:rsid w:val="00503E1F"/>
    <w:rsid w:val="005043A8"/>
    <w:rsid w:val="005046BA"/>
    <w:rsid w:val="005047E2"/>
    <w:rsid w:val="00504E2B"/>
    <w:rsid w:val="005052CD"/>
    <w:rsid w:val="0050531E"/>
    <w:rsid w:val="005055B2"/>
    <w:rsid w:val="00505728"/>
    <w:rsid w:val="00505AAF"/>
    <w:rsid w:val="00505DAA"/>
    <w:rsid w:val="005060B7"/>
    <w:rsid w:val="0050618F"/>
    <w:rsid w:val="00506335"/>
    <w:rsid w:val="005065A0"/>
    <w:rsid w:val="00506884"/>
    <w:rsid w:val="00506BD6"/>
    <w:rsid w:val="00506CCC"/>
    <w:rsid w:val="00506D48"/>
    <w:rsid w:val="00506DDE"/>
    <w:rsid w:val="00506E67"/>
    <w:rsid w:val="00507253"/>
    <w:rsid w:val="005072A0"/>
    <w:rsid w:val="0050738B"/>
    <w:rsid w:val="005073C1"/>
    <w:rsid w:val="005074B1"/>
    <w:rsid w:val="0050755E"/>
    <w:rsid w:val="0050756A"/>
    <w:rsid w:val="005079D0"/>
    <w:rsid w:val="00507A09"/>
    <w:rsid w:val="00507C18"/>
    <w:rsid w:val="005100B3"/>
    <w:rsid w:val="005100E2"/>
    <w:rsid w:val="00510178"/>
    <w:rsid w:val="00510812"/>
    <w:rsid w:val="005108A2"/>
    <w:rsid w:val="00510A8B"/>
    <w:rsid w:val="00510E8E"/>
    <w:rsid w:val="0051103E"/>
    <w:rsid w:val="00511051"/>
    <w:rsid w:val="00511172"/>
    <w:rsid w:val="005111F8"/>
    <w:rsid w:val="00511239"/>
    <w:rsid w:val="00511515"/>
    <w:rsid w:val="00511609"/>
    <w:rsid w:val="0051187B"/>
    <w:rsid w:val="00511B6E"/>
    <w:rsid w:val="00511C6A"/>
    <w:rsid w:val="00511CDC"/>
    <w:rsid w:val="00511E93"/>
    <w:rsid w:val="00511EFC"/>
    <w:rsid w:val="00512922"/>
    <w:rsid w:val="00512C62"/>
    <w:rsid w:val="00512C9A"/>
    <w:rsid w:val="005133FF"/>
    <w:rsid w:val="00513963"/>
    <w:rsid w:val="00513BE4"/>
    <w:rsid w:val="00513CB6"/>
    <w:rsid w:val="00513D2A"/>
    <w:rsid w:val="00513D53"/>
    <w:rsid w:val="00513F92"/>
    <w:rsid w:val="005147D2"/>
    <w:rsid w:val="00514A62"/>
    <w:rsid w:val="005150DC"/>
    <w:rsid w:val="0051543B"/>
    <w:rsid w:val="005155DB"/>
    <w:rsid w:val="005156C5"/>
    <w:rsid w:val="00515757"/>
    <w:rsid w:val="005157F7"/>
    <w:rsid w:val="00515C90"/>
    <w:rsid w:val="00515EDC"/>
    <w:rsid w:val="00516196"/>
    <w:rsid w:val="005162E0"/>
    <w:rsid w:val="00516442"/>
    <w:rsid w:val="005169B6"/>
    <w:rsid w:val="00516A8C"/>
    <w:rsid w:val="00516BF8"/>
    <w:rsid w:val="00516CA4"/>
    <w:rsid w:val="00516E88"/>
    <w:rsid w:val="00516FD3"/>
    <w:rsid w:val="0051707C"/>
    <w:rsid w:val="00517110"/>
    <w:rsid w:val="00517181"/>
    <w:rsid w:val="0051726C"/>
    <w:rsid w:val="0051777C"/>
    <w:rsid w:val="00517808"/>
    <w:rsid w:val="00517F29"/>
    <w:rsid w:val="0052007F"/>
    <w:rsid w:val="005201D2"/>
    <w:rsid w:val="00520308"/>
    <w:rsid w:val="005203DB"/>
    <w:rsid w:val="005205B5"/>
    <w:rsid w:val="005205BE"/>
    <w:rsid w:val="0052086F"/>
    <w:rsid w:val="005208B0"/>
    <w:rsid w:val="00520ACF"/>
    <w:rsid w:val="00520AD4"/>
    <w:rsid w:val="00520AFA"/>
    <w:rsid w:val="00520E45"/>
    <w:rsid w:val="005210B7"/>
    <w:rsid w:val="0052119C"/>
    <w:rsid w:val="00521344"/>
    <w:rsid w:val="00521744"/>
    <w:rsid w:val="0052182B"/>
    <w:rsid w:val="00521A11"/>
    <w:rsid w:val="00521E29"/>
    <w:rsid w:val="005223F8"/>
    <w:rsid w:val="0052261D"/>
    <w:rsid w:val="005226D7"/>
    <w:rsid w:val="00522B18"/>
    <w:rsid w:val="00522B81"/>
    <w:rsid w:val="00522B9B"/>
    <w:rsid w:val="00522C15"/>
    <w:rsid w:val="00522D66"/>
    <w:rsid w:val="00522E0B"/>
    <w:rsid w:val="00522E5D"/>
    <w:rsid w:val="00522F3A"/>
    <w:rsid w:val="00523089"/>
    <w:rsid w:val="00523438"/>
    <w:rsid w:val="00523F6F"/>
    <w:rsid w:val="00524031"/>
    <w:rsid w:val="005240B8"/>
    <w:rsid w:val="005240C8"/>
    <w:rsid w:val="0052415F"/>
    <w:rsid w:val="005241E4"/>
    <w:rsid w:val="005241F3"/>
    <w:rsid w:val="00524980"/>
    <w:rsid w:val="00524AB1"/>
    <w:rsid w:val="00524F98"/>
    <w:rsid w:val="005252B0"/>
    <w:rsid w:val="005252D3"/>
    <w:rsid w:val="00525543"/>
    <w:rsid w:val="005256F2"/>
    <w:rsid w:val="00525978"/>
    <w:rsid w:val="00525A53"/>
    <w:rsid w:val="00525AA7"/>
    <w:rsid w:val="00525C57"/>
    <w:rsid w:val="005263C8"/>
    <w:rsid w:val="005264B9"/>
    <w:rsid w:val="005265BA"/>
    <w:rsid w:val="0052671F"/>
    <w:rsid w:val="0052747B"/>
    <w:rsid w:val="005276FD"/>
    <w:rsid w:val="00527730"/>
    <w:rsid w:val="00527AB5"/>
    <w:rsid w:val="00530033"/>
    <w:rsid w:val="00530212"/>
    <w:rsid w:val="0053029C"/>
    <w:rsid w:val="005306CC"/>
    <w:rsid w:val="00530B58"/>
    <w:rsid w:val="00530E85"/>
    <w:rsid w:val="00530EF3"/>
    <w:rsid w:val="0053146E"/>
    <w:rsid w:val="0053157C"/>
    <w:rsid w:val="005317FC"/>
    <w:rsid w:val="00531831"/>
    <w:rsid w:val="00531AE3"/>
    <w:rsid w:val="00531C2B"/>
    <w:rsid w:val="00531C83"/>
    <w:rsid w:val="0053207A"/>
    <w:rsid w:val="00532B51"/>
    <w:rsid w:val="00532D85"/>
    <w:rsid w:val="005330E6"/>
    <w:rsid w:val="00533493"/>
    <w:rsid w:val="005334C6"/>
    <w:rsid w:val="00533703"/>
    <w:rsid w:val="005338B8"/>
    <w:rsid w:val="005338FA"/>
    <w:rsid w:val="00533A14"/>
    <w:rsid w:val="00533C48"/>
    <w:rsid w:val="00533D36"/>
    <w:rsid w:val="00534141"/>
    <w:rsid w:val="0053424B"/>
    <w:rsid w:val="0053427A"/>
    <w:rsid w:val="0053438A"/>
    <w:rsid w:val="005347A8"/>
    <w:rsid w:val="0053495B"/>
    <w:rsid w:val="00534C00"/>
    <w:rsid w:val="00534DE7"/>
    <w:rsid w:val="00534DE8"/>
    <w:rsid w:val="0053500A"/>
    <w:rsid w:val="00535763"/>
    <w:rsid w:val="00535775"/>
    <w:rsid w:val="005358BD"/>
    <w:rsid w:val="00535AC5"/>
    <w:rsid w:val="00535B08"/>
    <w:rsid w:val="00535C57"/>
    <w:rsid w:val="00535D04"/>
    <w:rsid w:val="00535EC4"/>
    <w:rsid w:val="005367CA"/>
    <w:rsid w:val="00536814"/>
    <w:rsid w:val="00536894"/>
    <w:rsid w:val="00536966"/>
    <w:rsid w:val="005369D6"/>
    <w:rsid w:val="00536A74"/>
    <w:rsid w:val="00536AB5"/>
    <w:rsid w:val="00536F14"/>
    <w:rsid w:val="00536F4A"/>
    <w:rsid w:val="00536F83"/>
    <w:rsid w:val="00536FC5"/>
    <w:rsid w:val="00537063"/>
    <w:rsid w:val="005370FA"/>
    <w:rsid w:val="00537122"/>
    <w:rsid w:val="005373DD"/>
    <w:rsid w:val="00537506"/>
    <w:rsid w:val="00537708"/>
    <w:rsid w:val="0053779E"/>
    <w:rsid w:val="00537A37"/>
    <w:rsid w:val="00537C3D"/>
    <w:rsid w:val="00540098"/>
    <w:rsid w:val="0054019C"/>
    <w:rsid w:val="0054028E"/>
    <w:rsid w:val="005403C9"/>
    <w:rsid w:val="005404FA"/>
    <w:rsid w:val="00540830"/>
    <w:rsid w:val="00540D08"/>
    <w:rsid w:val="00541123"/>
    <w:rsid w:val="00541136"/>
    <w:rsid w:val="0054118A"/>
    <w:rsid w:val="00541360"/>
    <w:rsid w:val="00541567"/>
    <w:rsid w:val="00541656"/>
    <w:rsid w:val="00541709"/>
    <w:rsid w:val="0054172D"/>
    <w:rsid w:val="005417C4"/>
    <w:rsid w:val="0054241D"/>
    <w:rsid w:val="00542597"/>
    <w:rsid w:val="0054294B"/>
    <w:rsid w:val="00542AF8"/>
    <w:rsid w:val="00542E66"/>
    <w:rsid w:val="0054312B"/>
    <w:rsid w:val="005433AA"/>
    <w:rsid w:val="00543733"/>
    <w:rsid w:val="00543B78"/>
    <w:rsid w:val="00543B8B"/>
    <w:rsid w:val="00543CEE"/>
    <w:rsid w:val="00543EAC"/>
    <w:rsid w:val="00543EE5"/>
    <w:rsid w:val="00544097"/>
    <w:rsid w:val="00544480"/>
    <w:rsid w:val="00544883"/>
    <w:rsid w:val="005449C5"/>
    <w:rsid w:val="005449FF"/>
    <w:rsid w:val="00544A69"/>
    <w:rsid w:val="00544B0A"/>
    <w:rsid w:val="00544D98"/>
    <w:rsid w:val="005454A4"/>
    <w:rsid w:val="005455D1"/>
    <w:rsid w:val="005456D0"/>
    <w:rsid w:val="00545C19"/>
    <w:rsid w:val="00545E5F"/>
    <w:rsid w:val="00545F08"/>
    <w:rsid w:val="0054622F"/>
    <w:rsid w:val="005462C0"/>
    <w:rsid w:val="005463C1"/>
    <w:rsid w:val="0054646E"/>
    <w:rsid w:val="00546643"/>
    <w:rsid w:val="005466C0"/>
    <w:rsid w:val="005468C3"/>
    <w:rsid w:val="00546970"/>
    <w:rsid w:val="00546AA8"/>
    <w:rsid w:val="00546B41"/>
    <w:rsid w:val="00546B56"/>
    <w:rsid w:val="00546DA2"/>
    <w:rsid w:val="00546F71"/>
    <w:rsid w:val="00546FBC"/>
    <w:rsid w:val="00546FD2"/>
    <w:rsid w:val="00547081"/>
    <w:rsid w:val="0054724C"/>
    <w:rsid w:val="00547410"/>
    <w:rsid w:val="00547460"/>
    <w:rsid w:val="00547B0F"/>
    <w:rsid w:val="00547B5F"/>
    <w:rsid w:val="00547CA5"/>
    <w:rsid w:val="00550149"/>
    <w:rsid w:val="00550384"/>
    <w:rsid w:val="005504D3"/>
    <w:rsid w:val="005504E5"/>
    <w:rsid w:val="005506F2"/>
    <w:rsid w:val="00550897"/>
    <w:rsid w:val="005508D2"/>
    <w:rsid w:val="00550950"/>
    <w:rsid w:val="00550B8F"/>
    <w:rsid w:val="00550D2D"/>
    <w:rsid w:val="0055105B"/>
    <w:rsid w:val="00551110"/>
    <w:rsid w:val="00551432"/>
    <w:rsid w:val="00551461"/>
    <w:rsid w:val="00551488"/>
    <w:rsid w:val="00551548"/>
    <w:rsid w:val="00551695"/>
    <w:rsid w:val="005516EE"/>
    <w:rsid w:val="0055172A"/>
    <w:rsid w:val="00551C1D"/>
    <w:rsid w:val="0055203D"/>
    <w:rsid w:val="005522B9"/>
    <w:rsid w:val="00552BAE"/>
    <w:rsid w:val="00552CBE"/>
    <w:rsid w:val="005530F4"/>
    <w:rsid w:val="00553299"/>
    <w:rsid w:val="0055363E"/>
    <w:rsid w:val="005537CF"/>
    <w:rsid w:val="0055393F"/>
    <w:rsid w:val="00553A0E"/>
    <w:rsid w:val="00553A23"/>
    <w:rsid w:val="00553B8C"/>
    <w:rsid w:val="00553E38"/>
    <w:rsid w:val="00553E6E"/>
    <w:rsid w:val="00553E9F"/>
    <w:rsid w:val="00553F2E"/>
    <w:rsid w:val="00553F9E"/>
    <w:rsid w:val="00553FDE"/>
    <w:rsid w:val="005541C3"/>
    <w:rsid w:val="005541E6"/>
    <w:rsid w:val="005548A1"/>
    <w:rsid w:val="005548F2"/>
    <w:rsid w:val="0055492A"/>
    <w:rsid w:val="00554A68"/>
    <w:rsid w:val="00554A8F"/>
    <w:rsid w:val="00554A92"/>
    <w:rsid w:val="00554D64"/>
    <w:rsid w:val="00554D69"/>
    <w:rsid w:val="00554ED8"/>
    <w:rsid w:val="00554FF1"/>
    <w:rsid w:val="0055508E"/>
    <w:rsid w:val="005551B3"/>
    <w:rsid w:val="005551B4"/>
    <w:rsid w:val="00555385"/>
    <w:rsid w:val="005555DE"/>
    <w:rsid w:val="005558D0"/>
    <w:rsid w:val="005559F7"/>
    <w:rsid w:val="00555C99"/>
    <w:rsid w:val="00555CD3"/>
    <w:rsid w:val="00555DA1"/>
    <w:rsid w:val="00555E07"/>
    <w:rsid w:val="005561D6"/>
    <w:rsid w:val="005567A1"/>
    <w:rsid w:val="00556A20"/>
    <w:rsid w:val="00556AE0"/>
    <w:rsid w:val="00556B4A"/>
    <w:rsid w:val="00556B75"/>
    <w:rsid w:val="00556D22"/>
    <w:rsid w:val="00556DF8"/>
    <w:rsid w:val="00557403"/>
    <w:rsid w:val="00557701"/>
    <w:rsid w:val="00557829"/>
    <w:rsid w:val="00557DB2"/>
    <w:rsid w:val="00557DE6"/>
    <w:rsid w:val="00557E3A"/>
    <w:rsid w:val="00560166"/>
    <w:rsid w:val="0056033B"/>
    <w:rsid w:val="00560B55"/>
    <w:rsid w:val="00560D41"/>
    <w:rsid w:val="00560FDF"/>
    <w:rsid w:val="00560FFC"/>
    <w:rsid w:val="0056111F"/>
    <w:rsid w:val="005612B8"/>
    <w:rsid w:val="0056137B"/>
    <w:rsid w:val="00561401"/>
    <w:rsid w:val="00561478"/>
    <w:rsid w:val="0056156D"/>
    <w:rsid w:val="005615A5"/>
    <w:rsid w:val="00561606"/>
    <w:rsid w:val="005617F8"/>
    <w:rsid w:val="00561C2A"/>
    <w:rsid w:val="00561D9D"/>
    <w:rsid w:val="00561F2C"/>
    <w:rsid w:val="0056210A"/>
    <w:rsid w:val="0056216B"/>
    <w:rsid w:val="005621C9"/>
    <w:rsid w:val="00562466"/>
    <w:rsid w:val="005624CD"/>
    <w:rsid w:val="00562628"/>
    <w:rsid w:val="00562DA4"/>
    <w:rsid w:val="00562E07"/>
    <w:rsid w:val="00562F05"/>
    <w:rsid w:val="005633C4"/>
    <w:rsid w:val="005636DA"/>
    <w:rsid w:val="0056386B"/>
    <w:rsid w:val="00563B2D"/>
    <w:rsid w:val="00563B87"/>
    <w:rsid w:val="00563C8C"/>
    <w:rsid w:val="00564638"/>
    <w:rsid w:val="00564832"/>
    <w:rsid w:val="005648AF"/>
    <w:rsid w:val="00564AFE"/>
    <w:rsid w:val="00564BEB"/>
    <w:rsid w:val="00564DD1"/>
    <w:rsid w:val="0056545E"/>
    <w:rsid w:val="00565520"/>
    <w:rsid w:val="0056559F"/>
    <w:rsid w:val="005655EC"/>
    <w:rsid w:val="005655EF"/>
    <w:rsid w:val="00565723"/>
    <w:rsid w:val="0056586A"/>
    <w:rsid w:val="0056587F"/>
    <w:rsid w:val="00565A22"/>
    <w:rsid w:val="00565A58"/>
    <w:rsid w:val="00565D35"/>
    <w:rsid w:val="00565FED"/>
    <w:rsid w:val="005660C1"/>
    <w:rsid w:val="005661D3"/>
    <w:rsid w:val="00566220"/>
    <w:rsid w:val="00566616"/>
    <w:rsid w:val="00566E86"/>
    <w:rsid w:val="00566F66"/>
    <w:rsid w:val="005672F7"/>
    <w:rsid w:val="0056733D"/>
    <w:rsid w:val="005673EE"/>
    <w:rsid w:val="005675F5"/>
    <w:rsid w:val="00567C3C"/>
    <w:rsid w:val="00567D42"/>
    <w:rsid w:val="00567DFD"/>
    <w:rsid w:val="00570195"/>
    <w:rsid w:val="005704B6"/>
    <w:rsid w:val="00570630"/>
    <w:rsid w:val="00570645"/>
    <w:rsid w:val="00570D6E"/>
    <w:rsid w:val="00570FF4"/>
    <w:rsid w:val="005712CA"/>
    <w:rsid w:val="00571327"/>
    <w:rsid w:val="0057133B"/>
    <w:rsid w:val="00571439"/>
    <w:rsid w:val="00571512"/>
    <w:rsid w:val="00571701"/>
    <w:rsid w:val="00571C0F"/>
    <w:rsid w:val="00571DD0"/>
    <w:rsid w:val="005723CB"/>
    <w:rsid w:val="00572A98"/>
    <w:rsid w:val="00572BB5"/>
    <w:rsid w:val="00572E25"/>
    <w:rsid w:val="00573429"/>
    <w:rsid w:val="00573521"/>
    <w:rsid w:val="0057355D"/>
    <w:rsid w:val="005735C8"/>
    <w:rsid w:val="00573725"/>
    <w:rsid w:val="005737F4"/>
    <w:rsid w:val="00573950"/>
    <w:rsid w:val="005739A0"/>
    <w:rsid w:val="00573CB5"/>
    <w:rsid w:val="00574444"/>
    <w:rsid w:val="005748C2"/>
    <w:rsid w:val="005749E8"/>
    <w:rsid w:val="00575618"/>
    <w:rsid w:val="00575630"/>
    <w:rsid w:val="005757E9"/>
    <w:rsid w:val="00575A1A"/>
    <w:rsid w:val="00575A5A"/>
    <w:rsid w:val="00575B0F"/>
    <w:rsid w:val="00575B8E"/>
    <w:rsid w:val="00575E8D"/>
    <w:rsid w:val="0057626F"/>
    <w:rsid w:val="0057657C"/>
    <w:rsid w:val="00576714"/>
    <w:rsid w:val="0057691A"/>
    <w:rsid w:val="00576A77"/>
    <w:rsid w:val="00576DDD"/>
    <w:rsid w:val="00577054"/>
    <w:rsid w:val="005772AF"/>
    <w:rsid w:val="005774B9"/>
    <w:rsid w:val="005774CC"/>
    <w:rsid w:val="0057755D"/>
    <w:rsid w:val="0057774A"/>
    <w:rsid w:val="00577C40"/>
    <w:rsid w:val="00577C75"/>
    <w:rsid w:val="00577CF1"/>
    <w:rsid w:val="00577E25"/>
    <w:rsid w:val="005802D4"/>
    <w:rsid w:val="0058044E"/>
    <w:rsid w:val="00580454"/>
    <w:rsid w:val="00580502"/>
    <w:rsid w:val="005808A1"/>
    <w:rsid w:val="00581163"/>
    <w:rsid w:val="00581532"/>
    <w:rsid w:val="00581684"/>
    <w:rsid w:val="0058175C"/>
    <w:rsid w:val="00581B1F"/>
    <w:rsid w:val="00581BDA"/>
    <w:rsid w:val="00581D97"/>
    <w:rsid w:val="00582212"/>
    <w:rsid w:val="00582218"/>
    <w:rsid w:val="0058266B"/>
    <w:rsid w:val="00582711"/>
    <w:rsid w:val="005827F2"/>
    <w:rsid w:val="00582FEC"/>
    <w:rsid w:val="0058331D"/>
    <w:rsid w:val="00583377"/>
    <w:rsid w:val="005833CB"/>
    <w:rsid w:val="00583581"/>
    <w:rsid w:val="00583751"/>
    <w:rsid w:val="0058386F"/>
    <w:rsid w:val="005838ED"/>
    <w:rsid w:val="00583B55"/>
    <w:rsid w:val="00583E4B"/>
    <w:rsid w:val="00583F33"/>
    <w:rsid w:val="00583F3D"/>
    <w:rsid w:val="00583F52"/>
    <w:rsid w:val="005842AA"/>
    <w:rsid w:val="005843CA"/>
    <w:rsid w:val="0058462D"/>
    <w:rsid w:val="005847D0"/>
    <w:rsid w:val="00584A39"/>
    <w:rsid w:val="00584AF2"/>
    <w:rsid w:val="00584BDC"/>
    <w:rsid w:val="00584F99"/>
    <w:rsid w:val="00585088"/>
    <w:rsid w:val="00585529"/>
    <w:rsid w:val="005859E6"/>
    <w:rsid w:val="005859F9"/>
    <w:rsid w:val="00585E04"/>
    <w:rsid w:val="00585F49"/>
    <w:rsid w:val="0058605D"/>
    <w:rsid w:val="00586772"/>
    <w:rsid w:val="005868BA"/>
    <w:rsid w:val="00586A27"/>
    <w:rsid w:val="00586A29"/>
    <w:rsid w:val="00586BAC"/>
    <w:rsid w:val="00586D40"/>
    <w:rsid w:val="00586D8B"/>
    <w:rsid w:val="00586DCC"/>
    <w:rsid w:val="00586F9F"/>
    <w:rsid w:val="00586FFA"/>
    <w:rsid w:val="00587223"/>
    <w:rsid w:val="00587389"/>
    <w:rsid w:val="0058738C"/>
    <w:rsid w:val="00587798"/>
    <w:rsid w:val="00587DB7"/>
    <w:rsid w:val="00587EEA"/>
    <w:rsid w:val="00590924"/>
    <w:rsid w:val="00590C2B"/>
    <w:rsid w:val="00590CAD"/>
    <w:rsid w:val="00590CFB"/>
    <w:rsid w:val="00590E74"/>
    <w:rsid w:val="00591435"/>
    <w:rsid w:val="005914B3"/>
    <w:rsid w:val="00591580"/>
    <w:rsid w:val="00591DF5"/>
    <w:rsid w:val="00591EDD"/>
    <w:rsid w:val="00591F0C"/>
    <w:rsid w:val="0059220B"/>
    <w:rsid w:val="00592394"/>
    <w:rsid w:val="005924BD"/>
    <w:rsid w:val="00592727"/>
    <w:rsid w:val="005927CD"/>
    <w:rsid w:val="005929DB"/>
    <w:rsid w:val="00592E8E"/>
    <w:rsid w:val="0059348F"/>
    <w:rsid w:val="00593D74"/>
    <w:rsid w:val="005941A3"/>
    <w:rsid w:val="00594815"/>
    <w:rsid w:val="00594981"/>
    <w:rsid w:val="005949ED"/>
    <w:rsid w:val="00594B59"/>
    <w:rsid w:val="00594D7F"/>
    <w:rsid w:val="00594E24"/>
    <w:rsid w:val="00594F12"/>
    <w:rsid w:val="00594F1A"/>
    <w:rsid w:val="00594FB5"/>
    <w:rsid w:val="0059529A"/>
    <w:rsid w:val="00595464"/>
    <w:rsid w:val="005954FA"/>
    <w:rsid w:val="005956FF"/>
    <w:rsid w:val="0059578F"/>
    <w:rsid w:val="005957BC"/>
    <w:rsid w:val="00595825"/>
    <w:rsid w:val="00595981"/>
    <w:rsid w:val="00595AC2"/>
    <w:rsid w:val="00595AE3"/>
    <w:rsid w:val="00595DA7"/>
    <w:rsid w:val="00595E33"/>
    <w:rsid w:val="00595FAF"/>
    <w:rsid w:val="00595FE4"/>
    <w:rsid w:val="00596134"/>
    <w:rsid w:val="005964D9"/>
    <w:rsid w:val="00596699"/>
    <w:rsid w:val="00596787"/>
    <w:rsid w:val="00596A13"/>
    <w:rsid w:val="00596ADF"/>
    <w:rsid w:val="00596E5E"/>
    <w:rsid w:val="00596E79"/>
    <w:rsid w:val="0059730D"/>
    <w:rsid w:val="00597519"/>
    <w:rsid w:val="00597716"/>
    <w:rsid w:val="0059786F"/>
    <w:rsid w:val="00597964"/>
    <w:rsid w:val="00597F84"/>
    <w:rsid w:val="00597FA3"/>
    <w:rsid w:val="00597FB7"/>
    <w:rsid w:val="005A01A5"/>
    <w:rsid w:val="005A020F"/>
    <w:rsid w:val="005A05DF"/>
    <w:rsid w:val="005A0785"/>
    <w:rsid w:val="005A087D"/>
    <w:rsid w:val="005A09F3"/>
    <w:rsid w:val="005A0F5F"/>
    <w:rsid w:val="005A1192"/>
    <w:rsid w:val="005A11A8"/>
    <w:rsid w:val="005A11C0"/>
    <w:rsid w:val="005A13C2"/>
    <w:rsid w:val="005A13EF"/>
    <w:rsid w:val="005A16FE"/>
    <w:rsid w:val="005A17B9"/>
    <w:rsid w:val="005A18FD"/>
    <w:rsid w:val="005A1944"/>
    <w:rsid w:val="005A1954"/>
    <w:rsid w:val="005A1D40"/>
    <w:rsid w:val="005A1DB2"/>
    <w:rsid w:val="005A1E96"/>
    <w:rsid w:val="005A23F3"/>
    <w:rsid w:val="005A26FC"/>
    <w:rsid w:val="005A2936"/>
    <w:rsid w:val="005A2A9D"/>
    <w:rsid w:val="005A2CD5"/>
    <w:rsid w:val="005A3439"/>
    <w:rsid w:val="005A3515"/>
    <w:rsid w:val="005A37F9"/>
    <w:rsid w:val="005A3899"/>
    <w:rsid w:val="005A3A4E"/>
    <w:rsid w:val="005A3B09"/>
    <w:rsid w:val="005A3B7A"/>
    <w:rsid w:val="005A3EC8"/>
    <w:rsid w:val="005A40CD"/>
    <w:rsid w:val="005A4389"/>
    <w:rsid w:val="005A439A"/>
    <w:rsid w:val="005A46CD"/>
    <w:rsid w:val="005A4D29"/>
    <w:rsid w:val="005A4FF8"/>
    <w:rsid w:val="005A5136"/>
    <w:rsid w:val="005A52C1"/>
    <w:rsid w:val="005A568F"/>
    <w:rsid w:val="005A5715"/>
    <w:rsid w:val="005A5796"/>
    <w:rsid w:val="005A57A5"/>
    <w:rsid w:val="005A57AF"/>
    <w:rsid w:val="005A59DA"/>
    <w:rsid w:val="005A5A26"/>
    <w:rsid w:val="005A5B0F"/>
    <w:rsid w:val="005A5F28"/>
    <w:rsid w:val="005A68FE"/>
    <w:rsid w:val="005A6A94"/>
    <w:rsid w:val="005A6C4E"/>
    <w:rsid w:val="005A6CA5"/>
    <w:rsid w:val="005A6E98"/>
    <w:rsid w:val="005A6EC9"/>
    <w:rsid w:val="005A73AE"/>
    <w:rsid w:val="005A785F"/>
    <w:rsid w:val="005A79AE"/>
    <w:rsid w:val="005A79D9"/>
    <w:rsid w:val="005A79EF"/>
    <w:rsid w:val="005A7CA1"/>
    <w:rsid w:val="005A7E02"/>
    <w:rsid w:val="005A7E78"/>
    <w:rsid w:val="005B0070"/>
    <w:rsid w:val="005B0563"/>
    <w:rsid w:val="005B05B4"/>
    <w:rsid w:val="005B072D"/>
    <w:rsid w:val="005B0771"/>
    <w:rsid w:val="005B07CA"/>
    <w:rsid w:val="005B07D1"/>
    <w:rsid w:val="005B0968"/>
    <w:rsid w:val="005B0C6A"/>
    <w:rsid w:val="005B0F1A"/>
    <w:rsid w:val="005B105F"/>
    <w:rsid w:val="005B12AB"/>
    <w:rsid w:val="005B1617"/>
    <w:rsid w:val="005B17E7"/>
    <w:rsid w:val="005B1D16"/>
    <w:rsid w:val="005B1DCF"/>
    <w:rsid w:val="005B1E45"/>
    <w:rsid w:val="005B1E93"/>
    <w:rsid w:val="005B205C"/>
    <w:rsid w:val="005B21DB"/>
    <w:rsid w:val="005B26CA"/>
    <w:rsid w:val="005B2D17"/>
    <w:rsid w:val="005B2D9E"/>
    <w:rsid w:val="005B2FA5"/>
    <w:rsid w:val="005B3344"/>
    <w:rsid w:val="005B34F5"/>
    <w:rsid w:val="005B3504"/>
    <w:rsid w:val="005B3585"/>
    <w:rsid w:val="005B3694"/>
    <w:rsid w:val="005B3781"/>
    <w:rsid w:val="005B37B4"/>
    <w:rsid w:val="005B3991"/>
    <w:rsid w:val="005B3B5D"/>
    <w:rsid w:val="005B3C4B"/>
    <w:rsid w:val="005B3D18"/>
    <w:rsid w:val="005B3DB8"/>
    <w:rsid w:val="005B4054"/>
    <w:rsid w:val="005B4247"/>
    <w:rsid w:val="005B4394"/>
    <w:rsid w:val="005B458E"/>
    <w:rsid w:val="005B45B0"/>
    <w:rsid w:val="005B4A3C"/>
    <w:rsid w:val="005B4FCD"/>
    <w:rsid w:val="005B50C9"/>
    <w:rsid w:val="005B5196"/>
    <w:rsid w:val="005B526D"/>
    <w:rsid w:val="005B53D3"/>
    <w:rsid w:val="005B53D8"/>
    <w:rsid w:val="005B5653"/>
    <w:rsid w:val="005B5661"/>
    <w:rsid w:val="005B56BD"/>
    <w:rsid w:val="005B5701"/>
    <w:rsid w:val="005B59E0"/>
    <w:rsid w:val="005B5C8A"/>
    <w:rsid w:val="005B5DAD"/>
    <w:rsid w:val="005B6058"/>
    <w:rsid w:val="005B6151"/>
    <w:rsid w:val="005B61A8"/>
    <w:rsid w:val="005B61F4"/>
    <w:rsid w:val="005B64AC"/>
    <w:rsid w:val="005B655B"/>
    <w:rsid w:val="005B697B"/>
    <w:rsid w:val="005B699D"/>
    <w:rsid w:val="005B6A55"/>
    <w:rsid w:val="005B6B60"/>
    <w:rsid w:val="005B6CBE"/>
    <w:rsid w:val="005B6D36"/>
    <w:rsid w:val="005B6E0A"/>
    <w:rsid w:val="005B6F96"/>
    <w:rsid w:val="005B6FF7"/>
    <w:rsid w:val="005B7328"/>
    <w:rsid w:val="005B76B9"/>
    <w:rsid w:val="005B780A"/>
    <w:rsid w:val="005B7967"/>
    <w:rsid w:val="005B7B80"/>
    <w:rsid w:val="005B7B99"/>
    <w:rsid w:val="005C02E9"/>
    <w:rsid w:val="005C088E"/>
    <w:rsid w:val="005C08A0"/>
    <w:rsid w:val="005C0AA3"/>
    <w:rsid w:val="005C0B97"/>
    <w:rsid w:val="005C0C52"/>
    <w:rsid w:val="005C0CF4"/>
    <w:rsid w:val="005C0D73"/>
    <w:rsid w:val="005C0F25"/>
    <w:rsid w:val="005C0F37"/>
    <w:rsid w:val="005C0F8B"/>
    <w:rsid w:val="005C1030"/>
    <w:rsid w:val="005C111B"/>
    <w:rsid w:val="005C194F"/>
    <w:rsid w:val="005C1F77"/>
    <w:rsid w:val="005C2090"/>
    <w:rsid w:val="005C2229"/>
    <w:rsid w:val="005C22D8"/>
    <w:rsid w:val="005C22EC"/>
    <w:rsid w:val="005C253B"/>
    <w:rsid w:val="005C27D5"/>
    <w:rsid w:val="005C2817"/>
    <w:rsid w:val="005C2C7B"/>
    <w:rsid w:val="005C2DAB"/>
    <w:rsid w:val="005C3599"/>
    <w:rsid w:val="005C3751"/>
    <w:rsid w:val="005C38D3"/>
    <w:rsid w:val="005C3916"/>
    <w:rsid w:val="005C3BBE"/>
    <w:rsid w:val="005C4068"/>
    <w:rsid w:val="005C42FE"/>
    <w:rsid w:val="005C46DF"/>
    <w:rsid w:val="005C484E"/>
    <w:rsid w:val="005C4AA8"/>
    <w:rsid w:val="005C4AFB"/>
    <w:rsid w:val="005C4B33"/>
    <w:rsid w:val="005C4D24"/>
    <w:rsid w:val="005C5078"/>
    <w:rsid w:val="005C51E7"/>
    <w:rsid w:val="005C5434"/>
    <w:rsid w:val="005C5455"/>
    <w:rsid w:val="005C5915"/>
    <w:rsid w:val="005C5AD6"/>
    <w:rsid w:val="005C5CB0"/>
    <w:rsid w:val="005C60A7"/>
    <w:rsid w:val="005C6157"/>
    <w:rsid w:val="005C6186"/>
    <w:rsid w:val="005C6200"/>
    <w:rsid w:val="005C6582"/>
    <w:rsid w:val="005C7528"/>
    <w:rsid w:val="005C76E6"/>
    <w:rsid w:val="005C77C9"/>
    <w:rsid w:val="005C782D"/>
    <w:rsid w:val="005C78ED"/>
    <w:rsid w:val="005C79FA"/>
    <w:rsid w:val="005C7C59"/>
    <w:rsid w:val="005C7FBE"/>
    <w:rsid w:val="005D0285"/>
    <w:rsid w:val="005D05E9"/>
    <w:rsid w:val="005D07D6"/>
    <w:rsid w:val="005D08AD"/>
    <w:rsid w:val="005D0A69"/>
    <w:rsid w:val="005D0AC5"/>
    <w:rsid w:val="005D0B7F"/>
    <w:rsid w:val="005D0C27"/>
    <w:rsid w:val="005D0DBA"/>
    <w:rsid w:val="005D106E"/>
    <w:rsid w:val="005D1225"/>
    <w:rsid w:val="005D1239"/>
    <w:rsid w:val="005D1335"/>
    <w:rsid w:val="005D1514"/>
    <w:rsid w:val="005D1740"/>
    <w:rsid w:val="005D1760"/>
    <w:rsid w:val="005D19A1"/>
    <w:rsid w:val="005D2285"/>
    <w:rsid w:val="005D2A1C"/>
    <w:rsid w:val="005D2BEA"/>
    <w:rsid w:val="005D2CCA"/>
    <w:rsid w:val="005D2D44"/>
    <w:rsid w:val="005D2D59"/>
    <w:rsid w:val="005D2E44"/>
    <w:rsid w:val="005D2F78"/>
    <w:rsid w:val="005D324E"/>
    <w:rsid w:val="005D3493"/>
    <w:rsid w:val="005D34E2"/>
    <w:rsid w:val="005D36D8"/>
    <w:rsid w:val="005D3967"/>
    <w:rsid w:val="005D3A27"/>
    <w:rsid w:val="005D3A30"/>
    <w:rsid w:val="005D3A8A"/>
    <w:rsid w:val="005D3C42"/>
    <w:rsid w:val="005D3CD4"/>
    <w:rsid w:val="005D3CF9"/>
    <w:rsid w:val="005D3EB5"/>
    <w:rsid w:val="005D46A4"/>
    <w:rsid w:val="005D46FD"/>
    <w:rsid w:val="005D48A8"/>
    <w:rsid w:val="005D4B32"/>
    <w:rsid w:val="005D4BC3"/>
    <w:rsid w:val="005D4C85"/>
    <w:rsid w:val="005D4EC8"/>
    <w:rsid w:val="005D4F41"/>
    <w:rsid w:val="005D5015"/>
    <w:rsid w:val="005D50A1"/>
    <w:rsid w:val="005D50F3"/>
    <w:rsid w:val="005D5300"/>
    <w:rsid w:val="005D530E"/>
    <w:rsid w:val="005D5331"/>
    <w:rsid w:val="005D565C"/>
    <w:rsid w:val="005D58A3"/>
    <w:rsid w:val="005D58D2"/>
    <w:rsid w:val="005D59EA"/>
    <w:rsid w:val="005D5C81"/>
    <w:rsid w:val="005D5FFE"/>
    <w:rsid w:val="005D60A4"/>
    <w:rsid w:val="005D65DB"/>
    <w:rsid w:val="005D6853"/>
    <w:rsid w:val="005D6DA4"/>
    <w:rsid w:val="005D6EA7"/>
    <w:rsid w:val="005D6ED5"/>
    <w:rsid w:val="005D6FFA"/>
    <w:rsid w:val="005D7375"/>
    <w:rsid w:val="005D749F"/>
    <w:rsid w:val="005D7542"/>
    <w:rsid w:val="005D769D"/>
    <w:rsid w:val="005D76AA"/>
    <w:rsid w:val="005D7935"/>
    <w:rsid w:val="005D7B19"/>
    <w:rsid w:val="005D7DBF"/>
    <w:rsid w:val="005D7E8B"/>
    <w:rsid w:val="005D7EEE"/>
    <w:rsid w:val="005D7F65"/>
    <w:rsid w:val="005D7FDE"/>
    <w:rsid w:val="005D7FE9"/>
    <w:rsid w:val="005D7FEE"/>
    <w:rsid w:val="005E0324"/>
    <w:rsid w:val="005E03B2"/>
    <w:rsid w:val="005E0400"/>
    <w:rsid w:val="005E04CC"/>
    <w:rsid w:val="005E0664"/>
    <w:rsid w:val="005E081B"/>
    <w:rsid w:val="005E0F23"/>
    <w:rsid w:val="005E11E0"/>
    <w:rsid w:val="005E1362"/>
    <w:rsid w:val="005E1398"/>
    <w:rsid w:val="005E1403"/>
    <w:rsid w:val="005E1452"/>
    <w:rsid w:val="005E14C6"/>
    <w:rsid w:val="005E15F9"/>
    <w:rsid w:val="005E16A0"/>
    <w:rsid w:val="005E1792"/>
    <w:rsid w:val="005E189B"/>
    <w:rsid w:val="005E193A"/>
    <w:rsid w:val="005E1BD5"/>
    <w:rsid w:val="005E1C3A"/>
    <w:rsid w:val="005E1C83"/>
    <w:rsid w:val="005E229F"/>
    <w:rsid w:val="005E2358"/>
    <w:rsid w:val="005E29F9"/>
    <w:rsid w:val="005E2A33"/>
    <w:rsid w:val="005E2AEE"/>
    <w:rsid w:val="005E2EE8"/>
    <w:rsid w:val="005E31D9"/>
    <w:rsid w:val="005E32CB"/>
    <w:rsid w:val="005E3389"/>
    <w:rsid w:val="005E3A49"/>
    <w:rsid w:val="005E3D34"/>
    <w:rsid w:val="005E3DF0"/>
    <w:rsid w:val="005E3F3E"/>
    <w:rsid w:val="005E4296"/>
    <w:rsid w:val="005E42B4"/>
    <w:rsid w:val="005E442E"/>
    <w:rsid w:val="005E48E8"/>
    <w:rsid w:val="005E4998"/>
    <w:rsid w:val="005E4A10"/>
    <w:rsid w:val="005E4BA2"/>
    <w:rsid w:val="005E4BBB"/>
    <w:rsid w:val="005E4C4E"/>
    <w:rsid w:val="005E4CAB"/>
    <w:rsid w:val="005E4CF2"/>
    <w:rsid w:val="005E4F95"/>
    <w:rsid w:val="005E4FF3"/>
    <w:rsid w:val="005E5176"/>
    <w:rsid w:val="005E51F8"/>
    <w:rsid w:val="005E5300"/>
    <w:rsid w:val="005E56B8"/>
    <w:rsid w:val="005E59C6"/>
    <w:rsid w:val="005E5B04"/>
    <w:rsid w:val="005E5B87"/>
    <w:rsid w:val="005E5E5A"/>
    <w:rsid w:val="005E5FF8"/>
    <w:rsid w:val="005E6389"/>
    <w:rsid w:val="005E63E0"/>
    <w:rsid w:val="005E6B0E"/>
    <w:rsid w:val="005E6D32"/>
    <w:rsid w:val="005E6FBF"/>
    <w:rsid w:val="005E711B"/>
    <w:rsid w:val="005E7462"/>
    <w:rsid w:val="005E751F"/>
    <w:rsid w:val="005E7690"/>
    <w:rsid w:val="005E7741"/>
    <w:rsid w:val="005E795C"/>
    <w:rsid w:val="005E79A5"/>
    <w:rsid w:val="005E79C9"/>
    <w:rsid w:val="005E79D1"/>
    <w:rsid w:val="005E7A14"/>
    <w:rsid w:val="005E7D24"/>
    <w:rsid w:val="005F00A0"/>
    <w:rsid w:val="005F022B"/>
    <w:rsid w:val="005F0678"/>
    <w:rsid w:val="005F0735"/>
    <w:rsid w:val="005F0C3B"/>
    <w:rsid w:val="005F0E0C"/>
    <w:rsid w:val="005F0EC6"/>
    <w:rsid w:val="005F0FE8"/>
    <w:rsid w:val="005F10F7"/>
    <w:rsid w:val="005F12EB"/>
    <w:rsid w:val="005F1492"/>
    <w:rsid w:val="005F14E9"/>
    <w:rsid w:val="005F1590"/>
    <w:rsid w:val="005F1626"/>
    <w:rsid w:val="005F1D52"/>
    <w:rsid w:val="005F2013"/>
    <w:rsid w:val="005F2315"/>
    <w:rsid w:val="005F2421"/>
    <w:rsid w:val="005F2436"/>
    <w:rsid w:val="005F2470"/>
    <w:rsid w:val="005F2716"/>
    <w:rsid w:val="005F276D"/>
    <w:rsid w:val="005F27A1"/>
    <w:rsid w:val="005F2A08"/>
    <w:rsid w:val="005F2BA8"/>
    <w:rsid w:val="005F2BF4"/>
    <w:rsid w:val="005F2CC1"/>
    <w:rsid w:val="005F3324"/>
    <w:rsid w:val="005F3633"/>
    <w:rsid w:val="005F364E"/>
    <w:rsid w:val="005F3A4C"/>
    <w:rsid w:val="005F3BEA"/>
    <w:rsid w:val="005F3CE2"/>
    <w:rsid w:val="005F3D7E"/>
    <w:rsid w:val="005F3DC0"/>
    <w:rsid w:val="005F3DEF"/>
    <w:rsid w:val="005F439F"/>
    <w:rsid w:val="005F44C4"/>
    <w:rsid w:val="005F476A"/>
    <w:rsid w:val="005F482D"/>
    <w:rsid w:val="005F4D29"/>
    <w:rsid w:val="005F4D6E"/>
    <w:rsid w:val="005F4EAF"/>
    <w:rsid w:val="005F4FE4"/>
    <w:rsid w:val="005F5360"/>
    <w:rsid w:val="005F5421"/>
    <w:rsid w:val="005F54C4"/>
    <w:rsid w:val="005F5846"/>
    <w:rsid w:val="005F5AAD"/>
    <w:rsid w:val="005F5B16"/>
    <w:rsid w:val="005F62E3"/>
    <w:rsid w:val="005F62E8"/>
    <w:rsid w:val="005F648B"/>
    <w:rsid w:val="005F668D"/>
    <w:rsid w:val="005F6AE6"/>
    <w:rsid w:val="005F6E46"/>
    <w:rsid w:val="005F72AC"/>
    <w:rsid w:val="005F731B"/>
    <w:rsid w:val="005F73DC"/>
    <w:rsid w:val="005F7516"/>
    <w:rsid w:val="005F7747"/>
    <w:rsid w:val="005F7833"/>
    <w:rsid w:val="005F7B01"/>
    <w:rsid w:val="005F7CD0"/>
    <w:rsid w:val="005F7CE4"/>
    <w:rsid w:val="005F7EEE"/>
    <w:rsid w:val="00600459"/>
    <w:rsid w:val="00600C49"/>
    <w:rsid w:val="00601032"/>
    <w:rsid w:val="006010AC"/>
    <w:rsid w:val="00601143"/>
    <w:rsid w:val="0060119B"/>
    <w:rsid w:val="0060123A"/>
    <w:rsid w:val="0060154E"/>
    <w:rsid w:val="00601619"/>
    <w:rsid w:val="00601660"/>
    <w:rsid w:val="00601E74"/>
    <w:rsid w:val="00601FBB"/>
    <w:rsid w:val="0060237E"/>
    <w:rsid w:val="006028EA"/>
    <w:rsid w:val="00602C62"/>
    <w:rsid w:val="00602CA1"/>
    <w:rsid w:val="00602DE6"/>
    <w:rsid w:val="006030BA"/>
    <w:rsid w:val="00603845"/>
    <w:rsid w:val="0060393E"/>
    <w:rsid w:val="00603B57"/>
    <w:rsid w:val="006042A8"/>
    <w:rsid w:val="006042DD"/>
    <w:rsid w:val="006045D4"/>
    <w:rsid w:val="006047E2"/>
    <w:rsid w:val="00604B2C"/>
    <w:rsid w:val="00604EB3"/>
    <w:rsid w:val="0060509B"/>
    <w:rsid w:val="006057BC"/>
    <w:rsid w:val="006057F4"/>
    <w:rsid w:val="0060581E"/>
    <w:rsid w:val="00605D03"/>
    <w:rsid w:val="00605D0A"/>
    <w:rsid w:val="00605D58"/>
    <w:rsid w:val="006060F5"/>
    <w:rsid w:val="00606468"/>
    <w:rsid w:val="0060648B"/>
    <w:rsid w:val="00606616"/>
    <w:rsid w:val="00606626"/>
    <w:rsid w:val="0060682C"/>
    <w:rsid w:val="00606ACB"/>
    <w:rsid w:val="00607110"/>
    <w:rsid w:val="00607247"/>
    <w:rsid w:val="00607296"/>
    <w:rsid w:val="00607395"/>
    <w:rsid w:val="006073D0"/>
    <w:rsid w:val="006076E6"/>
    <w:rsid w:val="0060788D"/>
    <w:rsid w:val="00607B36"/>
    <w:rsid w:val="00607B5B"/>
    <w:rsid w:val="00607DC4"/>
    <w:rsid w:val="00607F6A"/>
    <w:rsid w:val="00610065"/>
    <w:rsid w:val="006102E0"/>
    <w:rsid w:val="00610317"/>
    <w:rsid w:val="0061067E"/>
    <w:rsid w:val="00610850"/>
    <w:rsid w:val="00610A68"/>
    <w:rsid w:val="00610C42"/>
    <w:rsid w:val="00610E4C"/>
    <w:rsid w:val="00610F21"/>
    <w:rsid w:val="00610F40"/>
    <w:rsid w:val="0061130B"/>
    <w:rsid w:val="00611650"/>
    <w:rsid w:val="006117DA"/>
    <w:rsid w:val="00611996"/>
    <w:rsid w:val="00611A04"/>
    <w:rsid w:val="00611A22"/>
    <w:rsid w:val="00611C01"/>
    <w:rsid w:val="00611DCA"/>
    <w:rsid w:val="00611E16"/>
    <w:rsid w:val="00612359"/>
    <w:rsid w:val="006124A9"/>
    <w:rsid w:val="006125DB"/>
    <w:rsid w:val="006126E5"/>
    <w:rsid w:val="00612706"/>
    <w:rsid w:val="00612A0C"/>
    <w:rsid w:val="00612A0F"/>
    <w:rsid w:val="00612A7B"/>
    <w:rsid w:val="00612B9C"/>
    <w:rsid w:val="00612CEE"/>
    <w:rsid w:val="006131B7"/>
    <w:rsid w:val="00613305"/>
    <w:rsid w:val="00613885"/>
    <w:rsid w:val="006138E0"/>
    <w:rsid w:val="00613933"/>
    <w:rsid w:val="00613AFC"/>
    <w:rsid w:val="00613B21"/>
    <w:rsid w:val="00613D8B"/>
    <w:rsid w:val="00613E11"/>
    <w:rsid w:val="00614184"/>
    <w:rsid w:val="0061429F"/>
    <w:rsid w:val="006142DE"/>
    <w:rsid w:val="0061445B"/>
    <w:rsid w:val="00614579"/>
    <w:rsid w:val="006145BD"/>
    <w:rsid w:val="00614757"/>
    <w:rsid w:val="00614B7A"/>
    <w:rsid w:val="00614E04"/>
    <w:rsid w:val="00614EFB"/>
    <w:rsid w:val="00615005"/>
    <w:rsid w:val="006150DA"/>
    <w:rsid w:val="006151C2"/>
    <w:rsid w:val="00615205"/>
    <w:rsid w:val="0061523F"/>
    <w:rsid w:val="00615483"/>
    <w:rsid w:val="0061555A"/>
    <w:rsid w:val="0061564A"/>
    <w:rsid w:val="006156E1"/>
    <w:rsid w:val="00615EA7"/>
    <w:rsid w:val="00615FA0"/>
    <w:rsid w:val="0061625B"/>
    <w:rsid w:val="00616292"/>
    <w:rsid w:val="00616580"/>
    <w:rsid w:val="00616877"/>
    <w:rsid w:val="0061690E"/>
    <w:rsid w:val="00616C26"/>
    <w:rsid w:val="006173C0"/>
    <w:rsid w:val="0061754D"/>
    <w:rsid w:val="006176BD"/>
    <w:rsid w:val="006177AC"/>
    <w:rsid w:val="00617988"/>
    <w:rsid w:val="00617DA1"/>
    <w:rsid w:val="00617E7E"/>
    <w:rsid w:val="00617F75"/>
    <w:rsid w:val="0062077D"/>
    <w:rsid w:val="00620A07"/>
    <w:rsid w:val="00620B73"/>
    <w:rsid w:val="00620BD0"/>
    <w:rsid w:val="00620D17"/>
    <w:rsid w:val="00620D97"/>
    <w:rsid w:val="00620F08"/>
    <w:rsid w:val="00621036"/>
    <w:rsid w:val="00621088"/>
    <w:rsid w:val="00621505"/>
    <w:rsid w:val="00621536"/>
    <w:rsid w:val="00621A73"/>
    <w:rsid w:val="00621A9D"/>
    <w:rsid w:val="00621AAA"/>
    <w:rsid w:val="00621CB5"/>
    <w:rsid w:val="00621DF2"/>
    <w:rsid w:val="00621FB7"/>
    <w:rsid w:val="00622101"/>
    <w:rsid w:val="006224FB"/>
    <w:rsid w:val="0062258C"/>
    <w:rsid w:val="00622BCE"/>
    <w:rsid w:val="00622C3E"/>
    <w:rsid w:val="00622C3F"/>
    <w:rsid w:val="00622CAD"/>
    <w:rsid w:val="00622E6C"/>
    <w:rsid w:val="00622FC8"/>
    <w:rsid w:val="00623145"/>
    <w:rsid w:val="006231F3"/>
    <w:rsid w:val="0062329C"/>
    <w:rsid w:val="006233C4"/>
    <w:rsid w:val="006237B8"/>
    <w:rsid w:val="006239BD"/>
    <w:rsid w:val="00623FFB"/>
    <w:rsid w:val="0062416C"/>
    <w:rsid w:val="0062431B"/>
    <w:rsid w:val="006247DB"/>
    <w:rsid w:val="00624AEE"/>
    <w:rsid w:val="00624C39"/>
    <w:rsid w:val="00624C6D"/>
    <w:rsid w:val="00624E45"/>
    <w:rsid w:val="0062521F"/>
    <w:rsid w:val="00625464"/>
    <w:rsid w:val="00625508"/>
    <w:rsid w:val="006255B7"/>
    <w:rsid w:val="006258E4"/>
    <w:rsid w:val="00625928"/>
    <w:rsid w:val="0062598E"/>
    <w:rsid w:val="006259B0"/>
    <w:rsid w:val="00625BB9"/>
    <w:rsid w:val="00625C99"/>
    <w:rsid w:val="00625DA9"/>
    <w:rsid w:val="00625E61"/>
    <w:rsid w:val="00625F64"/>
    <w:rsid w:val="00626048"/>
    <w:rsid w:val="00626266"/>
    <w:rsid w:val="006262E7"/>
    <w:rsid w:val="00626390"/>
    <w:rsid w:val="0062665D"/>
    <w:rsid w:val="00626855"/>
    <w:rsid w:val="006268E6"/>
    <w:rsid w:val="006268E7"/>
    <w:rsid w:val="00626967"/>
    <w:rsid w:val="00626AFE"/>
    <w:rsid w:val="00626D89"/>
    <w:rsid w:val="00626F1C"/>
    <w:rsid w:val="00626F93"/>
    <w:rsid w:val="00627165"/>
    <w:rsid w:val="00627249"/>
    <w:rsid w:val="00627586"/>
    <w:rsid w:val="0062771A"/>
    <w:rsid w:val="0062773B"/>
    <w:rsid w:val="00627875"/>
    <w:rsid w:val="00627BC1"/>
    <w:rsid w:val="00627CF9"/>
    <w:rsid w:val="00627E61"/>
    <w:rsid w:val="0063015F"/>
    <w:rsid w:val="00630288"/>
    <w:rsid w:val="0063029D"/>
    <w:rsid w:val="006302BE"/>
    <w:rsid w:val="006304F0"/>
    <w:rsid w:val="006305C6"/>
    <w:rsid w:val="00630773"/>
    <w:rsid w:val="00630B1E"/>
    <w:rsid w:val="00630E4C"/>
    <w:rsid w:val="006310C4"/>
    <w:rsid w:val="006311F2"/>
    <w:rsid w:val="00631240"/>
    <w:rsid w:val="006313DC"/>
    <w:rsid w:val="0063140D"/>
    <w:rsid w:val="0063149F"/>
    <w:rsid w:val="00631658"/>
    <w:rsid w:val="00631975"/>
    <w:rsid w:val="00631977"/>
    <w:rsid w:val="006319B0"/>
    <w:rsid w:val="00631AF7"/>
    <w:rsid w:val="00631BEC"/>
    <w:rsid w:val="00631C0F"/>
    <w:rsid w:val="00631F05"/>
    <w:rsid w:val="006322C6"/>
    <w:rsid w:val="006322EB"/>
    <w:rsid w:val="006328FD"/>
    <w:rsid w:val="00632BBD"/>
    <w:rsid w:val="00632D7E"/>
    <w:rsid w:val="00632DE7"/>
    <w:rsid w:val="00632F6C"/>
    <w:rsid w:val="00632F8A"/>
    <w:rsid w:val="0063321B"/>
    <w:rsid w:val="00633308"/>
    <w:rsid w:val="00633452"/>
    <w:rsid w:val="00633510"/>
    <w:rsid w:val="006337DC"/>
    <w:rsid w:val="0063383D"/>
    <w:rsid w:val="0063388B"/>
    <w:rsid w:val="00633A6A"/>
    <w:rsid w:val="00633DC0"/>
    <w:rsid w:val="00633E9C"/>
    <w:rsid w:val="006341F9"/>
    <w:rsid w:val="0063421F"/>
    <w:rsid w:val="0063437F"/>
    <w:rsid w:val="0063449A"/>
    <w:rsid w:val="006346D3"/>
    <w:rsid w:val="00635072"/>
    <w:rsid w:val="00635117"/>
    <w:rsid w:val="00635334"/>
    <w:rsid w:val="00635419"/>
    <w:rsid w:val="00635860"/>
    <w:rsid w:val="00635B6F"/>
    <w:rsid w:val="00635C3C"/>
    <w:rsid w:val="00635F59"/>
    <w:rsid w:val="00635FA6"/>
    <w:rsid w:val="00635FAE"/>
    <w:rsid w:val="00636113"/>
    <w:rsid w:val="00636255"/>
    <w:rsid w:val="00636505"/>
    <w:rsid w:val="0063687D"/>
    <w:rsid w:val="006368B2"/>
    <w:rsid w:val="00636CED"/>
    <w:rsid w:val="00636ECB"/>
    <w:rsid w:val="00636FE6"/>
    <w:rsid w:val="00637089"/>
    <w:rsid w:val="00637343"/>
    <w:rsid w:val="00637378"/>
    <w:rsid w:val="006377C3"/>
    <w:rsid w:val="00637924"/>
    <w:rsid w:val="00637CF2"/>
    <w:rsid w:val="0064024F"/>
    <w:rsid w:val="00640260"/>
    <w:rsid w:val="00640315"/>
    <w:rsid w:val="00641273"/>
    <w:rsid w:val="006413D1"/>
    <w:rsid w:val="0064166C"/>
    <w:rsid w:val="006417DA"/>
    <w:rsid w:val="00641A1E"/>
    <w:rsid w:val="00642105"/>
    <w:rsid w:val="0064241F"/>
    <w:rsid w:val="0064256E"/>
    <w:rsid w:val="00642583"/>
    <w:rsid w:val="006428AD"/>
    <w:rsid w:val="006428D1"/>
    <w:rsid w:val="00642B25"/>
    <w:rsid w:val="00642B55"/>
    <w:rsid w:val="00642BDB"/>
    <w:rsid w:val="00642F70"/>
    <w:rsid w:val="00643166"/>
    <w:rsid w:val="00643480"/>
    <w:rsid w:val="00643497"/>
    <w:rsid w:val="0064388A"/>
    <w:rsid w:val="00643B06"/>
    <w:rsid w:val="00643C29"/>
    <w:rsid w:val="00643D1B"/>
    <w:rsid w:val="00643E0E"/>
    <w:rsid w:val="00643F02"/>
    <w:rsid w:val="006441D7"/>
    <w:rsid w:val="006442F4"/>
    <w:rsid w:val="00644492"/>
    <w:rsid w:val="006445A7"/>
    <w:rsid w:val="00644765"/>
    <w:rsid w:val="00644769"/>
    <w:rsid w:val="00644B37"/>
    <w:rsid w:val="00644C3A"/>
    <w:rsid w:val="00644E77"/>
    <w:rsid w:val="00645169"/>
    <w:rsid w:val="006454D0"/>
    <w:rsid w:val="0064557E"/>
    <w:rsid w:val="006456A1"/>
    <w:rsid w:val="006457AF"/>
    <w:rsid w:val="0064588E"/>
    <w:rsid w:val="00645FF4"/>
    <w:rsid w:val="006461BD"/>
    <w:rsid w:val="006463C7"/>
    <w:rsid w:val="006463ED"/>
    <w:rsid w:val="00646493"/>
    <w:rsid w:val="00646B8F"/>
    <w:rsid w:val="00646E40"/>
    <w:rsid w:val="00647810"/>
    <w:rsid w:val="00647A06"/>
    <w:rsid w:val="00647A4B"/>
    <w:rsid w:val="00647B9E"/>
    <w:rsid w:val="00647E2B"/>
    <w:rsid w:val="00647F9A"/>
    <w:rsid w:val="00647FD6"/>
    <w:rsid w:val="006500B1"/>
    <w:rsid w:val="00650722"/>
    <w:rsid w:val="00650851"/>
    <w:rsid w:val="006509E8"/>
    <w:rsid w:val="00650E31"/>
    <w:rsid w:val="0065120E"/>
    <w:rsid w:val="00651533"/>
    <w:rsid w:val="006515B7"/>
    <w:rsid w:val="006515E2"/>
    <w:rsid w:val="0065163C"/>
    <w:rsid w:val="00651857"/>
    <w:rsid w:val="00651951"/>
    <w:rsid w:val="00651971"/>
    <w:rsid w:val="00651B36"/>
    <w:rsid w:val="00651BFA"/>
    <w:rsid w:val="00651C7B"/>
    <w:rsid w:val="00651F09"/>
    <w:rsid w:val="00652012"/>
    <w:rsid w:val="006521E4"/>
    <w:rsid w:val="00652377"/>
    <w:rsid w:val="006523FF"/>
    <w:rsid w:val="00652693"/>
    <w:rsid w:val="0065274C"/>
    <w:rsid w:val="00652C22"/>
    <w:rsid w:val="0065325A"/>
    <w:rsid w:val="006533BE"/>
    <w:rsid w:val="00653709"/>
    <w:rsid w:val="00653929"/>
    <w:rsid w:val="00653A1A"/>
    <w:rsid w:val="00653A96"/>
    <w:rsid w:val="00653AD2"/>
    <w:rsid w:val="00653CEE"/>
    <w:rsid w:val="00653D3C"/>
    <w:rsid w:val="00653EB8"/>
    <w:rsid w:val="00653F3F"/>
    <w:rsid w:val="00654347"/>
    <w:rsid w:val="0065435A"/>
    <w:rsid w:val="006545C6"/>
    <w:rsid w:val="00654AB1"/>
    <w:rsid w:val="00654DDF"/>
    <w:rsid w:val="00654F81"/>
    <w:rsid w:val="00655033"/>
    <w:rsid w:val="006550A5"/>
    <w:rsid w:val="006550CE"/>
    <w:rsid w:val="006550DE"/>
    <w:rsid w:val="00655222"/>
    <w:rsid w:val="0065556C"/>
    <w:rsid w:val="00655989"/>
    <w:rsid w:val="00655B06"/>
    <w:rsid w:val="00655B4A"/>
    <w:rsid w:val="00655C06"/>
    <w:rsid w:val="00655C52"/>
    <w:rsid w:val="00655C95"/>
    <w:rsid w:val="00655CC9"/>
    <w:rsid w:val="00655CE5"/>
    <w:rsid w:val="00655EBE"/>
    <w:rsid w:val="00655F97"/>
    <w:rsid w:val="0065620E"/>
    <w:rsid w:val="0065621D"/>
    <w:rsid w:val="0065621F"/>
    <w:rsid w:val="0065625F"/>
    <w:rsid w:val="006563E9"/>
    <w:rsid w:val="00656B2A"/>
    <w:rsid w:val="00656BA9"/>
    <w:rsid w:val="00656D22"/>
    <w:rsid w:val="00656E0F"/>
    <w:rsid w:val="00656F9E"/>
    <w:rsid w:val="006571FB"/>
    <w:rsid w:val="006573C0"/>
    <w:rsid w:val="006573D4"/>
    <w:rsid w:val="006576F8"/>
    <w:rsid w:val="00657889"/>
    <w:rsid w:val="00657B8E"/>
    <w:rsid w:val="00657DB9"/>
    <w:rsid w:val="00657E16"/>
    <w:rsid w:val="00657E5F"/>
    <w:rsid w:val="00660067"/>
    <w:rsid w:val="006601BE"/>
    <w:rsid w:val="00660249"/>
    <w:rsid w:val="00660285"/>
    <w:rsid w:val="0066074B"/>
    <w:rsid w:val="006607FE"/>
    <w:rsid w:val="00660A0F"/>
    <w:rsid w:val="00660BBD"/>
    <w:rsid w:val="00660F43"/>
    <w:rsid w:val="006611EB"/>
    <w:rsid w:val="00661532"/>
    <w:rsid w:val="00661628"/>
    <w:rsid w:val="006616C3"/>
    <w:rsid w:val="0066182B"/>
    <w:rsid w:val="00661980"/>
    <w:rsid w:val="00661999"/>
    <w:rsid w:val="0066208B"/>
    <w:rsid w:val="006621FC"/>
    <w:rsid w:val="0066235A"/>
    <w:rsid w:val="0066262F"/>
    <w:rsid w:val="0066264F"/>
    <w:rsid w:val="00662C24"/>
    <w:rsid w:val="00662C43"/>
    <w:rsid w:val="00662F04"/>
    <w:rsid w:val="00662F99"/>
    <w:rsid w:val="006631E3"/>
    <w:rsid w:val="006634E4"/>
    <w:rsid w:val="0066380A"/>
    <w:rsid w:val="00663C5D"/>
    <w:rsid w:val="00663CD3"/>
    <w:rsid w:val="00663E75"/>
    <w:rsid w:val="00663FD3"/>
    <w:rsid w:val="0066437F"/>
    <w:rsid w:val="00664522"/>
    <w:rsid w:val="0066461E"/>
    <w:rsid w:val="006646C9"/>
    <w:rsid w:val="0066496D"/>
    <w:rsid w:val="00664FBB"/>
    <w:rsid w:val="006653CD"/>
    <w:rsid w:val="00665565"/>
    <w:rsid w:val="00665636"/>
    <w:rsid w:val="00665639"/>
    <w:rsid w:val="00665811"/>
    <w:rsid w:val="00665876"/>
    <w:rsid w:val="006658A8"/>
    <w:rsid w:val="00665AD5"/>
    <w:rsid w:val="00665C51"/>
    <w:rsid w:val="00665E5F"/>
    <w:rsid w:val="00666447"/>
    <w:rsid w:val="00666491"/>
    <w:rsid w:val="0066659C"/>
    <w:rsid w:val="0066679F"/>
    <w:rsid w:val="00666962"/>
    <w:rsid w:val="00666CA4"/>
    <w:rsid w:val="00666CAF"/>
    <w:rsid w:val="00666E1F"/>
    <w:rsid w:val="00667165"/>
    <w:rsid w:val="006674CE"/>
    <w:rsid w:val="00667633"/>
    <w:rsid w:val="006678C5"/>
    <w:rsid w:val="00667925"/>
    <w:rsid w:val="00667971"/>
    <w:rsid w:val="00667A09"/>
    <w:rsid w:val="00667B23"/>
    <w:rsid w:val="00670085"/>
    <w:rsid w:val="00670176"/>
    <w:rsid w:val="00671055"/>
    <w:rsid w:val="0067158A"/>
    <w:rsid w:val="00671831"/>
    <w:rsid w:val="006718E9"/>
    <w:rsid w:val="00672104"/>
    <w:rsid w:val="0067242D"/>
    <w:rsid w:val="00672455"/>
    <w:rsid w:val="00672474"/>
    <w:rsid w:val="00672539"/>
    <w:rsid w:val="006729F8"/>
    <w:rsid w:val="00672C64"/>
    <w:rsid w:val="00672CD7"/>
    <w:rsid w:val="00672EC2"/>
    <w:rsid w:val="00672F7C"/>
    <w:rsid w:val="00672FD1"/>
    <w:rsid w:val="0067307A"/>
    <w:rsid w:val="00673095"/>
    <w:rsid w:val="0067314E"/>
    <w:rsid w:val="006731C7"/>
    <w:rsid w:val="006734B7"/>
    <w:rsid w:val="00673611"/>
    <w:rsid w:val="00673832"/>
    <w:rsid w:val="00673A1D"/>
    <w:rsid w:val="00673A9D"/>
    <w:rsid w:val="00673FFD"/>
    <w:rsid w:val="00674005"/>
    <w:rsid w:val="00674284"/>
    <w:rsid w:val="00674A5A"/>
    <w:rsid w:val="00674A7B"/>
    <w:rsid w:val="00674CCF"/>
    <w:rsid w:val="00674CFB"/>
    <w:rsid w:val="00674F2C"/>
    <w:rsid w:val="00674F83"/>
    <w:rsid w:val="006750C5"/>
    <w:rsid w:val="006750F2"/>
    <w:rsid w:val="00675353"/>
    <w:rsid w:val="006757EC"/>
    <w:rsid w:val="00675860"/>
    <w:rsid w:val="006758E0"/>
    <w:rsid w:val="00675C7B"/>
    <w:rsid w:val="00675C8D"/>
    <w:rsid w:val="00675D95"/>
    <w:rsid w:val="00675F97"/>
    <w:rsid w:val="006764B6"/>
    <w:rsid w:val="00676A0D"/>
    <w:rsid w:val="00676A4C"/>
    <w:rsid w:val="00676AA6"/>
    <w:rsid w:val="00676B9E"/>
    <w:rsid w:val="00676BC4"/>
    <w:rsid w:val="00676CF4"/>
    <w:rsid w:val="00676D6F"/>
    <w:rsid w:val="00676E96"/>
    <w:rsid w:val="006771F2"/>
    <w:rsid w:val="006771F5"/>
    <w:rsid w:val="006776B0"/>
    <w:rsid w:val="00677739"/>
    <w:rsid w:val="006777F4"/>
    <w:rsid w:val="00677BF3"/>
    <w:rsid w:val="00677C6A"/>
    <w:rsid w:val="00677CF7"/>
    <w:rsid w:val="00680058"/>
    <w:rsid w:val="00680315"/>
    <w:rsid w:val="00680760"/>
    <w:rsid w:val="006808CE"/>
    <w:rsid w:val="00680D5C"/>
    <w:rsid w:val="00680E2F"/>
    <w:rsid w:val="00680FB6"/>
    <w:rsid w:val="0068133F"/>
    <w:rsid w:val="006813F5"/>
    <w:rsid w:val="0068172C"/>
    <w:rsid w:val="00681814"/>
    <w:rsid w:val="00681B1E"/>
    <w:rsid w:val="00682034"/>
    <w:rsid w:val="0068205C"/>
    <w:rsid w:val="00682073"/>
    <w:rsid w:val="006820E8"/>
    <w:rsid w:val="006822C9"/>
    <w:rsid w:val="006825DB"/>
    <w:rsid w:val="0068284E"/>
    <w:rsid w:val="006828C3"/>
    <w:rsid w:val="0068296A"/>
    <w:rsid w:val="00682AC9"/>
    <w:rsid w:val="00682D00"/>
    <w:rsid w:val="00683049"/>
    <w:rsid w:val="0068315E"/>
    <w:rsid w:val="00683C75"/>
    <w:rsid w:val="00684097"/>
    <w:rsid w:val="00684415"/>
    <w:rsid w:val="00684845"/>
    <w:rsid w:val="0068490B"/>
    <w:rsid w:val="00684C55"/>
    <w:rsid w:val="00684D33"/>
    <w:rsid w:val="00684DA4"/>
    <w:rsid w:val="00684E88"/>
    <w:rsid w:val="00685159"/>
    <w:rsid w:val="006852E1"/>
    <w:rsid w:val="006856E8"/>
    <w:rsid w:val="006859CF"/>
    <w:rsid w:val="00685D2E"/>
    <w:rsid w:val="00686018"/>
    <w:rsid w:val="006865B8"/>
    <w:rsid w:val="00686614"/>
    <w:rsid w:val="00686746"/>
    <w:rsid w:val="00686780"/>
    <w:rsid w:val="00686AFC"/>
    <w:rsid w:val="00686CA9"/>
    <w:rsid w:val="00686CBF"/>
    <w:rsid w:val="00686E25"/>
    <w:rsid w:val="00686E98"/>
    <w:rsid w:val="006871C8"/>
    <w:rsid w:val="006873C0"/>
    <w:rsid w:val="006873D7"/>
    <w:rsid w:val="006874C1"/>
    <w:rsid w:val="0068760D"/>
    <w:rsid w:val="006876D8"/>
    <w:rsid w:val="00687D3A"/>
    <w:rsid w:val="00687D8A"/>
    <w:rsid w:val="00687DFA"/>
    <w:rsid w:val="00687E90"/>
    <w:rsid w:val="00687E9D"/>
    <w:rsid w:val="00687F2E"/>
    <w:rsid w:val="00687F8A"/>
    <w:rsid w:val="00687FD0"/>
    <w:rsid w:val="00690186"/>
    <w:rsid w:val="006905A9"/>
    <w:rsid w:val="00690801"/>
    <w:rsid w:val="00690C52"/>
    <w:rsid w:val="00690C9F"/>
    <w:rsid w:val="00690DE8"/>
    <w:rsid w:val="0069111D"/>
    <w:rsid w:val="0069114B"/>
    <w:rsid w:val="006912F4"/>
    <w:rsid w:val="0069130B"/>
    <w:rsid w:val="006915C9"/>
    <w:rsid w:val="00691681"/>
    <w:rsid w:val="0069207B"/>
    <w:rsid w:val="00692385"/>
    <w:rsid w:val="0069242D"/>
    <w:rsid w:val="00692584"/>
    <w:rsid w:val="00692596"/>
    <w:rsid w:val="00692626"/>
    <w:rsid w:val="00692799"/>
    <w:rsid w:val="0069290D"/>
    <w:rsid w:val="0069296A"/>
    <w:rsid w:val="00692B53"/>
    <w:rsid w:val="00692D31"/>
    <w:rsid w:val="0069323C"/>
    <w:rsid w:val="0069333B"/>
    <w:rsid w:val="00693361"/>
    <w:rsid w:val="00693659"/>
    <w:rsid w:val="0069366D"/>
    <w:rsid w:val="006937E1"/>
    <w:rsid w:val="00693817"/>
    <w:rsid w:val="00693823"/>
    <w:rsid w:val="00693A02"/>
    <w:rsid w:val="00693D1C"/>
    <w:rsid w:val="00693D5A"/>
    <w:rsid w:val="00693EB0"/>
    <w:rsid w:val="00693FDA"/>
    <w:rsid w:val="006941CE"/>
    <w:rsid w:val="00694429"/>
    <w:rsid w:val="00694442"/>
    <w:rsid w:val="0069454F"/>
    <w:rsid w:val="0069455D"/>
    <w:rsid w:val="00694804"/>
    <w:rsid w:val="00694CB2"/>
    <w:rsid w:val="00694FB0"/>
    <w:rsid w:val="00695090"/>
    <w:rsid w:val="00695283"/>
    <w:rsid w:val="006952A9"/>
    <w:rsid w:val="006952C8"/>
    <w:rsid w:val="0069534C"/>
    <w:rsid w:val="006953E6"/>
    <w:rsid w:val="00695665"/>
    <w:rsid w:val="00695AE6"/>
    <w:rsid w:val="00695C6D"/>
    <w:rsid w:val="00695F82"/>
    <w:rsid w:val="00696592"/>
    <w:rsid w:val="00696691"/>
    <w:rsid w:val="00696E63"/>
    <w:rsid w:val="00696F16"/>
    <w:rsid w:val="00697350"/>
    <w:rsid w:val="006975DF"/>
    <w:rsid w:val="00697970"/>
    <w:rsid w:val="00697AE5"/>
    <w:rsid w:val="00697DF3"/>
    <w:rsid w:val="00697E45"/>
    <w:rsid w:val="00697F15"/>
    <w:rsid w:val="00697F1F"/>
    <w:rsid w:val="006A004F"/>
    <w:rsid w:val="006A01DE"/>
    <w:rsid w:val="006A02B7"/>
    <w:rsid w:val="006A04D5"/>
    <w:rsid w:val="006A0533"/>
    <w:rsid w:val="006A0AA0"/>
    <w:rsid w:val="006A0BDA"/>
    <w:rsid w:val="006A0CCC"/>
    <w:rsid w:val="006A1042"/>
    <w:rsid w:val="006A129F"/>
    <w:rsid w:val="006A1350"/>
    <w:rsid w:val="006A1368"/>
    <w:rsid w:val="006A15BA"/>
    <w:rsid w:val="006A168F"/>
    <w:rsid w:val="006A16F1"/>
    <w:rsid w:val="006A17F4"/>
    <w:rsid w:val="006A1AA8"/>
    <w:rsid w:val="006A1B8E"/>
    <w:rsid w:val="006A1BA3"/>
    <w:rsid w:val="006A1D28"/>
    <w:rsid w:val="006A200D"/>
    <w:rsid w:val="006A2184"/>
    <w:rsid w:val="006A2557"/>
    <w:rsid w:val="006A2603"/>
    <w:rsid w:val="006A268B"/>
    <w:rsid w:val="006A2836"/>
    <w:rsid w:val="006A2DE9"/>
    <w:rsid w:val="006A30C6"/>
    <w:rsid w:val="006A334F"/>
    <w:rsid w:val="006A33D9"/>
    <w:rsid w:val="006A38F9"/>
    <w:rsid w:val="006A3A4F"/>
    <w:rsid w:val="006A3DE2"/>
    <w:rsid w:val="006A3F5F"/>
    <w:rsid w:val="006A4350"/>
    <w:rsid w:val="006A43AF"/>
    <w:rsid w:val="006A4467"/>
    <w:rsid w:val="006A4481"/>
    <w:rsid w:val="006A45A7"/>
    <w:rsid w:val="006A472C"/>
    <w:rsid w:val="006A4814"/>
    <w:rsid w:val="006A4C63"/>
    <w:rsid w:val="006A4FDF"/>
    <w:rsid w:val="006A505B"/>
    <w:rsid w:val="006A50E5"/>
    <w:rsid w:val="006A53A1"/>
    <w:rsid w:val="006A5802"/>
    <w:rsid w:val="006A5856"/>
    <w:rsid w:val="006A5A81"/>
    <w:rsid w:val="006A5AB3"/>
    <w:rsid w:val="006A5ACA"/>
    <w:rsid w:val="006A5CF7"/>
    <w:rsid w:val="006A5EE1"/>
    <w:rsid w:val="006A60C5"/>
    <w:rsid w:val="006A61FE"/>
    <w:rsid w:val="006A6224"/>
    <w:rsid w:val="006A62DD"/>
    <w:rsid w:val="006A63D6"/>
    <w:rsid w:val="006A6AF5"/>
    <w:rsid w:val="006A7035"/>
    <w:rsid w:val="006A70DB"/>
    <w:rsid w:val="006A713F"/>
    <w:rsid w:val="006A7360"/>
    <w:rsid w:val="006A753C"/>
    <w:rsid w:val="006A7684"/>
    <w:rsid w:val="006A779D"/>
    <w:rsid w:val="006A797A"/>
    <w:rsid w:val="006A7D91"/>
    <w:rsid w:val="006B022C"/>
    <w:rsid w:val="006B02DD"/>
    <w:rsid w:val="006B02E2"/>
    <w:rsid w:val="006B056F"/>
    <w:rsid w:val="006B0595"/>
    <w:rsid w:val="006B0674"/>
    <w:rsid w:val="006B081D"/>
    <w:rsid w:val="006B0827"/>
    <w:rsid w:val="006B0AFA"/>
    <w:rsid w:val="006B0B40"/>
    <w:rsid w:val="006B0C73"/>
    <w:rsid w:val="006B0DA9"/>
    <w:rsid w:val="006B0E5F"/>
    <w:rsid w:val="006B1059"/>
    <w:rsid w:val="006B14D5"/>
    <w:rsid w:val="006B1714"/>
    <w:rsid w:val="006B199F"/>
    <w:rsid w:val="006B1CAA"/>
    <w:rsid w:val="006B1D0C"/>
    <w:rsid w:val="006B1DDC"/>
    <w:rsid w:val="006B1EDD"/>
    <w:rsid w:val="006B2065"/>
    <w:rsid w:val="006B23EC"/>
    <w:rsid w:val="006B260E"/>
    <w:rsid w:val="006B2686"/>
    <w:rsid w:val="006B2DA2"/>
    <w:rsid w:val="006B3305"/>
    <w:rsid w:val="006B361E"/>
    <w:rsid w:val="006B38B3"/>
    <w:rsid w:val="006B3916"/>
    <w:rsid w:val="006B3B0F"/>
    <w:rsid w:val="006B3CD4"/>
    <w:rsid w:val="006B40A8"/>
    <w:rsid w:val="006B437A"/>
    <w:rsid w:val="006B4497"/>
    <w:rsid w:val="006B449F"/>
    <w:rsid w:val="006B4A77"/>
    <w:rsid w:val="006B4C55"/>
    <w:rsid w:val="006B5094"/>
    <w:rsid w:val="006B5143"/>
    <w:rsid w:val="006B51A2"/>
    <w:rsid w:val="006B5230"/>
    <w:rsid w:val="006B5496"/>
    <w:rsid w:val="006B57BC"/>
    <w:rsid w:val="006B5838"/>
    <w:rsid w:val="006B58C2"/>
    <w:rsid w:val="006B5B4F"/>
    <w:rsid w:val="006B5BC0"/>
    <w:rsid w:val="006B5D2E"/>
    <w:rsid w:val="006B5E33"/>
    <w:rsid w:val="006B5ED0"/>
    <w:rsid w:val="006B635D"/>
    <w:rsid w:val="006B641A"/>
    <w:rsid w:val="006B6711"/>
    <w:rsid w:val="006B6830"/>
    <w:rsid w:val="006B6B8C"/>
    <w:rsid w:val="006B6D30"/>
    <w:rsid w:val="006B6D39"/>
    <w:rsid w:val="006B6DDE"/>
    <w:rsid w:val="006B7150"/>
    <w:rsid w:val="006B717B"/>
    <w:rsid w:val="006B7287"/>
    <w:rsid w:val="006B73C4"/>
    <w:rsid w:val="006B7427"/>
    <w:rsid w:val="006B753B"/>
    <w:rsid w:val="006B77A1"/>
    <w:rsid w:val="006B79D4"/>
    <w:rsid w:val="006B7C07"/>
    <w:rsid w:val="006B7CFD"/>
    <w:rsid w:val="006B7EE1"/>
    <w:rsid w:val="006C0078"/>
    <w:rsid w:val="006C01DA"/>
    <w:rsid w:val="006C02C3"/>
    <w:rsid w:val="006C07C0"/>
    <w:rsid w:val="006C094C"/>
    <w:rsid w:val="006C0A03"/>
    <w:rsid w:val="006C0B1B"/>
    <w:rsid w:val="006C0B46"/>
    <w:rsid w:val="006C0CC2"/>
    <w:rsid w:val="006C1307"/>
    <w:rsid w:val="006C13C7"/>
    <w:rsid w:val="006C147C"/>
    <w:rsid w:val="006C1744"/>
    <w:rsid w:val="006C1A74"/>
    <w:rsid w:val="006C1B88"/>
    <w:rsid w:val="006C1DCD"/>
    <w:rsid w:val="006C1DFD"/>
    <w:rsid w:val="006C1F76"/>
    <w:rsid w:val="006C2462"/>
    <w:rsid w:val="006C2567"/>
    <w:rsid w:val="006C2CD0"/>
    <w:rsid w:val="006C2F51"/>
    <w:rsid w:val="006C2FDB"/>
    <w:rsid w:val="006C2FE9"/>
    <w:rsid w:val="006C33A5"/>
    <w:rsid w:val="006C33E3"/>
    <w:rsid w:val="006C36C5"/>
    <w:rsid w:val="006C398E"/>
    <w:rsid w:val="006C3B43"/>
    <w:rsid w:val="006C4005"/>
    <w:rsid w:val="006C41C5"/>
    <w:rsid w:val="006C4286"/>
    <w:rsid w:val="006C42A7"/>
    <w:rsid w:val="006C42F4"/>
    <w:rsid w:val="006C44EE"/>
    <w:rsid w:val="006C4507"/>
    <w:rsid w:val="006C4589"/>
    <w:rsid w:val="006C47E8"/>
    <w:rsid w:val="006C493D"/>
    <w:rsid w:val="006C4E2E"/>
    <w:rsid w:val="006C5184"/>
    <w:rsid w:val="006C55E1"/>
    <w:rsid w:val="006C596E"/>
    <w:rsid w:val="006C5A88"/>
    <w:rsid w:val="006C5BC1"/>
    <w:rsid w:val="006C5FF0"/>
    <w:rsid w:val="006C6291"/>
    <w:rsid w:val="006C6355"/>
    <w:rsid w:val="006C644D"/>
    <w:rsid w:val="006C65FE"/>
    <w:rsid w:val="006C6A5C"/>
    <w:rsid w:val="006C6A6F"/>
    <w:rsid w:val="006C6B6A"/>
    <w:rsid w:val="006C6C81"/>
    <w:rsid w:val="006C7115"/>
    <w:rsid w:val="006C7269"/>
    <w:rsid w:val="006C727F"/>
    <w:rsid w:val="006C7469"/>
    <w:rsid w:val="006C7499"/>
    <w:rsid w:val="006C7617"/>
    <w:rsid w:val="006C7990"/>
    <w:rsid w:val="006C7CAA"/>
    <w:rsid w:val="006C7EB9"/>
    <w:rsid w:val="006D002E"/>
    <w:rsid w:val="006D00DF"/>
    <w:rsid w:val="006D019B"/>
    <w:rsid w:val="006D01F8"/>
    <w:rsid w:val="006D021B"/>
    <w:rsid w:val="006D022A"/>
    <w:rsid w:val="006D0862"/>
    <w:rsid w:val="006D0B6F"/>
    <w:rsid w:val="006D0BDE"/>
    <w:rsid w:val="006D0F00"/>
    <w:rsid w:val="006D103B"/>
    <w:rsid w:val="006D1046"/>
    <w:rsid w:val="006D11AF"/>
    <w:rsid w:val="006D129F"/>
    <w:rsid w:val="006D132F"/>
    <w:rsid w:val="006D13EB"/>
    <w:rsid w:val="006D1614"/>
    <w:rsid w:val="006D1753"/>
    <w:rsid w:val="006D1798"/>
    <w:rsid w:val="006D18A6"/>
    <w:rsid w:val="006D199F"/>
    <w:rsid w:val="006D1EE1"/>
    <w:rsid w:val="006D211F"/>
    <w:rsid w:val="006D2295"/>
    <w:rsid w:val="006D22D5"/>
    <w:rsid w:val="006D22F7"/>
    <w:rsid w:val="006D272C"/>
    <w:rsid w:val="006D2932"/>
    <w:rsid w:val="006D2AE5"/>
    <w:rsid w:val="006D30B2"/>
    <w:rsid w:val="006D3444"/>
    <w:rsid w:val="006D3B10"/>
    <w:rsid w:val="006D3BE3"/>
    <w:rsid w:val="006D3BE8"/>
    <w:rsid w:val="006D3CF0"/>
    <w:rsid w:val="006D3FF5"/>
    <w:rsid w:val="006D40EC"/>
    <w:rsid w:val="006D435C"/>
    <w:rsid w:val="006D4375"/>
    <w:rsid w:val="006D4499"/>
    <w:rsid w:val="006D4596"/>
    <w:rsid w:val="006D4733"/>
    <w:rsid w:val="006D4E13"/>
    <w:rsid w:val="006D5018"/>
    <w:rsid w:val="006D506B"/>
    <w:rsid w:val="006D5340"/>
    <w:rsid w:val="006D5400"/>
    <w:rsid w:val="006D54C2"/>
    <w:rsid w:val="006D56F2"/>
    <w:rsid w:val="006D5766"/>
    <w:rsid w:val="006D57E1"/>
    <w:rsid w:val="006D5890"/>
    <w:rsid w:val="006D589A"/>
    <w:rsid w:val="006D5C72"/>
    <w:rsid w:val="006D5F13"/>
    <w:rsid w:val="006D626E"/>
    <w:rsid w:val="006D63AE"/>
    <w:rsid w:val="006D6579"/>
    <w:rsid w:val="006D6B3F"/>
    <w:rsid w:val="006D6BB6"/>
    <w:rsid w:val="006D6DB2"/>
    <w:rsid w:val="006D73A8"/>
    <w:rsid w:val="006D7473"/>
    <w:rsid w:val="006D7825"/>
    <w:rsid w:val="006D78CE"/>
    <w:rsid w:val="006D7A45"/>
    <w:rsid w:val="006E03F9"/>
    <w:rsid w:val="006E0651"/>
    <w:rsid w:val="006E066F"/>
    <w:rsid w:val="006E072C"/>
    <w:rsid w:val="006E0757"/>
    <w:rsid w:val="006E095C"/>
    <w:rsid w:val="006E0AA0"/>
    <w:rsid w:val="006E0ABB"/>
    <w:rsid w:val="006E0D38"/>
    <w:rsid w:val="006E0ED8"/>
    <w:rsid w:val="006E1228"/>
    <w:rsid w:val="006E131B"/>
    <w:rsid w:val="006E1695"/>
    <w:rsid w:val="006E17CA"/>
    <w:rsid w:val="006E1BC7"/>
    <w:rsid w:val="006E1CD0"/>
    <w:rsid w:val="006E1DEB"/>
    <w:rsid w:val="006E1FC6"/>
    <w:rsid w:val="006E21F4"/>
    <w:rsid w:val="006E233C"/>
    <w:rsid w:val="006E2403"/>
    <w:rsid w:val="006E24CA"/>
    <w:rsid w:val="006E2655"/>
    <w:rsid w:val="006E26DA"/>
    <w:rsid w:val="006E280B"/>
    <w:rsid w:val="006E2A00"/>
    <w:rsid w:val="006E2AF3"/>
    <w:rsid w:val="006E2CC3"/>
    <w:rsid w:val="006E2D36"/>
    <w:rsid w:val="006E2D77"/>
    <w:rsid w:val="006E30A3"/>
    <w:rsid w:val="006E339F"/>
    <w:rsid w:val="006E33EB"/>
    <w:rsid w:val="006E35A3"/>
    <w:rsid w:val="006E36ED"/>
    <w:rsid w:val="006E3787"/>
    <w:rsid w:val="006E388E"/>
    <w:rsid w:val="006E38F2"/>
    <w:rsid w:val="006E3E2E"/>
    <w:rsid w:val="006E4061"/>
    <w:rsid w:val="006E4533"/>
    <w:rsid w:val="006E46B1"/>
    <w:rsid w:val="006E485C"/>
    <w:rsid w:val="006E49CF"/>
    <w:rsid w:val="006E4A56"/>
    <w:rsid w:val="006E4CED"/>
    <w:rsid w:val="006E4D0D"/>
    <w:rsid w:val="006E4E24"/>
    <w:rsid w:val="006E5290"/>
    <w:rsid w:val="006E5525"/>
    <w:rsid w:val="006E5578"/>
    <w:rsid w:val="006E579C"/>
    <w:rsid w:val="006E5A70"/>
    <w:rsid w:val="006E5DE4"/>
    <w:rsid w:val="006E5E7C"/>
    <w:rsid w:val="006E5FAB"/>
    <w:rsid w:val="006E60AA"/>
    <w:rsid w:val="006E630A"/>
    <w:rsid w:val="006E645C"/>
    <w:rsid w:val="006E64BB"/>
    <w:rsid w:val="006E653B"/>
    <w:rsid w:val="006E6710"/>
    <w:rsid w:val="006E6923"/>
    <w:rsid w:val="006E6946"/>
    <w:rsid w:val="006E69F2"/>
    <w:rsid w:val="006E6B17"/>
    <w:rsid w:val="006E6C3A"/>
    <w:rsid w:val="006E6C4F"/>
    <w:rsid w:val="006E7325"/>
    <w:rsid w:val="006E74DD"/>
    <w:rsid w:val="006E758C"/>
    <w:rsid w:val="006E7C2A"/>
    <w:rsid w:val="006E7F4B"/>
    <w:rsid w:val="006E7FEB"/>
    <w:rsid w:val="006F0155"/>
    <w:rsid w:val="006F0243"/>
    <w:rsid w:val="006F02EC"/>
    <w:rsid w:val="006F04AF"/>
    <w:rsid w:val="006F05FF"/>
    <w:rsid w:val="006F0607"/>
    <w:rsid w:val="006F0722"/>
    <w:rsid w:val="006F0BD6"/>
    <w:rsid w:val="006F105A"/>
    <w:rsid w:val="006F10B8"/>
    <w:rsid w:val="006F11EF"/>
    <w:rsid w:val="006F127B"/>
    <w:rsid w:val="006F1688"/>
    <w:rsid w:val="006F171A"/>
    <w:rsid w:val="006F1A71"/>
    <w:rsid w:val="006F1AE2"/>
    <w:rsid w:val="006F1B3F"/>
    <w:rsid w:val="006F1EA6"/>
    <w:rsid w:val="006F20B7"/>
    <w:rsid w:val="006F2167"/>
    <w:rsid w:val="006F22D1"/>
    <w:rsid w:val="006F22F2"/>
    <w:rsid w:val="006F2702"/>
    <w:rsid w:val="006F288F"/>
    <w:rsid w:val="006F289E"/>
    <w:rsid w:val="006F2993"/>
    <w:rsid w:val="006F2D26"/>
    <w:rsid w:val="006F2E48"/>
    <w:rsid w:val="006F2EB6"/>
    <w:rsid w:val="006F2F47"/>
    <w:rsid w:val="006F3130"/>
    <w:rsid w:val="006F34E8"/>
    <w:rsid w:val="006F35CC"/>
    <w:rsid w:val="006F39D4"/>
    <w:rsid w:val="006F3BB4"/>
    <w:rsid w:val="006F3C1D"/>
    <w:rsid w:val="006F3C1E"/>
    <w:rsid w:val="006F416E"/>
    <w:rsid w:val="006F41A0"/>
    <w:rsid w:val="006F43B4"/>
    <w:rsid w:val="006F44B4"/>
    <w:rsid w:val="006F45DF"/>
    <w:rsid w:val="006F46DC"/>
    <w:rsid w:val="006F4FFA"/>
    <w:rsid w:val="006F505C"/>
    <w:rsid w:val="006F5135"/>
    <w:rsid w:val="006F5B9D"/>
    <w:rsid w:val="006F5F23"/>
    <w:rsid w:val="006F6360"/>
    <w:rsid w:val="006F6384"/>
    <w:rsid w:val="006F6609"/>
    <w:rsid w:val="006F6A1B"/>
    <w:rsid w:val="006F6B53"/>
    <w:rsid w:val="006F6FCA"/>
    <w:rsid w:val="006F6FE7"/>
    <w:rsid w:val="006F72E8"/>
    <w:rsid w:val="006F743B"/>
    <w:rsid w:val="006F792C"/>
    <w:rsid w:val="006F7972"/>
    <w:rsid w:val="006F7C55"/>
    <w:rsid w:val="006F7CD6"/>
    <w:rsid w:val="00700592"/>
    <w:rsid w:val="0070087A"/>
    <w:rsid w:val="00700968"/>
    <w:rsid w:val="00700B34"/>
    <w:rsid w:val="00700C57"/>
    <w:rsid w:val="00700E13"/>
    <w:rsid w:val="00701127"/>
    <w:rsid w:val="007014ED"/>
    <w:rsid w:val="0070162B"/>
    <w:rsid w:val="00701676"/>
    <w:rsid w:val="00701B46"/>
    <w:rsid w:val="00701BEA"/>
    <w:rsid w:val="00701E6F"/>
    <w:rsid w:val="00702060"/>
    <w:rsid w:val="0070217B"/>
    <w:rsid w:val="00702559"/>
    <w:rsid w:val="00702A84"/>
    <w:rsid w:val="00702AA8"/>
    <w:rsid w:val="00702C66"/>
    <w:rsid w:val="00703160"/>
    <w:rsid w:val="007034C3"/>
    <w:rsid w:val="0070387A"/>
    <w:rsid w:val="0070395C"/>
    <w:rsid w:val="00703F9D"/>
    <w:rsid w:val="00703FB1"/>
    <w:rsid w:val="00704418"/>
    <w:rsid w:val="00704851"/>
    <w:rsid w:val="007049AC"/>
    <w:rsid w:val="00704AFE"/>
    <w:rsid w:val="00704BE0"/>
    <w:rsid w:val="00704D2E"/>
    <w:rsid w:val="00704ECB"/>
    <w:rsid w:val="007050E8"/>
    <w:rsid w:val="00705435"/>
    <w:rsid w:val="00705463"/>
    <w:rsid w:val="007059D1"/>
    <w:rsid w:val="00705E46"/>
    <w:rsid w:val="00705FB0"/>
    <w:rsid w:val="00706054"/>
    <w:rsid w:val="00706186"/>
    <w:rsid w:val="007061DB"/>
    <w:rsid w:val="007064BE"/>
    <w:rsid w:val="0070650E"/>
    <w:rsid w:val="0070656B"/>
    <w:rsid w:val="00706775"/>
    <w:rsid w:val="00706815"/>
    <w:rsid w:val="0070693E"/>
    <w:rsid w:val="0070709C"/>
    <w:rsid w:val="0070709E"/>
    <w:rsid w:val="007071D1"/>
    <w:rsid w:val="00707236"/>
    <w:rsid w:val="00707499"/>
    <w:rsid w:val="007077D0"/>
    <w:rsid w:val="00707C99"/>
    <w:rsid w:val="00707DBD"/>
    <w:rsid w:val="00707DDC"/>
    <w:rsid w:val="00710035"/>
    <w:rsid w:val="00710127"/>
    <w:rsid w:val="0071018D"/>
    <w:rsid w:val="00710A9A"/>
    <w:rsid w:val="00710C3B"/>
    <w:rsid w:val="00710C4E"/>
    <w:rsid w:val="00710CE8"/>
    <w:rsid w:val="00710DD3"/>
    <w:rsid w:val="0071113B"/>
    <w:rsid w:val="007113CE"/>
    <w:rsid w:val="0071165D"/>
    <w:rsid w:val="007117E7"/>
    <w:rsid w:val="007118BE"/>
    <w:rsid w:val="007119CF"/>
    <w:rsid w:val="00711B72"/>
    <w:rsid w:val="00711D82"/>
    <w:rsid w:val="00711D85"/>
    <w:rsid w:val="00711D9A"/>
    <w:rsid w:val="007121BD"/>
    <w:rsid w:val="007124AC"/>
    <w:rsid w:val="007127DA"/>
    <w:rsid w:val="0071287C"/>
    <w:rsid w:val="00712CBD"/>
    <w:rsid w:val="00712F09"/>
    <w:rsid w:val="00712F91"/>
    <w:rsid w:val="0071326D"/>
    <w:rsid w:val="007135E7"/>
    <w:rsid w:val="00713654"/>
    <w:rsid w:val="00713F3A"/>
    <w:rsid w:val="007140F3"/>
    <w:rsid w:val="0071417B"/>
    <w:rsid w:val="0071421C"/>
    <w:rsid w:val="007142B1"/>
    <w:rsid w:val="0071431E"/>
    <w:rsid w:val="007146C3"/>
    <w:rsid w:val="007148EB"/>
    <w:rsid w:val="00714A39"/>
    <w:rsid w:val="00714C66"/>
    <w:rsid w:val="00714D7C"/>
    <w:rsid w:val="007150B4"/>
    <w:rsid w:val="0071517D"/>
    <w:rsid w:val="0071524D"/>
    <w:rsid w:val="00715354"/>
    <w:rsid w:val="00715B53"/>
    <w:rsid w:val="00715CD9"/>
    <w:rsid w:val="00716101"/>
    <w:rsid w:val="0071612D"/>
    <w:rsid w:val="00716143"/>
    <w:rsid w:val="007165D0"/>
    <w:rsid w:val="007165EA"/>
    <w:rsid w:val="00716691"/>
    <w:rsid w:val="00716875"/>
    <w:rsid w:val="00716B79"/>
    <w:rsid w:val="00716C3F"/>
    <w:rsid w:val="007170C3"/>
    <w:rsid w:val="00717119"/>
    <w:rsid w:val="0071716B"/>
    <w:rsid w:val="00717379"/>
    <w:rsid w:val="00717548"/>
    <w:rsid w:val="0071784D"/>
    <w:rsid w:val="00717975"/>
    <w:rsid w:val="00717A85"/>
    <w:rsid w:val="00717B5F"/>
    <w:rsid w:val="00717BE1"/>
    <w:rsid w:val="0072009F"/>
    <w:rsid w:val="007204A4"/>
    <w:rsid w:val="0072054D"/>
    <w:rsid w:val="00721063"/>
    <w:rsid w:val="00721116"/>
    <w:rsid w:val="0072115E"/>
    <w:rsid w:val="00721226"/>
    <w:rsid w:val="00721416"/>
    <w:rsid w:val="00721AB5"/>
    <w:rsid w:val="00721B91"/>
    <w:rsid w:val="00721C5E"/>
    <w:rsid w:val="00721CA9"/>
    <w:rsid w:val="00721CE1"/>
    <w:rsid w:val="00721D98"/>
    <w:rsid w:val="00722253"/>
    <w:rsid w:val="00722713"/>
    <w:rsid w:val="0072286C"/>
    <w:rsid w:val="0072293E"/>
    <w:rsid w:val="00722CD7"/>
    <w:rsid w:val="00722ECC"/>
    <w:rsid w:val="00723273"/>
    <w:rsid w:val="007234E2"/>
    <w:rsid w:val="00723634"/>
    <w:rsid w:val="00723B56"/>
    <w:rsid w:val="00723E33"/>
    <w:rsid w:val="007240A1"/>
    <w:rsid w:val="0072442F"/>
    <w:rsid w:val="00724737"/>
    <w:rsid w:val="007247AA"/>
    <w:rsid w:val="00724B5F"/>
    <w:rsid w:val="00724CEB"/>
    <w:rsid w:val="007250BB"/>
    <w:rsid w:val="00725376"/>
    <w:rsid w:val="0072538A"/>
    <w:rsid w:val="00725ADB"/>
    <w:rsid w:val="00725C0A"/>
    <w:rsid w:val="007262BD"/>
    <w:rsid w:val="00726562"/>
    <w:rsid w:val="007266D6"/>
    <w:rsid w:val="0072696A"/>
    <w:rsid w:val="00726A66"/>
    <w:rsid w:val="00726B44"/>
    <w:rsid w:val="00726BB9"/>
    <w:rsid w:val="00726EDB"/>
    <w:rsid w:val="00726FCC"/>
    <w:rsid w:val="00727074"/>
    <w:rsid w:val="00727399"/>
    <w:rsid w:val="007273D0"/>
    <w:rsid w:val="00727574"/>
    <w:rsid w:val="007276A1"/>
    <w:rsid w:val="007276EA"/>
    <w:rsid w:val="0072774A"/>
    <w:rsid w:val="00727835"/>
    <w:rsid w:val="00727B88"/>
    <w:rsid w:val="00727C0A"/>
    <w:rsid w:val="00727DB2"/>
    <w:rsid w:val="00727EBC"/>
    <w:rsid w:val="00727EE9"/>
    <w:rsid w:val="007300F8"/>
    <w:rsid w:val="007302E1"/>
    <w:rsid w:val="007303C5"/>
    <w:rsid w:val="00730779"/>
    <w:rsid w:val="00730AF8"/>
    <w:rsid w:val="00730C38"/>
    <w:rsid w:val="00730C61"/>
    <w:rsid w:val="00730D32"/>
    <w:rsid w:val="00730F68"/>
    <w:rsid w:val="00731254"/>
    <w:rsid w:val="0073132D"/>
    <w:rsid w:val="00731B31"/>
    <w:rsid w:val="007322CC"/>
    <w:rsid w:val="007323A4"/>
    <w:rsid w:val="007324AF"/>
    <w:rsid w:val="00732601"/>
    <w:rsid w:val="00732638"/>
    <w:rsid w:val="00732774"/>
    <w:rsid w:val="0073315D"/>
    <w:rsid w:val="007337AD"/>
    <w:rsid w:val="0073390C"/>
    <w:rsid w:val="00733AEB"/>
    <w:rsid w:val="00733AF8"/>
    <w:rsid w:val="00733B3A"/>
    <w:rsid w:val="00733D6A"/>
    <w:rsid w:val="0073404F"/>
    <w:rsid w:val="007340EA"/>
    <w:rsid w:val="007341DD"/>
    <w:rsid w:val="007341DF"/>
    <w:rsid w:val="00734219"/>
    <w:rsid w:val="00734242"/>
    <w:rsid w:val="007342D6"/>
    <w:rsid w:val="007343C6"/>
    <w:rsid w:val="00734433"/>
    <w:rsid w:val="007347CA"/>
    <w:rsid w:val="00734B0E"/>
    <w:rsid w:val="00734BE8"/>
    <w:rsid w:val="00734D12"/>
    <w:rsid w:val="00734D6E"/>
    <w:rsid w:val="00734D9F"/>
    <w:rsid w:val="00734E9E"/>
    <w:rsid w:val="007351B2"/>
    <w:rsid w:val="00735448"/>
    <w:rsid w:val="00735A0E"/>
    <w:rsid w:val="00735ACF"/>
    <w:rsid w:val="00735C42"/>
    <w:rsid w:val="00735CDB"/>
    <w:rsid w:val="0073617D"/>
    <w:rsid w:val="007362B0"/>
    <w:rsid w:val="0073652F"/>
    <w:rsid w:val="007365F0"/>
    <w:rsid w:val="007366E0"/>
    <w:rsid w:val="00736790"/>
    <w:rsid w:val="00736BEA"/>
    <w:rsid w:val="00736C44"/>
    <w:rsid w:val="00736CAF"/>
    <w:rsid w:val="00736E40"/>
    <w:rsid w:val="00737050"/>
    <w:rsid w:val="007371D6"/>
    <w:rsid w:val="00737587"/>
    <w:rsid w:val="00737802"/>
    <w:rsid w:val="00737CB9"/>
    <w:rsid w:val="00737F76"/>
    <w:rsid w:val="00740137"/>
    <w:rsid w:val="00740626"/>
    <w:rsid w:val="007409DD"/>
    <w:rsid w:val="0074138A"/>
    <w:rsid w:val="00741402"/>
    <w:rsid w:val="00741632"/>
    <w:rsid w:val="00741839"/>
    <w:rsid w:val="00741AB2"/>
    <w:rsid w:val="00741B1B"/>
    <w:rsid w:val="00741E05"/>
    <w:rsid w:val="00742048"/>
    <w:rsid w:val="007421C7"/>
    <w:rsid w:val="007424DC"/>
    <w:rsid w:val="007431A2"/>
    <w:rsid w:val="0074354F"/>
    <w:rsid w:val="007436BF"/>
    <w:rsid w:val="00743743"/>
    <w:rsid w:val="0074379B"/>
    <w:rsid w:val="00743A3C"/>
    <w:rsid w:val="00744131"/>
    <w:rsid w:val="00744142"/>
    <w:rsid w:val="007441FA"/>
    <w:rsid w:val="007443BC"/>
    <w:rsid w:val="007443CF"/>
    <w:rsid w:val="007446C0"/>
    <w:rsid w:val="00744855"/>
    <w:rsid w:val="0074488A"/>
    <w:rsid w:val="00745623"/>
    <w:rsid w:val="00745928"/>
    <w:rsid w:val="00745D6C"/>
    <w:rsid w:val="00745DC2"/>
    <w:rsid w:val="00746324"/>
    <w:rsid w:val="00746418"/>
    <w:rsid w:val="00746482"/>
    <w:rsid w:val="0074665B"/>
    <w:rsid w:val="00746A34"/>
    <w:rsid w:val="00746FAF"/>
    <w:rsid w:val="007470CC"/>
    <w:rsid w:val="007472B2"/>
    <w:rsid w:val="007472B4"/>
    <w:rsid w:val="00747B9C"/>
    <w:rsid w:val="00747C50"/>
    <w:rsid w:val="00747D47"/>
    <w:rsid w:val="00747E07"/>
    <w:rsid w:val="00747EFC"/>
    <w:rsid w:val="00747F1F"/>
    <w:rsid w:val="00750040"/>
    <w:rsid w:val="0075087F"/>
    <w:rsid w:val="00750F0B"/>
    <w:rsid w:val="00750FDB"/>
    <w:rsid w:val="00751087"/>
    <w:rsid w:val="0075162B"/>
    <w:rsid w:val="0075163D"/>
    <w:rsid w:val="00751C68"/>
    <w:rsid w:val="00751F5D"/>
    <w:rsid w:val="00752054"/>
    <w:rsid w:val="007523B2"/>
    <w:rsid w:val="0075255C"/>
    <w:rsid w:val="00752574"/>
    <w:rsid w:val="00752676"/>
    <w:rsid w:val="0075293C"/>
    <w:rsid w:val="00752BA1"/>
    <w:rsid w:val="0075302C"/>
    <w:rsid w:val="007531D8"/>
    <w:rsid w:val="00753865"/>
    <w:rsid w:val="00753A0A"/>
    <w:rsid w:val="00753AEC"/>
    <w:rsid w:val="00753B75"/>
    <w:rsid w:val="00753C89"/>
    <w:rsid w:val="00753D02"/>
    <w:rsid w:val="00753DE3"/>
    <w:rsid w:val="00753EB7"/>
    <w:rsid w:val="00753FB2"/>
    <w:rsid w:val="0075405D"/>
    <w:rsid w:val="0075440E"/>
    <w:rsid w:val="0075447C"/>
    <w:rsid w:val="0075463A"/>
    <w:rsid w:val="00754855"/>
    <w:rsid w:val="007549A1"/>
    <w:rsid w:val="00754CE7"/>
    <w:rsid w:val="00755030"/>
    <w:rsid w:val="007550C3"/>
    <w:rsid w:val="00755205"/>
    <w:rsid w:val="007552D1"/>
    <w:rsid w:val="00755544"/>
    <w:rsid w:val="0075562B"/>
    <w:rsid w:val="007556FF"/>
    <w:rsid w:val="00755A9A"/>
    <w:rsid w:val="00755B65"/>
    <w:rsid w:val="00755C25"/>
    <w:rsid w:val="0075604D"/>
    <w:rsid w:val="00756235"/>
    <w:rsid w:val="00756693"/>
    <w:rsid w:val="007567C2"/>
    <w:rsid w:val="007569A5"/>
    <w:rsid w:val="00756FCB"/>
    <w:rsid w:val="00757054"/>
    <w:rsid w:val="0075722B"/>
    <w:rsid w:val="00757246"/>
    <w:rsid w:val="007575D1"/>
    <w:rsid w:val="0075766B"/>
    <w:rsid w:val="007576C6"/>
    <w:rsid w:val="00757945"/>
    <w:rsid w:val="00757ADC"/>
    <w:rsid w:val="00757EB7"/>
    <w:rsid w:val="00757FCC"/>
    <w:rsid w:val="007600E8"/>
    <w:rsid w:val="0076022C"/>
    <w:rsid w:val="007604A5"/>
    <w:rsid w:val="0076077D"/>
    <w:rsid w:val="007609B0"/>
    <w:rsid w:val="00760CFA"/>
    <w:rsid w:val="00760FEA"/>
    <w:rsid w:val="00761568"/>
    <w:rsid w:val="007615C9"/>
    <w:rsid w:val="007616C1"/>
    <w:rsid w:val="007616ED"/>
    <w:rsid w:val="00761A2D"/>
    <w:rsid w:val="00762007"/>
    <w:rsid w:val="00762472"/>
    <w:rsid w:val="00762619"/>
    <w:rsid w:val="00762AD3"/>
    <w:rsid w:val="00762B80"/>
    <w:rsid w:val="007632AE"/>
    <w:rsid w:val="00763330"/>
    <w:rsid w:val="00763356"/>
    <w:rsid w:val="00763442"/>
    <w:rsid w:val="007634F6"/>
    <w:rsid w:val="007635A6"/>
    <w:rsid w:val="00763A4A"/>
    <w:rsid w:val="00763BC0"/>
    <w:rsid w:val="00763BDD"/>
    <w:rsid w:val="00763C2E"/>
    <w:rsid w:val="00763E3F"/>
    <w:rsid w:val="0076437F"/>
    <w:rsid w:val="00764834"/>
    <w:rsid w:val="00764C77"/>
    <w:rsid w:val="00764EA0"/>
    <w:rsid w:val="00764EE5"/>
    <w:rsid w:val="00765101"/>
    <w:rsid w:val="00765113"/>
    <w:rsid w:val="00765122"/>
    <w:rsid w:val="00765293"/>
    <w:rsid w:val="007654FF"/>
    <w:rsid w:val="007655CB"/>
    <w:rsid w:val="00765615"/>
    <w:rsid w:val="007656A3"/>
    <w:rsid w:val="007659F7"/>
    <w:rsid w:val="00765B31"/>
    <w:rsid w:val="00765C30"/>
    <w:rsid w:val="00765C5E"/>
    <w:rsid w:val="00765CB9"/>
    <w:rsid w:val="00765DB3"/>
    <w:rsid w:val="00765DEA"/>
    <w:rsid w:val="00765F1D"/>
    <w:rsid w:val="0076633E"/>
    <w:rsid w:val="00766703"/>
    <w:rsid w:val="00766D5D"/>
    <w:rsid w:val="00766D8C"/>
    <w:rsid w:val="00766DEB"/>
    <w:rsid w:val="00766E4F"/>
    <w:rsid w:val="00766FBF"/>
    <w:rsid w:val="007670BC"/>
    <w:rsid w:val="007672EF"/>
    <w:rsid w:val="0076730F"/>
    <w:rsid w:val="00767314"/>
    <w:rsid w:val="00767530"/>
    <w:rsid w:val="007675EF"/>
    <w:rsid w:val="00767A05"/>
    <w:rsid w:val="00767A28"/>
    <w:rsid w:val="00767DE1"/>
    <w:rsid w:val="0077021B"/>
    <w:rsid w:val="007703D7"/>
    <w:rsid w:val="0077041A"/>
    <w:rsid w:val="00770817"/>
    <w:rsid w:val="007708D2"/>
    <w:rsid w:val="00770C9D"/>
    <w:rsid w:val="00770D30"/>
    <w:rsid w:val="007710DC"/>
    <w:rsid w:val="00771127"/>
    <w:rsid w:val="0077112C"/>
    <w:rsid w:val="00771407"/>
    <w:rsid w:val="00771A1B"/>
    <w:rsid w:val="00771A6A"/>
    <w:rsid w:val="00771B17"/>
    <w:rsid w:val="0077230A"/>
    <w:rsid w:val="00772636"/>
    <w:rsid w:val="00772825"/>
    <w:rsid w:val="007728D2"/>
    <w:rsid w:val="00772A43"/>
    <w:rsid w:val="00772B62"/>
    <w:rsid w:val="00772F63"/>
    <w:rsid w:val="00773173"/>
    <w:rsid w:val="0077325D"/>
    <w:rsid w:val="00773609"/>
    <w:rsid w:val="007736B0"/>
    <w:rsid w:val="00773973"/>
    <w:rsid w:val="00773CCF"/>
    <w:rsid w:val="00773CD4"/>
    <w:rsid w:val="00773F9B"/>
    <w:rsid w:val="0077416F"/>
    <w:rsid w:val="007741BD"/>
    <w:rsid w:val="007743EE"/>
    <w:rsid w:val="0077446A"/>
    <w:rsid w:val="007744CF"/>
    <w:rsid w:val="007747EE"/>
    <w:rsid w:val="00774807"/>
    <w:rsid w:val="00774CC3"/>
    <w:rsid w:val="00774D7A"/>
    <w:rsid w:val="00774DCA"/>
    <w:rsid w:val="00774FD1"/>
    <w:rsid w:val="0077529C"/>
    <w:rsid w:val="007752FA"/>
    <w:rsid w:val="007755DD"/>
    <w:rsid w:val="00775787"/>
    <w:rsid w:val="00775CC9"/>
    <w:rsid w:val="00775F21"/>
    <w:rsid w:val="00775FCA"/>
    <w:rsid w:val="00776043"/>
    <w:rsid w:val="007761A3"/>
    <w:rsid w:val="0077648D"/>
    <w:rsid w:val="00776887"/>
    <w:rsid w:val="00776B3F"/>
    <w:rsid w:val="00776D27"/>
    <w:rsid w:val="00776D91"/>
    <w:rsid w:val="0077710C"/>
    <w:rsid w:val="007771DC"/>
    <w:rsid w:val="0077721F"/>
    <w:rsid w:val="00777322"/>
    <w:rsid w:val="00777458"/>
    <w:rsid w:val="00777552"/>
    <w:rsid w:val="007778F1"/>
    <w:rsid w:val="00777A02"/>
    <w:rsid w:val="00777A96"/>
    <w:rsid w:val="00777ACA"/>
    <w:rsid w:val="00777C0C"/>
    <w:rsid w:val="00777DD5"/>
    <w:rsid w:val="00780247"/>
    <w:rsid w:val="0078029E"/>
    <w:rsid w:val="007802F4"/>
    <w:rsid w:val="00780448"/>
    <w:rsid w:val="007806C3"/>
    <w:rsid w:val="007808F0"/>
    <w:rsid w:val="00780DF5"/>
    <w:rsid w:val="00780E0C"/>
    <w:rsid w:val="00780F06"/>
    <w:rsid w:val="00780F21"/>
    <w:rsid w:val="00781119"/>
    <w:rsid w:val="00781889"/>
    <w:rsid w:val="007819EC"/>
    <w:rsid w:val="00781B1E"/>
    <w:rsid w:val="00781F89"/>
    <w:rsid w:val="00782310"/>
    <w:rsid w:val="007826A1"/>
    <w:rsid w:val="00782C05"/>
    <w:rsid w:val="00783016"/>
    <w:rsid w:val="007835B8"/>
    <w:rsid w:val="0078372E"/>
    <w:rsid w:val="0078374A"/>
    <w:rsid w:val="0078388B"/>
    <w:rsid w:val="0078399E"/>
    <w:rsid w:val="00783F79"/>
    <w:rsid w:val="007845EC"/>
    <w:rsid w:val="0078482C"/>
    <w:rsid w:val="0078485A"/>
    <w:rsid w:val="007848AF"/>
    <w:rsid w:val="00784981"/>
    <w:rsid w:val="00784A40"/>
    <w:rsid w:val="00784AE4"/>
    <w:rsid w:val="00784B94"/>
    <w:rsid w:val="00784BCD"/>
    <w:rsid w:val="00784E96"/>
    <w:rsid w:val="00784F63"/>
    <w:rsid w:val="007850D0"/>
    <w:rsid w:val="00785239"/>
    <w:rsid w:val="00785354"/>
    <w:rsid w:val="007854AF"/>
    <w:rsid w:val="00785541"/>
    <w:rsid w:val="00785865"/>
    <w:rsid w:val="0078597E"/>
    <w:rsid w:val="00785994"/>
    <w:rsid w:val="00785B75"/>
    <w:rsid w:val="00785C89"/>
    <w:rsid w:val="00785FAE"/>
    <w:rsid w:val="00785FB2"/>
    <w:rsid w:val="007860B9"/>
    <w:rsid w:val="007862B1"/>
    <w:rsid w:val="00786477"/>
    <w:rsid w:val="007865A6"/>
    <w:rsid w:val="00786709"/>
    <w:rsid w:val="00786919"/>
    <w:rsid w:val="00786B1C"/>
    <w:rsid w:val="00786BFD"/>
    <w:rsid w:val="00786C27"/>
    <w:rsid w:val="00786C96"/>
    <w:rsid w:val="00786E2E"/>
    <w:rsid w:val="007870A3"/>
    <w:rsid w:val="007871C4"/>
    <w:rsid w:val="007876B3"/>
    <w:rsid w:val="0078781F"/>
    <w:rsid w:val="00787892"/>
    <w:rsid w:val="00787E3B"/>
    <w:rsid w:val="007900B1"/>
    <w:rsid w:val="00790114"/>
    <w:rsid w:val="007901ED"/>
    <w:rsid w:val="007902AF"/>
    <w:rsid w:val="0079068D"/>
    <w:rsid w:val="007908B8"/>
    <w:rsid w:val="00790C91"/>
    <w:rsid w:val="00790CB0"/>
    <w:rsid w:val="00790D83"/>
    <w:rsid w:val="007914ED"/>
    <w:rsid w:val="0079154E"/>
    <w:rsid w:val="00791611"/>
    <w:rsid w:val="007916B6"/>
    <w:rsid w:val="00791CF9"/>
    <w:rsid w:val="0079204C"/>
    <w:rsid w:val="007920E7"/>
    <w:rsid w:val="007926A4"/>
    <w:rsid w:val="00792DEA"/>
    <w:rsid w:val="00792E01"/>
    <w:rsid w:val="00792FC1"/>
    <w:rsid w:val="00793281"/>
    <w:rsid w:val="0079333A"/>
    <w:rsid w:val="007934C7"/>
    <w:rsid w:val="007935E0"/>
    <w:rsid w:val="0079369B"/>
    <w:rsid w:val="00793730"/>
    <w:rsid w:val="007939EF"/>
    <w:rsid w:val="00793D70"/>
    <w:rsid w:val="00793DB7"/>
    <w:rsid w:val="00793DC5"/>
    <w:rsid w:val="00794228"/>
    <w:rsid w:val="00794328"/>
    <w:rsid w:val="007943D6"/>
    <w:rsid w:val="0079445E"/>
    <w:rsid w:val="007944F8"/>
    <w:rsid w:val="00794515"/>
    <w:rsid w:val="007945DB"/>
    <w:rsid w:val="00794628"/>
    <w:rsid w:val="0079468E"/>
    <w:rsid w:val="007946A8"/>
    <w:rsid w:val="00794745"/>
    <w:rsid w:val="007948FE"/>
    <w:rsid w:val="00794D31"/>
    <w:rsid w:val="00794DF2"/>
    <w:rsid w:val="0079523B"/>
    <w:rsid w:val="007952BF"/>
    <w:rsid w:val="0079534F"/>
    <w:rsid w:val="007953E4"/>
    <w:rsid w:val="007956A2"/>
    <w:rsid w:val="007958CF"/>
    <w:rsid w:val="007958E5"/>
    <w:rsid w:val="00795A9D"/>
    <w:rsid w:val="00795B9C"/>
    <w:rsid w:val="00795E0E"/>
    <w:rsid w:val="00795EF7"/>
    <w:rsid w:val="00795F44"/>
    <w:rsid w:val="007963B7"/>
    <w:rsid w:val="00796466"/>
    <w:rsid w:val="00796488"/>
    <w:rsid w:val="00796694"/>
    <w:rsid w:val="007966E3"/>
    <w:rsid w:val="007967EB"/>
    <w:rsid w:val="00796AA6"/>
    <w:rsid w:val="00796E5B"/>
    <w:rsid w:val="0079725F"/>
    <w:rsid w:val="007972CB"/>
    <w:rsid w:val="007974A4"/>
    <w:rsid w:val="0079753D"/>
    <w:rsid w:val="007A0151"/>
    <w:rsid w:val="007A0360"/>
    <w:rsid w:val="007A0A63"/>
    <w:rsid w:val="007A0A90"/>
    <w:rsid w:val="007A0BD9"/>
    <w:rsid w:val="007A0FEA"/>
    <w:rsid w:val="007A1013"/>
    <w:rsid w:val="007A1458"/>
    <w:rsid w:val="007A1528"/>
    <w:rsid w:val="007A1756"/>
    <w:rsid w:val="007A1900"/>
    <w:rsid w:val="007A1A0B"/>
    <w:rsid w:val="007A1BF6"/>
    <w:rsid w:val="007A207F"/>
    <w:rsid w:val="007A20E4"/>
    <w:rsid w:val="007A22FB"/>
    <w:rsid w:val="007A27B1"/>
    <w:rsid w:val="007A29BD"/>
    <w:rsid w:val="007A2A56"/>
    <w:rsid w:val="007A2C3F"/>
    <w:rsid w:val="007A315E"/>
    <w:rsid w:val="007A317E"/>
    <w:rsid w:val="007A327A"/>
    <w:rsid w:val="007A33C3"/>
    <w:rsid w:val="007A34F0"/>
    <w:rsid w:val="007A365B"/>
    <w:rsid w:val="007A3975"/>
    <w:rsid w:val="007A39C9"/>
    <w:rsid w:val="007A3AFA"/>
    <w:rsid w:val="007A3CA0"/>
    <w:rsid w:val="007A3D85"/>
    <w:rsid w:val="007A3D98"/>
    <w:rsid w:val="007A3DAB"/>
    <w:rsid w:val="007A3E4C"/>
    <w:rsid w:val="007A3F0E"/>
    <w:rsid w:val="007A422D"/>
    <w:rsid w:val="007A443C"/>
    <w:rsid w:val="007A4774"/>
    <w:rsid w:val="007A4881"/>
    <w:rsid w:val="007A4955"/>
    <w:rsid w:val="007A4ADF"/>
    <w:rsid w:val="007A4EDE"/>
    <w:rsid w:val="007A514C"/>
    <w:rsid w:val="007A52F7"/>
    <w:rsid w:val="007A532E"/>
    <w:rsid w:val="007A53F5"/>
    <w:rsid w:val="007A547D"/>
    <w:rsid w:val="007A592D"/>
    <w:rsid w:val="007A5EF3"/>
    <w:rsid w:val="007A6350"/>
    <w:rsid w:val="007A651B"/>
    <w:rsid w:val="007A6531"/>
    <w:rsid w:val="007A66CA"/>
    <w:rsid w:val="007A670A"/>
    <w:rsid w:val="007A6764"/>
    <w:rsid w:val="007A6814"/>
    <w:rsid w:val="007A69AB"/>
    <w:rsid w:val="007A6E40"/>
    <w:rsid w:val="007A6EB4"/>
    <w:rsid w:val="007A70A0"/>
    <w:rsid w:val="007A7207"/>
    <w:rsid w:val="007A72BC"/>
    <w:rsid w:val="007A7405"/>
    <w:rsid w:val="007A75D8"/>
    <w:rsid w:val="007A76C1"/>
    <w:rsid w:val="007A7947"/>
    <w:rsid w:val="007A7A85"/>
    <w:rsid w:val="007A7F2F"/>
    <w:rsid w:val="007A7FF8"/>
    <w:rsid w:val="007B03D9"/>
    <w:rsid w:val="007B0975"/>
    <w:rsid w:val="007B0BE6"/>
    <w:rsid w:val="007B1015"/>
    <w:rsid w:val="007B11F8"/>
    <w:rsid w:val="007B15A2"/>
    <w:rsid w:val="007B1606"/>
    <w:rsid w:val="007B1A5B"/>
    <w:rsid w:val="007B1A9C"/>
    <w:rsid w:val="007B1AE2"/>
    <w:rsid w:val="007B1D3E"/>
    <w:rsid w:val="007B1DC6"/>
    <w:rsid w:val="007B20EB"/>
    <w:rsid w:val="007B22C7"/>
    <w:rsid w:val="007B24AD"/>
    <w:rsid w:val="007B27D0"/>
    <w:rsid w:val="007B28C3"/>
    <w:rsid w:val="007B2971"/>
    <w:rsid w:val="007B2A11"/>
    <w:rsid w:val="007B2C52"/>
    <w:rsid w:val="007B2CCB"/>
    <w:rsid w:val="007B2D0D"/>
    <w:rsid w:val="007B2FBE"/>
    <w:rsid w:val="007B30E9"/>
    <w:rsid w:val="007B312B"/>
    <w:rsid w:val="007B317D"/>
    <w:rsid w:val="007B369C"/>
    <w:rsid w:val="007B3994"/>
    <w:rsid w:val="007B39C0"/>
    <w:rsid w:val="007B3F0F"/>
    <w:rsid w:val="007B43E0"/>
    <w:rsid w:val="007B4443"/>
    <w:rsid w:val="007B44A4"/>
    <w:rsid w:val="007B49BB"/>
    <w:rsid w:val="007B4D15"/>
    <w:rsid w:val="007B4DFC"/>
    <w:rsid w:val="007B525B"/>
    <w:rsid w:val="007B56D5"/>
    <w:rsid w:val="007B5A15"/>
    <w:rsid w:val="007B5BD5"/>
    <w:rsid w:val="007B5BF0"/>
    <w:rsid w:val="007B5DE8"/>
    <w:rsid w:val="007B5E8A"/>
    <w:rsid w:val="007B652A"/>
    <w:rsid w:val="007B66AF"/>
    <w:rsid w:val="007B67CA"/>
    <w:rsid w:val="007B6B6A"/>
    <w:rsid w:val="007B6D6B"/>
    <w:rsid w:val="007B6EE0"/>
    <w:rsid w:val="007B70D2"/>
    <w:rsid w:val="007B71B1"/>
    <w:rsid w:val="007B7321"/>
    <w:rsid w:val="007B73B1"/>
    <w:rsid w:val="007B7475"/>
    <w:rsid w:val="007B75B1"/>
    <w:rsid w:val="007B77FF"/>
    <w:rsid w:val="007B78E3"/>
    <w:rsid w:val="007B790E"/>
    <w:rsid w:val="007B7A01"/>
    <w:rsid w:val="007B7D07"/>
    <w:rsid w:val="007B7D8D"/>
    <w:rsid w:val="007B7DDF"/>
    <w:rsid w:val="007C00C2"/>
    <w:rsid w:val="007C06FC"/>
    <w:rsid w:val="007C0D39"/>
    <w:rsid w:val="007C0F15"/>
    <w:rsid w:val="007C124A"/>
    <w:rsid w:val="007C131A"/>
    <w:rsid w:val="007C13EF"/>
    <w:rsid w:val="007C152A"/>
    <w:rsid w:val="007C17D2"/>
    <w:rsid w:val="007C1807"/>
    <w:rsid w:val="007C19A5"/>
    <w:rsid w:val="007C1A1D"/>
    <w:rsid w:val="007C1AEF"/>
    <w:rsid w:val="007C1B30"/>
    <w:rsid w:val="007C1BA4"/>
    <w:rsid w:val="007C1E2C"/>
    <w:rsid w:val="007C2042"/>
    <w:rsid w:val="007C20C1"/>
    <w:rsid w:val="007C2144"/>
    <w:rsid w:val="007C22E7"/>
    <w:rsid w:val="007C255B"/>
    <w:rsid w:val="007C25DA"/>
    <w:rsid w:val="007C261A"/>
    <w:rsid w:val="007C275C"/>
    <w:rsid w:val="007C28DE"/>
    <w:rsid w:val="007C2BA5"/>
    <w:rsid w:val="007C2BBA"/>
    <w:rsid w:val="007C2E66"/>
    <w:rsid w:val="007C2EEB"/>
    <w:rsid w:val="007C2F80"/>
    <w:rsid w:val="007C3054"/>
    <w:rsid w:val="007C33B3"/>
    <w:rsid w:val="007C38F8"/>
    <w:rsid w:val="007C44F7"/>
    <w:rsid w:val="007C47C0"/>
    <w:rsid w:val="007C47E1"/>
    <w:rsid w:val="007C4A7D"/>
    <w:rsid w:val="007C4D51"/>
    <w:rsid w:val="007C50F9"/>
    <w:rsid w:val="007C5173"/>
    <w:rsid w:val="007C524E"/>
    <w:rsid w:val="007C528B"/>
    <w:rsid w:val="007C5621"/>
    <w:rsid w:val="007C5A39"/>
    <w:rsid w:val="007C5A4F"/>
    <w:rsid w:val="007C5CE1"/>
    <w:rsid w:val="007C5F44"/>
    <w:rsid w:val="007C6047"/>
    <w:rsid w:val="007C61B7"/>
    <w:rsid w:val="007C6227"/>
    <w:rsid w:val="007C6273"/>
    <w:rsid w:val="007C62AC"/>
    <w:rsid w:val="007C697D"/>
    <w:rsid w:val="007C6E0B"/>
    <w:rsid w:val="007C6FED"/>
    <w:rsid w:val="007C6FF5"/>
    <w:rsid w:val="007C70B9"/>
    <w:rsid w:val="007C74F7"/>
    <w:rsid w:val="007C75AA"/>
    <w:rsid w:val="007C768F"/>
    <w:rsid w:val="007C77BA"/>
    <w:rsid w:val="007C7969"/>
    <w:rsid w:val="007C7FEC"/>
    <w:rsid w:val="007D002E"/>
    <w:rsid w:val="007D005B"/>
    <w:rsid w:val="007D0233"/>
    <w:rsid w:val="007D07F2"/>
    <w:rsid w:val="007D07F4"/>
    <w:rsid w:val="007D0801"/>
    <w:rsid w:val="007D0981"/>
    <w:rsid w:val="007D09AD"/>
    <w:rsid w:val="007D0CAD"/>
    <w:rsid w:val="007D0DC5"/>
    <w:rsid w:val="007D0E65"/>
    <w:rsid w:val="007D0EE6"/>
    <w:rsid w:val="007D0F79"/>
    <w:rsid w:val="007D1076"/>
    <w:rsid w:val="007D10C7"/>
    <w:rsid w:val="007D1236"/>
    <w:rsid w:val="007D1246"/>
    <w:rsid w:val="007D1303"/>
    <w:rsid w:val="007D144C"/>
    <w:rsid w:val="007D156F"/>
    <w:rsid w:val="007D17D4"/>
    <w:rsid w:val="007D18F1"/>
    <w:rsid w:val="007D1956"/>
    <w:rsid w:val="007D1C2E"/>
    <w:rsid w:val="007D1D20"/>
    <w:rsid w:val="007D1E95"/>
    <w:rsid w:val="007D1EA2"/>
    <w:rsid w:val="007D201E"/>
    <w:rsid w:val="007D20BE"/>
    <w:rsid w:val="007D2112"/>
    <w:rsid w:val="007D2197"/>
    <w:rsid w:val="007D2231"/>
    <w:rsid w:val="007D2282"/>
    <w:rsid w:val="007D23E3"/>
    <w:rsid w:val="007D24C2"/>
    <w:rsid w:val="007D2535"/>
    <w:rsid w:val="007D25F7"/>
    <w:rsid w:val="007D2879"/>
    <w:rsid w:val="007D2C75"/>
    <w:rsid w:val="007D2CAA"/>
    <w:rsid w:val="007D2CF7"/>
    <w:rsid w:val="007D328B"/>
    <w:rsid w:val="007D38A2"/>
    <w:rsid w:val="007D3A6A"/>
    <w:rsid w:val="007D3B9C"/>
    <w:rsid w:val="007D3D52"/>
    <w:rsid w:val="007D3EC2"/>
    <w:rsid w:val="007D3ECE"/>
    <w:rsid w:val="007D402E"/>
    <w:rsid w:val="007D4387"/>
    <w:rsid w:val="007D4602"/>
    <w:rsid w:val="007D4B4E"/>
    <w:rsid w:val="007D4BCB"/>
    <w:rsid w:val="007D4C5A"/>
    <w:rsid w:val="007D4CA2"/>
    <w:rsid w:val="007D4DD2"/>
    <w:rsid w:val="007D500F"/>
    <w:rsid w:val="007D51A6"/>
    <w:rsid w:val="007D52A8"/>
    <w:rsid w:val="007D5316"/>
    <w:rsid w:val="007D5659"/>
    <w:rsid w:val="007D5902"/>
    <w:rsid w:val="007D59FE"/>
    <w:rsid w:val="007D5A50"/>
    <w:rsid w:val="007D5B01"/>
    <w:rsid w:val="007D5E32"/>
    <w:rsid w:val="007D5E96"/>
    <w:rsid w:val="007D61A7"/>
    <w:rsid w:val="007D62A8"/>
    <w:rsid w:val="007D63F7"/>
    <w:rsid w:val="007D6651"/>
    <w:rsid w:val="007D684B"/>
    <w:rsid w:val="007D6B67"/>
    <w:rsid w:val="007D6F47"/>
    <w:rsid w:val="007D7059"/>
    <w:rsid w:val="007D7083"/>
    <w:rsid w:val="007D7257"/>
    <w:rsid w:val="007D7389"/>
    <w:rsid w:val="007D7674"/>
    <w:rsid w:val="007D76C0"/>
    <w:rsid w:val="007D79E7"/>
    <w:rsid w:val="007D7B84"/>
    <w:rsid w:val="007D7C6D"/>
    <w:rsid w:val="007D7E27"/>
    <w:rsid w:val="007D7F67"/>
    <w:rsid w:val="007E01B6"/>
    <w:rsid w:val="007E03B5"/>
    <w:rsid w:val="007E07AB"/>
    <w:rsid w:val="007E0983"/>
    <w:rsid w:val="007E0C87"/>
    <w:rsid w:val="007E0E25"/>
    <w:rsid w:val="007E0F89"/>
    <w:rsid w:val="007E1149"/>
    <w:rsid w:val="007E11A5"/>
    <w:rsid w:val="007E1A19"/>
    <w:rsid w:val="007E1A3F"/>
    <w:rsid w:val="007E1B44"/>
    <w:rsid w:val="007E1B46"/>
    <w:rsid w:val="007E1BA0"/>
    <w:rsid w:val="007E1FCD"/>
    <w:rsid w:val="007E20BA"/>
    <w:rsid w:val="007E2324"/>
    <w:rsid w:val="007E2336"/>
    <w:rsid w:val="007E24A1"/>
    <w:rsid w:val="007E2574"/>
    <w:rsid w:val="007E25D2"/>
    <w:rsid w:val="007E2820"/>
    <w:rsid w:val="007E2A78"/>
    <w:rsid w:val="007E2AE2"/>
    <w:rsid w:val="007E2C92"/>
    <w:rsid w:val="007E2D0D"/>
    <w:rsid w:val="007E2E1D"/>
    <w:rsid w:val="007E2E48"/>
    <w:rsid w:val="007E2ECE"/>
    <w:rsid w:val="007E2FED"/>
    <w:rsid w:val="007E3180"/>
    <w:rsid w:val="007E321E"/>
    <w:rsid w:val="007E37F5"/>
    <w:rsid w:val="007E3961"/>
    <w:rsid w:val="007E3E67"/>
    <w:rsid w:val="007E4533"/>
    <w:rsid w:val="007E4578"/>
    <w:rsid w:val="007E458D"/>
    <w:rsid w:val="007E4593"/>
    <w:rsid w:val="007E46E7"/>
    <w:rsid w:val="007E4F60"/>
    <w:rsid w:val="007E4F6E"/>
    <w:rsid w:val="007E516C"/>
    <w:rsid w:val="007E5229"/>
    <w:rsid w:val="007E55DD"/>
    <w:rsid w:val="007E5655"/>
    <w:rsid w:val="007E56AF"/>
    <w:rsid w:val="007E5A6B"/>
    <w:rsid w:val="007E5ACE"/>
    <w:rsid w:val="007E5B28"/>
    <w:rsid w:val="007E5CDA"/>
    <w:rsid w:val="007E5DFA"/>
    <w:rsid w:val="007E60A9"/>
    <w:rsid w:val="007E62FA"/>
    <w:rsid w:val="007E64B4"/>
    <w:rsid w:val="007E64E9"/>
    <w:rsid w:val="007E6938"/>
    <w:rsid w:val="007E6C50"/>
    <w:rsid w:val="007E6F85"/>
    <w:rsid w:val="007E721B"/>
    <w:rsid w:val="007E7263"/>
    <w:rsid w:val="007E72F3"/>
    <w:rsid w:val="007E73D1"/>
    <w:rsid w:val="007E78F3"/>
    <w:rsid w:val="007E793E"/>
    <w:rsid w:val="007E799F"/>
    <w:rsid w:val="007E7B63"/>
    <w:rsid w:val="007E7C2A"/>
    <w:rsid w:val="007E7C5C"/>
    <w:rsid w:val="007E7C76"/>
    <w:rsid w:val="007E7C9D"/>
    <w:rsid w:val="007E7E5C"/>
    <w:rsid w:val="007F01D4"/>
    <w:rsid w:val="007F023E"/>
    <w:rsid w:val="007F0250"/>
    <w:rsid w:val="007F07C6"/>
    <w:rsid w:val="007F07CE"/>
    <w:rsid w:val="007F07D7"/>
    <w:rsid w:val="007F09CB"/>
    <w:rsid w:val="007F0B52"/>
    <w:rsid w:val="007F0D36"/>
    <w:rsid w:val="007F1164"/>
    <w:rsid w:val="007F121B"/>
    <w:rsid w:val="007F127D"/>
    <w:rsid w:val="007F1376"/>
    <w:rsid w:val="007F15A1"/>
    <w:rsid w:val="007F1679"/>
    <w:rsid w:val="007F1979"/>
    <w:rsid w:val="007F1B10"/>
    <w:rsid w:val="007F1BA1"/>
    <w:rsid w:val="007F1C77"/>
    <w:rsid w:val="007F1CA0"/>
    <w:rsid w:val="007F1CBD"/>
    <w:rsid w:val="007F1CDD"/>
    <w:rsid w:val="007F1D34"/>
    <w:rsid w:val="007F1DD9"/>
    <w:rsid w:val="007F1E0A"/>
    <w:rsid w:val="007F20DD"/>
    <w:rsid w:val="007F2187"/>
    <w:rsid w:val="007F2272"/>
    <w:rsid w:val="007F2393"/>
    <w:rsid w:val="007F239A"/>
    <w:rsid w:val="007F25F7"/>
    <w:rsid w:val="007F27DE"/>
    <w:rsid w:val="007F28E0"/>
    <w:rsid w:val="007F2B71"/>
    <w:rsid w:val="007F302B"/>
    <w:rsid w:val="007F3104"/>
    <w:rsid w:val="007F338D"/>
    <w:rsid w:val="007F34C4"/>
    <w:rsid w:val="007F3686"/>
    <w:rsid w:val="007F37F4"/>
    <w:rsid w:val="007F3935"/>
    <w:rsid w:val="007F3A3D"/>
    <w:rsid w:val="007F3D40"/>
    <w:rsid w:val="007F3DE8"/>
    <w:rsid w:val="007F41CD"/>
    <w:rsid w:val="007F43EC"/>
    <w:rsid w:val="007F4414"/>
    <w:rsid w:val="007F456D"/>
    <w:rsid w:val="007F4608"/>
    <w:rsid w:val="007F4609"/>
    <w:rsid w:val="007F496D"/>
    <w:rsid w:val="007F4979"/>
    <w:rsid w:val="007F4B0B"/>
    <w:rsid w:val="007F4B4B"/>
    <w:rsid w:val="007F5323"/>
    <w:rsid w:val="007F5338"/>
    <w:rsid w:val="007F5457"/>
    <w:rsid w:val="007F556B"/>
    <w:rsid w:val="007F56D4"/>
    <w:rsid w:val="007F5959"/>
    <w:rsid w:val="007F5A28"/>
    <w:rsid w:val="007F5AB1"/>
    <w:rsid w:val="007F5BF2"/>
    <w:rsid w:val="007F5D8E"/>
    <w:rsid w:val="007F5DE8"/>
    <w:rsid w:val="007F5E1F"/>
    <w:rsid w:val="007F5E28"/>
    <w:rsid w:val="007F5E5F"/>
    <w:rsid w:val="007F6210"/>
    <w:rsid w:val="007F62BA"/>
    <w:rsid w:val="007F649A"/>
    <w:rsid w:val="007F64C8"/>
    <w:rsid w:val="007F6675"/>
    <w:rsid w:val="007F66A6"/>
    <w:rsid w:val="007F694C"/>
    <w:rsid w:val="007F6D9B"/>
    <w:rsid w:val="007F6E12"/>
    <w:rsid w:val="007F6E22"/>
    <w:rsid w:val="007F70A8"/>
    <w:rsid w:val="007F7269"/>
    <w:rsid w:val="007F770A"/>
    <w:rsid w:val="007F771E"/>
    <w:rsid w:val="007F7971"/>
    <w:rsid w:val="007F7A01"/>
    <w:rsid w:val="007F7A66"/>
    <w:rsid w:val="007F7BA5"/>
    <w:rsid w:val="007F7C8C"/>
    <w:rsid w:val="007F7EB6"/>
    <w:rsid w:val="007F7FDB"/>
    <w:rsid w:val="007F7FEB"/>
    <w:rsid w:val="00800154"/>
    <w:rsid w:val="00800259"/>
    <w:rsid w:val="00800314"/>
    <w:rsid w:val="00800540"/>
    <w:rsid w:val="0080083F"/>
    <w:rsid w:val="0080093A"/>
    <w:rsid w:val="00800FFB"/>
    <w:rsid w:val="0080102F"/>
    <w:rsid w:val="008014A2"/>
    <w:rsid w:val="00801A78"/>
    <w:rsid w:val="00801AEC"/>
    <w:rsid w:val="00801B6C"/>
    <w:rsid w:val="00801CC0"/>
    <w:rsid w:val="0080234F"/>
    <w:rsid w:val="00802631"/>
    <w:rsid w:val="008026BA"/>
    <w:rsid w:val="00802703"/>
    <w:rsid w:val="008029AC"/>
    <w:rsid w:val="00803105"/>
    <w:rsid w:val="008031AF"/>
    <w:rsid w:val="0080328B"/>
    <w:rsid w:val="008032FB"/>
    <w:rsid w:val="008033E6"/>
    <w:rsid w:val="008036E2"/>
    <w:rsid w:val="00803778"/>
    <w:rsid w:val="0080394D"/>
    <w:rsid w:val="00803C63"/>
    <w:rsid w:val="00803E82"/>
    <w:rsid w:val="00804179"/>
    <w:rsid w:val="00804480"/>
    <w:rsid w:val="00804621"/>
    <w:rsid w:val="00804B8A"/>
    <w:rsid w:val="00804D33"/>
    <w:rsid w:val="00804E9D"/>
    <w:rsid w:val="008051D0"/>
    <w:rsid w:val="008053EF"/>
    <w:rsid w:val="008054CF"/>
    <w:rsid w:val="00805651"/>
    <w:rsid w:val="00805B04"/>
    <w:rsid w:val="00805E4E"/>
    <w:rsid w:val="00805EC6"/>
    <w:rsid w:val="0080620A"/>
    <w:rsid w:val="00806286"/>
    <w:rsid w:val="008063A1"/>
    <w:rsid w:val="0080652C"/>
    <w:rsid w:val="00806589"/>
    <w:rsid w:val="00806A1C"/>
    <w:rsid w:val="00806D4F"/>
    <w:rsid w:val="00806E5F"/>
    <w:rsid w:val="008070AD"/>
    <w:rsid w:val="00807212"/>
    <w:rsid w:val="00807667"/>
    <w:rsid w:val="00807669"/>
    <w:rsid w:val="00807953"/>
    <w:rsid w:val="00807B96"/>
    <w:rsid w:val="00807C74"/>
    <w:rsid w:val="00807E76"/>
    <w:rsid w:val="00807EBF"/>
    <w:rsid w:val="00810100"/>
    <w:rsid w:val="00810299"/>
    <w:rsid w:val="008104B7"/>
    <w:rsid w:val="00810654"/>
    <w:rsid w:val="0081086E"/>
    <w:rsid w:val="0081098D"/>
    <w:rsid w:val="00810A7C"/>
    <w:rsid w:val="00810ABF"/>
    <w:rsid w:val="00810C7E"/>
    <w:rsid w:val="00810D8F"/>
    <w:rsid w:val="00810E4D"/>
    <w:rsid w:val="008115BA"/>
    <w:rsid w:val="0081168A"/>
    <w:rsid w:val="00811902"/>
    <w:rsid w:val="00811976"/>
    <w:rsid w:val="00811A5A"/>
    <w:rsid w:val="00811A9A"/>
    <w:rsid w:val="00811E35"/>
    <w:rsid w:val="008121FD"/>
    <w:rsid w:val="00812528"/>
    <w:rsid w:val="00812BD5"/>
    <w:rsid w:val="00812C48"/>
    <w:rsid w:val="00812DEE"/>
    <w:rsid w:val="00812E77"/>
    <w:rsid w:val="0081343A"/>
    <w:rsid w:val="008134F2"/>
    <w:rsid w:val="00813672"/>
    <w:rsid w:val="00813838"/>
    <w:rsid w:val="008138B1"/>
    <w:rsid w:val="00813B12"/>
    <w:rsid w:val="00813BE3"/>
    <w:rsid w:val="00813F91"/>
    <w:rsid w:val="0081400A"/>
    <w:rsid w:val="0081420B"/>
    <w:rsid w:val="00814358"/>
    <w:rsid w:val="00814860"/>
    <w:rsid w:val="008149C8"/>
    <w:rsid w:val="00814B0F"/>
    <w:rsid w:val="00814B92"/>
    <w:rsid w:val="00814E20"/>
    <w:rsid w:val="00814F73"/>
    <w:rsid w:val="0081516D"/>
    <w:rsid w:val="00815491"/>
    <w:rsid w:val="0081550B"/>
    <w:rsid w:val="00815664"/>
    <w:rsid w:val="00815C5C"/>
    <w:rsid w:val="00815CAE"/>
    <w:rsid w:val="00815CB1"/>
    <w:rsid w:val="00815D32"/>
    <w:rsid w:val="00815F16"/>
    <w:rsid w:val="00816240"/>
    <w:rsid w:val="0081689E"/>
    <w:rsid w:val="00816A29"/>
    <w:rsid w:val="00816C02"/>
    <w:rsid w:val="00816C86"/>
    <w:rsid w:val="00816DB8"/>
    <w:rsid w:val="00816E14"/>
    <w:rsid w:val="00816FDE"/>
    <w:rsid w:val="00817065"/>
    <w:rsid w:val="0081738D"/>
    <w:rsid w:val="00817484"/>
    <w:rsid w:val="00817631"/>
    <w:rsid w:val="008176CB"/>
    <w:rsid w:val="00817923"/>
    <w:rsid w:val="00817B5B"/>
    <w:rsid w:val="00817F54"/>
    <w:rsid w:val="00817FAA"/>
    <w:rsid w:val="0082036C"/>
    <w:rsid w:val="008203F2"/>
    <w:rsid w:val="008204C5"/>
    <w:rsid w:val="008204D4"/>
    <w:rsid w:val="00820507"/>
    <w:rsid w:val="008208D1"/>
    <w:rsid w:val="00820A46"/>
    <w:rsid w:val="00820B79"/>
    <w:rsid w:val="00820C30"/>
    <w:rsid w:val="00820D0C"/>
    <w:rsid w:val="00820D73"/>
    <w:rsid w:val="00820E5B"/>
    <w:rsid w:val="008211D0"/>
    <w:rsid w:val="008211FF"/>
    <w:rsid w:val="00821462"/>
    <w:rsid w:val="008214B7"/>
    <w:rsid w:val="0082173B"/>
    <w:rsid w:val="008217AF"/>
    <w:rsid w:val="00821839"/>
    <w:rsid w:val="0082196B"/>
    <w:rsid w:val="00821AF0"/>
    <w:rsid w:val="00821B39"/>
    <w:rsid w:val="00821BB0"/>
    <w:rsid w:val="00821C24"/>
    <w:rsid w:val="0082201E"/>
    <w:rsid w:val="008223D5"/>
    <w:rsid w:val="0082285E"/>
    <w:rsid w:val="00822BDD"/>
    <w:rsid w:val="00822CAF"/>
    <w:rsid w:val="00822D5B"/>
    <w:rsid w:val="00822DA2"/>
    <w:rsid w:val="00822FAC"/>
    <w:rsid w:val="00823176"/>
    <w:rsid w:val="0082325A"/>
    <w:rsid w:val="00823298"/>
    <w:rsid w:val="00823459"/>
    <w:rsid w:val="0082364F"/>
    <w:rsid w:val="008237E3"/>
    <w:rsid w:val="00823875"/>
    <w:rsid w:val="0082388E"/>
    <w:rsid w:val="00823A35"/>
    <w:rsid w:val="00823AA2"/>
    <w:rsid w:val="00824175"/>
    <w:rsid w:val="008245FC"/>
    <w:rsid w:val="00824621"/>
    <w:rsid w:val="00824688"/>
    <w:rsid w:val="00824866"/>
    <w:rsid w:val="00824893"/>
    <w:rsid w:val="008248AB"/>
    <w:rsid w:val="008248E3"/>
    <w:rsid w:val="00824DD4"/>
    <w:rsid w:val="00824F7A"/>
    <w:rsid w:val="00825130"/>
    <w:rsid w:val="00825162"/>
    <w:rsid w:val="00825408"/>
    <w:rsid w:val="00825566"/>
    <w:rsid w:val="00825615"/>
    <w:rsid w:val="00825B81"/>
    <w:rsid w:val="00825B96"/>
    <w:rsid w:val="00825E38"/>
    <w:rsid w:val="0082628D"/>
    <w:rsid w:val="0082682C"/>
    <w:rsid w:val="00826AE2"/>
    <w:rsid w:val="00826CF6"/>
    <w:rsid w:val="00826D39"/>
    <w:rsid w:val="00826D92"/>
    <w:rsid w:val="00826F0F"/>
    <w:rsid w:val="00826FDC"/>
    <w:rsid w:val="00826FEA"/>
    <w:rsid w:val="008270B1"/>
    <w:rsid w:val="00827195"/>
    <w:rsid w:val="0082724B"/>
    <w:rsid w:val="00827824"/>
    <w:rsid w:val="00827D46"/>
    <w:rsid w:val="00827E42"/>
    <w:rsid w:val="00827F84"/>
    <w:rsid w:val="00830522"/>
    <w:rsid w:val="0083090A"/>
    <w:rsid w:val="00830B5B"/>
    <w:rsid w:val="00830F6D"/>
    <w:rsid w:val="00830F9F"/>
    <w:rsid w:val="0083106D"/>
    <w:rsid w:val="00831268"/>
    <w:rsid w:val="0083139C"/>
    <w:rsid w:val="008314D4"/>
    <w:rsid w:val="008317FB"/>
    <w:rsid w:val="00831A48"/>
    <w:rsid w:val="00831BA4"/>
    <w:rsid w:val="00831EAC"/>
    <w:rsid w:val="0083201D"/>
    <w:rsid w:val="008320F3"/>
    <w:rsid w:val="00832555"/>
    <w:rsid w:val="00832906"/>
    <w:rsid w:val="00832971"/>
    <w:rsid w:val="00832D76"/>
    <w:rsid w:val="00832D92"/>
    <w:rsid w:val="008332B5"/>
    <w:rsid w:val="008333EB"/>
    <w:rsid w:val="008335C2"/>
    <w:rsid w:val="00833987"/>
    <w:rsid w:val="00833AB5"/>
    <w:rsid w:val="00833DDA"/>
    <w:rsid w:val="00833EF7"/>
    <w:rsid w:val="00833F20"/>
    <w:rsid w:val="00834238"/>
    <w:rsid w:val="008342CC"/>
    <w:rsid w:val="00834402"/>
    <w:rsid w:val="0083478C"/>
    <w:rsid w:val="0083481E"/>
    <w:rsid w:val="00834BD4"/>
    <w:rsid w:val="00834BE9"/>
    <w:rsid w:val="00834BF1"/>
    <w:rsid w:val="00834D60"/>
    <w:rsid w:val="00835508"/>
    <w:rsid w:val="00835FEF"/>
    <w:rsid w:val="008360C3"/>
    <w:rsid w:val="0083610C"/>
    <w:rsid w:val="0083648E"/>
    <w:rsid w:val="008364EB"/>
    <w:rsid w:val="00836891"/>
    <w:rsid w:val="00836E46"/>
    <w:rsid w:val="00836E85"/>
    <w:rsid w:val="0083730C"/>
    <w:rsid w:val="00837318"/>
    <w:rsid w:val="00837333"/>
    <w:rsid w:val="0083735D"/>
    <w:rsid w:val="008373E8"/>
    <w:rsid w:val="0083754B"/>
    <w:rsid w:val="00837632"/>
    <w:rsid w:val="00837A2A"/>
    <w:rsid w:val="00837B3E"/>
    <w:rsid w:val="00837F4A"/>
    <w:rsid w:val="00840004"/>
    <w:rsid w:val="008401C1"/>
    <w:rsid w:val="0084021B"/>
    <w:rsid w:val="00840512"/>
    <w:rsid w:val="0084062C"/>
    <w:rsid w:val="008406E7"/>
    <w:rsid w:val="00840895"/>
    <w:rsid w:val="008409ED"/>
    <w:rsid w:val="00840BA7"/>
    <w:rsid w:val="00840F2E"/>
    <w:rsid w:val="00841422"/>
    <w:rsid w:val="00841504"/>
    <w:rsid w:val="00841819"/>
    <w:rsid w:val="00841825"/>
    <w:rsid w:val="008419F9"/>
    <w:rsid w:val="00841BA1"/>
    <w:rsid w:val="00841BEF"/>
    <w:rsid w:val="00841FDA"/>
    <w:rsid w:val="00841FEC"/>
    <w:rsid w:val="0084204E"/>
    <w:rsid w:val="008423C8"/>
    <w:rsid w:val="00842F62"/>
    <w:rsid w:val="00842FCA"/>
    <w:rsid w:val="00843127"/>
    <w:rsid w:val="008431E0"/>
    <w:rsid w:val="008432E1"/>
    <w:rsid w:val="0084346B"/>
    <w:rsid w:val="008434DC"/>
    <w:rsid w:val="00843544"/>
    <w:rsid w:val="00843723"/>
    <w:rsid w:val="00843836"/>
    <w:rsid w:val="00843892"/>
    <w:rsid w:val="00844264"/>
    <w:rsid w:val="0084442E"/>
    <w:rsid w:val="00844457"/>
    <w:rsid w:val="0084453E"/>
    <w:rsid w:val="00844916"/>
    <w:rsid w:val="00844C9A"/>
    <w:rsid w:val="00844CD5"/>
    <w:rsid w:val="00844D4B"/>
    <w:rsid w:val="00844D68"/>
    <w:rsid w:val="00844D7E"/>
    <w:rsid w:val="008452E4"/>
    <w:rsid w:val="008454A8"/>
    <w:rsid w:val="0084569A"/>
    <w:rsid w:val="00845768"/>
    <w:rsid w:val="00845BFC"/>
    <w:rsid w:val="00845D81"/>
    <w:rsid w:val="00845DE2"/>
    <w:rsid w:val="00845E41"/>
    <w:rsid w:val="00845EDA"/>
    <w:rsid w:val="00845F0C"/>
    <w:rsid w:val="00845FC7"/>
    <w:rsid w:val="00846129"/>
    <w:rsid w:val="008463E2"/>
    <w:rsid w:val="00846724"/>
    <w:rsid w:val="0084699A"/>
    <w:rsid w:val="00846E79"/>
    <w:rsid w:val="00847059"/>
    <w:rsid w:val="00847115"/>
    <w:rsid w:val="00847365"/>
    <w:rsid w:val="008473CB"/>
    <w:rsid w:val="00847461"/>
    <w:rsid w:val="00847580"/>
    <w:rsid w:val="008475FC"/>
    <w:rsid w:val="008478C1"/>
    <w:rsid w:val="00847A3F"/>
    <w:rsid w:val="00847C68"/>
    <w:rsid w:val="00847D40"/>
    <w:rsid w:val="00847DE4"/>
    <w:rsid w:val="00847F3F"/>
    <w:rsid w:val="008502EF"/>
    <w:rsid w:val="0085030A"/>
    <w:rsid w:val="00850374"/>
    <w:rsid w:val="00850571"/>
    <w:rsid w:val="008506EC"/>
    <w:rsid w:val="00850821"/>
    <w:rsid w:val="00850A5F"/>
    <w:rsid w:val="00850B98"/>
    <w:rsid w:val="00850C3A"/>
    <w:rsid w:val="00850DED"/>
    <w:rsid w:val="00850F8E"/>
    <w:rsid w:val="008510FF"/>
    <w:rsid w:val="008511E2"/>
    <w:rsid w:val="008518B6"/>
    <w:rsid w:val="008518D7"/>
    <w:rsid w:val="00851ADE"/>
    <w:rsid w:val="00851BA4"/>
    <w:rsid w:val="00851DEF"/>
    <w:rsid w:val="00851E8F"/>
    <w:rsid w:val="00851F17"/>
    <w:rsid w:val="00851F8F"/>
    <w:rsid w:val="00852168"/>
    <w:rsid w:val="0085265C"/>
    <w:rsid w:val="008526BB"/>
    <w:rsid w:val="0085273B"/>
    <w:rsid w:val="008529AC"/>
    <w:rsid w:val="008529C7"/>
    <w:rsid w:val="00852B73"/>
    <w:rsid w:val="00852D1C"/>
    <w:rsid w:val="00852E4A"/>
    <w:rsid w:val="00852FDA"/>
    <w:rsid w:val="00853164"/>
    <w:rsid w:val="00853277"/>
    <w:rsid w:val="00853702"/>
    <w:rsid w:val="00853880"/>
    <w:rsid w:val="00853915"/>
    <w:rsid w:val="0085395D"/>
    <w:rsid w:val="0085395F"/>
    <w:rsid w:val="00853A37"/>
    <w:rsid w:val="00853B95"/>
    <w:rsid w:val="00853F93"/>
    <w:rsid w:val="00854274"/>
    <w:rsid w:val="00854756"/>
    <w:rsid w:val="00854ACD"/>
    <w:rsid w:val="00854CCF"/>
    <w:rsid w:val="00854D19"/>
    <w:rsid w:val="00854FB6"/>
    <w:rsid w:val="008550BB"/>
    <w:rsid w:val="008553C3"/>
    <w:rsid w:val="008556AF"/>
    <w:rsid w:val="00855709"/>
    <w:rsid w:val="008558AF"/>
    <w:rsid w:val="00855CF4"/>
    <w:rsid w:val="00855E0A"/>
    <w:rsid w:val="00855FAE"/>
    <w:rsid w:val="0085609B"/>
    <w:rsid w:val="0085644F"/>
    <w:rsid w:val="00856488"/>
    <w:rsid w:val="008565F9"/>
    <w:rsid w:val="0085662B"/>
    <w:rsid w:val="008567D4"/>
    <w:rsid w:val="008568B2"/>
    <w:rsid w:val="008568BC"/>
    <w:rsid w:val="00857505"/>
    <w:rsid w:val="008579E1"/>
    <w:rsid w:val="00857C45"/>
    <w:rsid w:val="00857C71"/>
    <w:rsid w:val="00857C76"/>
    <w:rsid w:val="00857C7E"/>
    <w:rsid w:val="008602A8"/>
    <w:rsid w:val="008605C0"/>
    <w:rsid w:val="0086061D"/>
    <w:rsid w:val="008609E4"/>
    <w:rsid w:val="00860D54"/>
    <w:rsid w:val="00860E65"/>
    <w:rsid w:val="008610C0"/>
    <w:rsid w:val="00861287"/>
    <w:rsid w:val="00861441"/>
    <w:rsid w:val="0086171E"/>
    <w:rsid w:val="00861AC7"/>
    <w:rsid w:val="00861F3D"/>
    <w:rsid w:val="00862207"/>
    <w:rsid w:val="00862366"/>
    <w:rsid w:val="008623E6"/>
    <w:rsid w:val="00862466"/>
    <w:rsid w:val="00862590"/>
    <w:rsid w:val="008625C3"/>
    <w:rsid w:val="008625EB"/>
    <w:rsid w:val="0086277B"/>
    <w:rsid w:val="0086286C"/>
    <w:rsid w:val="00862B24"/>
    <w:rsid w:val="00862F8D"/>
    <w:rsid w:val="00862FD5"/>
    <w:rsid w:val="00863010"/>
    <w:rsid w:val="00863193"/>
    <w:rsid w:val="008631AD"/>
    <w:rsid w:val="00863345"/>
    <w:rsid w:val="00863515"/>
    <w:rsid w:val="00863766"/>
    <w:rsid w:val="00863FAE"/>
    <w:rsid w:val="00864020"/>
    <w:rsid w:val="00864343"/>
    <w:rsid w:val="00864451"/>
    <w:rsid w:val="00864BBA"/>
    <w:rsid w:val="00864BD1"/>
    <w:rsid w:val="00864D09"/>
    <w:rsid w:val="008650F4"/>
    <w:rsid w:val="008655B0"/>
    <w:rsid w:val="008657C7"/>
    <w:rsid w:val="008659A2"/>
    <w:rsid w:val="008659FA"/>
    <w:rsid w:val="00865C56"/>
    <w:rsid w:val="00865C5E"/>
    <w:rsid w:val="0086624A"/>
    <w:rsid w:val="008664FA"/>
    <w:rsid w:val="00866816"/>
    <w:rsid w:val="0086689D"/>
    <w:rsid w:val="0086693A"/>
    <w:rsid w:val="0086699E"/>
    <w:rsid w:val="00866B69"/>
    <w:rsid w:val="00866C46"/>
    <w:rsid w:val="00866C5A"/>
    <w:rsid w:val="00866D41"/>
    <w:rsid w:val="00867011"/>
    <w:rsid w:val="00867107"/>
    <w:rsid w:val="00867899"/>
    <w:rsid w:val="0086789D"/>
    <w:rsid w:val="00867BCE"/>
    <w:rsid w:val="00867D43"/>
    <w:rsid w:val="008701C4"/>
    <w:rsid w:val="008704F1"/>
    <w:rsid w:val="008704F4"/>
    <w:rsid w:val="0087059B"/>
    <w:rsid w:val="00870658"/>
    <w:rsid w:val="00870AFE"/>
    <w:rsid w:val="00870DE9"/>
    <w:rsid w:val="00870F44"/>
    <w:rsid w:val="00871030"/>
    <w:rsid w:val="00871819"/>
    <w:rsid w:val="0087185D"/>
    <w:rsid w:val="00871869"/>
    <w:rsid w:val="00871AA5"/>
    <w:rsid w:val="00871E1E"/>
    <w:rsid w:val="008720FA"/>
    <w:rsid w:val="00872170"/>
    <w:rsid w:val="0087279E"/>
    <w:rsid w:val="00872C93"/>
    <w:rsid w:val="00872CC5"/>
    <w:rsid w:val="00872E4F"/>
    <w:rsid w:val="008730A5"/>
    <w:rsid w:val="008734D3"/>
    <w:rsid w:val="0087352A"/>
    <w:rsid w:val="00873679"/>
    <w:rsid w:val="0087396D"/>
    <w:rsid w:val="00873B50"/>
    <w:rsid w:val="00873E00"/>
    <w:rsid w:val="00873EE1"/>
    <w:rsid w:val="00873F48"/>
    <w:rsid w:val="008743CB"/>
    <w:rsid w:val="008745F4"/>
    <w:rsid w:val="008745F7"/>
    <w:rsid w:val="008746D5"/>
    <w:rsid w:val="00874717"/>
    <w:rsid w:val="008747F9"/>
    <w:rsid w:val="00874C6A"/>
    <w:rsid w:val="00874CEA"/>
    <w:rsid w:val="00874E9C"/>
    <w:rsid w:val="00874F78"/>
    <w:rsid w:val="00875003"/>
    <w:rsid w:val="00875140"/>
    <w:rsid w:val="00875304"/>
    <w:rsid w:val="00875431"/>
    <w:rsid w:val="00875573"/>
    <w:rsid w:val="00875826"/>
    <w:rsid w:val="00875973"/>
    <w:rsid w:val="00875C06"/>
    <w:rsid w:val="00875E1F"/>
    <w:rsid w:val="00875F16"/>
    <w:rsid w:val="00875FD1"/>
    <w:rsid w:val="00876104"/>
    <w:rsid w:val="00876148"/>
    <w:rsid w:val="008761E2"/>
    <w:rsid w:val="008763FF"/>
    <w:rsid w:val="0087660B"/>
    <w:rsid w:val="00876687"/>
    <w:rsid w:val="008766C2"/>
    <w:rsid w:val="008768C6"/>
    <w:rsid w:val="0087697A"/>
    <w:rsid w:val="00876A88"/>
    <w:rsid w:val="00876B84"/>
    <w:rsid w:val="00877162"/>
    <w:rsid w:val="008775AE"/>
    <w:rsid w:val="008776CE"/>
    <w:rsid w:val="008777FC"/>
    <w:rsid w:val="008778F5"/>
    <w:rsid w:val="0087797D"/>
    <w:rsid w:val="00877AC8"/>
    <w:rsid w:val="00877C48"/>
    <w:rsid w:val="0088001A"/>
    <w:rsid w:val="00880067"/>
    <w:rsid w:val="00880118"/>
    <w:rsid w:val="00880294"/>
    <w:rsid w:val="00880496"/>
    <w:rsid w:val="00880909"/>
    <w:rsid w:val="00880BEC"/>
    <w:rsid w:val="00880C70"/>
    <w:rsid w:val="008812E8"/>
    <w:rsid w:val="00881523"/>
    <w:rsid w:val="00881707"/>
    <w:rsid w:val="0088177C"/>
    <w:rsid w:val="008819D2"/>
    <w:rsid w:val="008819E1"/>
    <w:rsid w:val="00881A96"/>
    <w:rsid w:val="00881B6E"/>
    <w:rsid w:val="00881BD4"/>
    <w:rsid w:val="00882251"/>
    <w:rsid w:val="0088282F"/>
    <w:rsid w:val="008829F6"/>
    <w:rsid w:val="00882A47"/>
    <w:rsid w:val="00882CED"/>
    <w:rsid w:val="00882E2C"/>
    <w:rsid w:val="00882E7D"/>
    <w:rsid w:val="00882F91"/>
    <w:rsid w:val="00883192"/>
    <w:rsid w:val="008831F3"/>
    <w:rsid w:val="0088324E"/>
    <w:rsid w:val="008833D6"/>
    <w:rsid w:val="008833ED"/>
    <w:rsid w:val="008838C6"/>
    <w:rsid w:val="0088396D"/>
    <w:rsid w:val="00883A19"/>
    <w:rsid w:val="00883A5D"/>
    <w:rsid w:val="00883B45"/>
    <w:rsid w:val="00883BA0"/>
    <w:rsid w:val="0088411E"/>
    <w:rsid w:val="00884453"/>
    <w:rsid w:val="008845CD"/>
    <w:rsid w:val="0088468F"/>
    <w:rsid w:val="008848D5"/>
    <w:rsid w:val="00884BD6"/>
    <w:rsid w:val="00884C48"/>
    <w:rsid w:val="00884CF3"/>
    <w:rsid w:val="00884EB3"/>
    <w:rsid w:val="00884EC7"/>
    <w:rsid w:val="00885155"/>
    <w:rsid w:val="008851E3"/>
    <w:rsid w:val="0088526F"/>
    <w:rsid w:val="00885384"/>
    <w:rsid w:val="00885715"/>
    <w:rsid w:val="00885998"/>
    <w:rsid w:val="00885DEC"/>
    <w:rsid w:val="00885F6C"/>
    <w:rsid w:val="00885FC9"/>
    <w:rsid w:val="0088619A"/>
    <w:rsid w:val="008862A4"/>
    <w:rsid w:val="0088633F"/>
    <w:rsid w:val="00886843"/>
    <w:rsid w:val="00886BAD"/>
    <w:rsid w:val="00886E37"/>
    <w:rsid w:val="00886E6D"/>
    <w:rsid w:val="0088701E"/>
    <w:rsid w:val="008871F2"/>
    <w:rsid w:val="00887374"/>
    <w:rsid w:val="008876FA"/>
    <w:rsid w:val="008879E4"/>
    <w:rsid w:val="00887A55"/>
    <w:rsid w:val="00887ED1"/>
    <w:rsid w:val="008901BB"/>
    <w:rsid w:val="0089021A"/>
    <w:rsid w:val="00890287"/>
    <w:rsid w:val="0089076A"/>
    <w:rsid w:val="008909E2"/>
    <w:rsid w:val="00890B51"/>
    <w:rsid w:val="00890F5B"/>
    <w:rsid w:val="00891589"/>
    <w:rsid w:val="0089169A"/>
    <w:rsid w:val="0089173C"/>
    <w:rsid w:val="00891966"/>
    <w:rsid w:val="00891AAE"/>
    <w:rsid w:val="00891BA6"/>
    <w:rsid w:val="00891BD1"/>
    <w:rsid w:val="00891D5B"/>
    <w:rsid w:val="00891E0E"/>
    <w:rsid w:val="00891F15"/>
    <w:rsid w:val="00891F3C"/>
    <w:rsid w:val="008920EC"/>
    <w:rsid w:val="008921BB"/>
    <w:rsid w:val="00892246"/>
    <w:rsid w:val="00892434"/>
    <w:rsid w:val="0089289D"/>
    <w:rsid w:val="00892C26"/>
    <w:rsid w:val="00892CF9"/>
    <w:rsid w:val="008930EE"/>
    <w:rsid w:val="00893131"/>
    <w:rsid w:val="008933E3"/>
    <w:rsid w:val="008934BD"/>
    <w:rsid w:val="008935AE"/>
    <w:rsid w:val="00893770"/>
    <w:rsid w:val="008937D3"/>
    <w:rsid w:val="00893B1B"/>
    <w:rsid w:val="00893E36"/>
    <w:rsid w:val="00893F5A"/>
    <w:rsid w:val="008940EF"/>
    <w:rsid w:val="008941CC"/>
    <w:rsid w:val="00894348"/>
    <w:rsid w:val="00894427"/>
    <w:rsid w:val="0089468E"/>
    <w:rsid w:val="008947B7"/>
    <w:rsid w:val="00894CF8"/>
    <w:rsid w:val="00894E59"/>
    <w:rsid w:val="00895712"/>
    <w:rsid w:val="00895762"/>
    <w:rsid w:val="008957E5"/>
    <w:rsid w:val="00895820"/>
    <w:rsid w:val="008958A1"/>
    <w:rsid w:val="00895C3E"/>
    <w:rsid w:val="00895C70"/>
    <w:rsid w:val="00895EEE"/>
    <w:rsid w:val="00895FDE"/>
    <w:rsid w:val="00896634"/>
    <w:rsid w:val="00896977"/>
    <w:rsid w:val="00896AE3"/>
    <w:rsid w:val="00896D8B"/>
    <w:rsid w:val="00896EAA"/>
    <w:rsid w:val="0089759C"/>
    <w:rsid w:val="00897B1C"/>
    <w:rsid w:val="00897B86"/>
    <w:rsid w:val="00897BD1"/>
    <w:rsid w:val="00897BD5"/>
    <w:rsid w:val="00897BF6"/>
    <w:rsid w:val="00897FC6"/>
    <w:rsid w:val="008A0041"/>
    <w:rsid w:val="008A004F"/>
    <w:rsid w:val="008A00C3"/>
    <w:rsid w:val="008A0103"/>
    <w:rsid w:val="008A0293"/>
    <w:rsid w:val="008A06D3"/>
    <w:rsid w:val="008A07BA"/>
    <w:rsid w:val="008A09E6"/>
    <w:rsid w:val="008A0A95"/>
    <w:rsid w:val="008A0F9B"/>
    <w:rsid w:val="008A1276"/>
    <w:rsid w:val="008A12C0"/>
    <w:rsid w:val="008A1647"/>
    <w:rsid w:val="008A1A1E"/>
    <w:rsid w:val="008A2023"/>
    <w:rsid w:val="008A2087"/>
    <w:rsid w:val="008A212D"/>
    <w:rsid w:val="008A21D2"/>
    <w:rsid w:val="008A28F5"/>
    <w:rsid w:val="008A29E6"/>
    <w:rsid w:val="008A2C13"/>
    <w:rsid w:val="008A2C9C"/>
    <w:rsid w:val="008A2CBA"/>
    <w:rsid w:val="008A2E51"/>
    <w:rsid w:val="008A3130"/>
    <w:rsid w:val="008A3167"/>
    <w:rsid w:val="008A3389"/>
    <w:rsid w:val="008A351C"/>
    <w:rsid w:val="008A3561"/>
    <w:rsid w:val="008A360E"/>
    <w:rsid w:val="008A36A3"/>
    <w:rsid w:val="008A36F8"/>
    <w:rsid w:val="008A3ADF"/>
    <w:rsid w:val="008A3BD2"/>
    <w:rsid w:val="008A3C93"/>
    <w:rsid w:val="008A3FE4"/>
    <w:rsid w:val="008A4062"/>
    <w:rsid w:val="008A420E"/>
    <w:rsid w:val="008A427C"/>
    <w:rsid w:val="008A43C3"/>
    <w:rsid w:val="008A4740"/>
    <w:rsid w:val="008A499B"/>
    <w:rsid w:val="008A4C8A"/>
    <w:rsid w:val="008A4EA4"/>
    <w:rsid w:val="008A4FAD"/>
    <w:rsid w:val="008A57A9"/>
    <w:rsid w:val="008A5A15"/>
    <w:rsid w:val="008A5A3B"/>
    <w:rsid w:val="008A5B9C"/>
    <w:rsid w:val="008A5D97"/>
    <w:rsid w:val="008A5DD0"/>
    <w:rsid w:val="008A6163"/>
    <w:rsid w:val="008A6A8D"/>
    <w:rsid w:val="008A6AC3"/>
    <w:rsid w:val="008A6E38"/>
    <w:rsid w:val="008A6EF4"/>
    <w:rsid w:val="008A7282"/>
    <w:rsid w:val="008A7291"/>
    <w:rsid w:val="008A75D8"/>
    <w:rsid w:val="008A7682"/>
    <w:rsid w:val="008A76F0"/>
    <w:rsid w:val="008A76F7"/>
    <w:rsid w:val="008A7707"/>
    <w:rsid w:val="008A776D"/>
    <w:rsid w:val="008A77C8"/>
    <w:rsid w:val="008A78F5"/>
    <w:rsid w:val="008A79BE"/>
    <w:rsid w:val="008A79D5"/>
    <w:rsid w:val="008A7C7D"/>
    <w:rsid w:val="008B022C"/>
    <w:rsid w:val="008B0461"/>
    <w:rsid w:val="008B05C1"/>
    <w:rsid w:val="008B06AB"/>
    <w:rsid w:val="008B0956"/>
    <w:rsid w:val="008B09DC"/>
    <w:rsid w:val="008B0A88"/>
    <w:rsid w:val="008B0BDF"/>
    <w:rsid w:val="008B0DCE"/>
    <w:rsid w:val="008B0E00"/>
    <w:rsid w:val="008B0E2B"/>
    <w:rsid w:val="008B0FC4"/>
    <w:rsid w:val="008B105D"/>
    <w:rsid w:val="008B113F"/>
    <w:rsid w:val="008B117F"/>
    <w:rsid w:val="008B12EF"/>
    <w:rsid w:val="008B1396"/>
    <w:rsid w:val="008B1501"/>
    <w:rsid w:val="008B16B3"/>
    <w:rsid w:val="008B16CC"/>
    <w:rsid w:val="008B1D8C"/>
    <w:rsid w:val="008B1F1A"/>
    <w:rsid w:val="008B1FBA"/>
    <w:rsid w:val="008B2278"/>
    <w:rsid w:val="008B2662"/>
    <w:rsid w:val="008B2719"/>
    <w:rsid w:val="008B2781"/>
    <w:rsid w:val="008B2801"/>
    <w:rsid w:val="008B28B7"/>
    <w:rsid w:val="008B2A34"/>
    <w:rsid w:val="008B2A90"/>
    <w:rsid w:val="008B2C6F"/>
    <w:rsid w:val="008B2F69"/>
    <w:rsid w:val="008B300F"/>
    <w:rsid w:val="008B3297"/>
    <w:rsid w:val="008B3298"/>
    <w:rsid w:val="008B375E"/>
    <w:rsid w:val="008B39BF"/>
    <w:rsid w:val="008B39C1"/>
    <w:rsid w:val="008B3A57"/>
    <w:rsid w:val="008B3C4D"/>
    <w:rsid w:val="008B3D20"/>
    <w:rsid w:val="008B40FB"/>
    <w:rsid w:val="008B4160"/>
    <w:rsid w:val="008B421E"/>
    <w:rsid w:val="008B438C"/>
    <w:rsid w:val="008B44A4"/>
    <w:rsid w:val="008B4991"/>
    <w:rsid w:val="008B4A3F"/>
    <w:rsid w:val="008B4DFE"/>
    <w:rsid w:val="008B51E2"/>
    <w:rsid w:val="008B5225"/>
    <w:rsid w:val="008B53DA"/>
    <w:rsid w:val="008B5482"/>
    <w:rsid w:val="008B58A5"/>
    <w:rsid w:val="008B59BC"/>
    <w:rsid w:val="008B5DC0"/>
    <w:rsid w:val="008B5F10"/>
    <w:rsid w:val="008B62BC"/>
    <w:rsid w:val="008B639D"/>
    <w:rsid w:val="008B67B3"/>
    <w:rsid w:val="008B6882"/>
    <w:rsid w:val="008B69CA"/>
    <w:rsid w:val="008B6A47"/>
    <w:rsid w:val="008B6C41"/>
    <w:rsid w:val="008B6CBD"/>
    <w:rsid w:val="008B6CC4"/>
    <w:rsid w:val="008B6D63"/>
    <w:rsid w:val="008B6E19"/>
    <w:rsid w:val="008B7073"/>
    <w:rsid w:val="008B714B"/>
    <w:rsid w:val="008B7225"/>
    <w:rsid w:val="008B72FA"/>
    <w:rsid w:val="008B76E3"/>
    <w:rsid w:val="008B77B8"/>
    <w:rsid w:val="008B7A77"/>
    <w:rsid w:val="008B7B37"/>
    <w:rsid w:val="008B7DF6"/>
    <w:rsid w:val="008B7F23"/>
    <w:rsid w:val="008B7F60"/>
    <w:rsid w:val="008C0442"/>
    <w:rsid w:val="008C0816"/>
    <w:rsid w:val="008C0B26"/>
    <w:rsid w:val="008C1873"/>
    <w:rsid w:val="008C187F"/>
    <w:rsid w:val="008C1CF1"/>
    <w:rsid w:val="008C1DA7"/>
    <w:rsid w:val="008C217F"/>
    <w:rsid w:val="008C29F6"/>
    <w:rsid w:val="008C2B67"/>
    <w:rsid w:val="008C2C2E"/>
    <w:rsid w:val="008C2CCA"/>
    <w:rsid w:val="008C2D53"/>
    <w:rsid w:val="008C2E61"/>
    <w:rsid w:val="008C333A"/>
    <w:rsid w:val="008C38BF"/>
    <w:rsid w:val="008C39BB"/>
    <w:rsid w:val="008C3B50"/>
    <w:rsid w:val="008C3CF9"/>
    <w:rsid w:val="008C3DEC"/>
    <w:rsid w:val="008C3E58"/>
    <w:rsid w:val="008C40A9"/>
    <w:rsid w:val="008C4163"/>
    <w:rsid w:val="008C4345"/>
    <w:rsid w:val="008C4558"/>
    <w:rsid w:val="008C4703"/>
    <w:rsid w:val="008C4777"/>
    <w:rsid w:val="008C4B53"/>
    <w:rsid w:val="008C4D9A"/>
    <w:rsid w:val="008C532E"/>
    <w:rsid w:val="008C5598"/>
    <w:rsid w:val="008C5713"/>
    <w:rsid w:val="008C578C"/>
    <w:rsid w:val="008C58AE"/>
    <w:rsid w:val="008C5CDC"/>
    <w:rsid w:val="008C63E1"/>
    <w:rsid w:val="008C63F2"/>
    <w:rsid w:val="008C642B"/>
    <w:rsid w:val="008C67A5"/>
    <w:rsid w:val="008C68F3"/>
    <w:rsid w:val="008C69CE"/>
    <w:rsid w:val="008C6E03"/>
    <w:rsid w:val="008C6F3A"/>
    <w:rsid w:val="008C71F5"/>
    <w:rsid w:val="008C73D8"/>
    <w:rsid w:val="008C7401"/>
    <w:rsid w:val="008C7430"/>
    <w:rsid w:val="008C76D4"/>
    <w:rsid w:val="008C76F2"/>
    <w:rsid w:val="008C7804"/>
    <w:rsid w:val="008C7A7C"/>
    <w:rsid w:val="008C7B11"/>
    <w:rsid w:val="008C7D7D"/>
    <w:rsid w:val="008C7E47"/>
    <w:rsid w:val="008C7EC6"/>
    <w:rsid w:val="008C7EF7"/>
    <w:rsid w:val="008C7EF9"/>
    <w:rsid w:val="008D008C"/>
    <w:rsid w:val="008D01A9"/>
    <w:rsid w:val="008D0663"/>
    <w:rsid w:val="008D0736"/>
    <w:rsid w:val="008D0927"/>
    <w:rsid w:val="008D09BB"/>
    <w:rsid w:val="008D0AA1"/>
    <w:rsid w:val="008D0AB5"/>
    <w:rsid w:val="008D0D10"/>
    <w:rsid w:val="008D0D94"/>
    <w:rsid w:val="008D0EEA"/>
    <w:rsid w:val="008D1448"/>
    <w:rsid w:val="008D163C"/>
    <w:rsid w:val="008D16AB"/>
    <w:rsid w:val="008D181E"/>
    <w:rsid w:val="008D18DD"/>
    <w:rsid w:val="008D1A34"/>
    <w:rsid w:val="008D1F24"/>
    <w:rsid w:val="008D1FAC"/>
    <w:rsid w:val="008D23A7"/>
    <w:rsid w:val="008D253D"/>
    <w:rsid w:val="008D254B"/>
    <w:rsid w:val="008D2696"/>
    <w:rsid w:val="008D283A"/>
    <w:rsid w:val="008D2BAC"/>
    <w:rsid w:val="008D2C52"/>
    <w:rsid w:val="008D3327"/>
    <w:rsid w:val="008D3344"/>
    <w:rsid w:val="008D343E"/>
    <w:rsid w:val="008D3574"/>
    <w:rsid w:val="008D41A7"/>
    <w:rsid w:val="008D449F"/>
    <w:rsid w:val="008D4587"/>
    <w:rsid w:val="008D47A1"/>
    <w:rsid w:val="008D47DB"/>
    <w:rsid w:val="008D4863"/>
    <w:rsid w:val="008D4A03"/>
    <w:rsid w:val="008D4A7B"/>
    <w:rsid w:val="008D4B98"/>
    <w:rsid w:val="008D503A"/>
    <w:rsid w:val="008D5044"/>
    <w:rsid w:val="008D542B"/>
    <w:rsid w:val="008D5ABB"/>
    <w:rsid w:val="008D5BE6"/>
    <w:rsid w:val="008D5DF1"/>
    <w:rsid w:val="008D644E"/>
    <w:rsid w:val="008D6831"/>
    <w:rsid w:val="008D6861"/>
    <w:rsid w:val="008D6AF8"/>
    <w:rsid w:val="008D6C9F"/>
    <w:rsid w:val="008D6EC3"/>
    <w:rsid w:val="008D6F42"/>
    <w:rsid w:val="008D6FB0"/>
    <w:rsid w:val="008D7A21"/>
    <w:rsid w:val="008D7AD1"/>
    <w:rsid w:val="008D7B07"/>
    <w:rsid w:val="008D7BB1"/>
    <w:rsid w:val="008D7C69"/>
    <w:rsid w:val="008D7D84"/>
    <w:rsid w:val="008D7F12"/>
    <w:rsid w:val="008E017A"/>
    <w:rsid w:val="008E04AD"/>
    <w:rsid w:val="008E057C"/>
    <w:rsid w:val="008E07CC"/>
    <w:rsid w:val="008E0A15"/>
    <w:rsid w:val="008E0B25"/>
    <w:rsid w:val="008E151E"/>
    <w:rsid w:val="008E16F1"/>
    <w:rsid w:val="008E16FC"/>
    <w:rsid w:val="008E17CF"/>
    <w:rsid w:val="008E1852"/>
    <w:rsid w:val="008E1865"/>
    <w:rsid w:val="008E19E0"/>
    <w:rsid w:val="008E1A7C"/>
    <w:rsid w:val="008E1ED5"/>
    <w:rsid w:val="008E2548"/>
    <w:rsid w:val="008E2553"/>
    <w:rsid w:val="008E2852"/>
    <w:rsid w:val="008E2BDB"/>
    <w:rsid w:val="008E3111"/>
    <w:rsid w:val="008E3464"/>
    <w:rsid w:val="008E36A9"/>
    <w:rsid w:val="008E38E0"/>
    <w:rsid w:val="008E3A41"/>
    <w:rsid w:val="008E3BD8"/>
    <w:rsid w:val="008E3D31"/>
    <w:rsid w:val="008E40D8"/>
    <w:rsid w:val="008E4230"/>
    <w:rsid w:val="008E4239"/>
    <w:rsid w:val="008E453B"/>
    <w:rsid w:val="008E460A"/>
    <w:rsid w:val="008E46B8"/>
    <w:rsid w:val="008E46DB"/>
    <w:rsid w:val="008E4741"/>
    <w:rsid w:val="008E4A0E"/>
    <w:rsid w:val="008E4ACE"/>
    <w:rsid w:val="008E5141"/>
    <w:rsid w:val="008E5767"/>
    <w:rsid w:val="008E5815"/>
    <w:rsid w:val="008E589E"/>
    <w:rsid w:val="008E5955"/>
    <w:rsid w:val="008E5A0F"/>
    <w:rsid w:val="008E5C2C"/>
    <w:rsid w:val="008E5C4C"/>
    <w:rsid w:val="008E60AA"/>
    <w:rsid w:val="008E60B9"/>
    <w:rsid w:val="008E60BF"/>
    <w:rsid w:val="008E6241"/>
    <w:rsid w:val="008E6277"/>
    <w:rsid w:val="008E640D"/>
    <w:rsid w:val="008E644F"/>
    <w:rsid w:val="008E648D"/>
    <w:rsid w:val="008E68C4"/>
    <w:rsid w:val="008E6B4D"/>
    <w:rsid w:val="008E6DB6"/>
    <w:rsid w:val="008E6E73"/>
    <w:rsid w:val="008E6E75"/>
    <w:rsid w:val="008E7061"/>
    <w:rsid w:val="008E70F9"/>
    <w:rsid w:val="008E740D"/>
    <w:rsid w:val="008E752C"/>
    <w:rsid w:val="008E75D1"/>
    <w:rsid w:val="008E77C6"/>
    <w:rsid w:val="008E77E3"/>
    <w:rsid w:val="008E786B"/>
    <w:rsid w:val="008E7990"/>
    <w:rsid w:val="008E79CA"/>
    <w:rsid w:val="008E7CDE"/>
    <w:rsid w:val="008E7D13"/>
    <w:rsid w:val="008E7DAB"/>
    <w:rsid w:val="008E7DB3"/>
    <w:rsid w:val="008F00AF"/>
    <w:rsid w:val="008F040D"/>
    <w:rsid w:val="008F0421"/>
    <w:rsid w:val="008F0747"/>
    <w:rsid w:val="008F095D"/>
    <w:rsid w:val="008F0A18"/>
    <w:rsid w:val="008F0E1F"/>
    <w:rsid w:val="008F0E3B"/>
    <w:rsid w:val="008F12B4"/>
    <w:rsid w:val="008F13C1"/>
    <w:rsid w:val="008F15DF"/>
    <w:rsid w:val="008F173D"/>
    <w:rsid w:val="008F1758"/>
    <w:rsid w:val="008F1968"/>
    <w:rsid w:val="008F1980"/>
    <w:rsid w:val="008F1B61"/>
    <w:rsid w:val="008F1C7F"/>
    <w:rsid w:val="008F1EDE"/>
    <w:rsid w:val="008F2105"/>
    <w:rsid w:val="008F2151"/>
    <w:rsid w:val="008F26C1"/>
    <w:rsid w:val="008F2A92"/>
    <w:rsid w:val="008F3269"/>
    <w:rsid w:val="008F332B"/>
    <w:rsid w:val="008F333E"/>
    <w:rsid w:val="008F36A2"/>
    <w:rsid w:val="008F3780"/>
    <w:rsid w:val="008F3B1E"/>
    <w:rsid w:val="008F3C04"/>
    <w:rsid w:val="008F3CBE"/>
    <w:rsid w:val="008F3D3E"/>
    <w:rsid w:val="008F4070"/>
    <w:rsid w:val="008F4171"/>
    <w:rsid w:val="008F4F63"/>
    <w:rsid w:val="008F503B"/>
    <w:rsid w:val="008F512E"/>
    <w:rsid w:val="008F5329"/>
    <w:rsid w:val="008F5394"/>
    <w:rsid w:val="008F549B"/>
    <w:rsid w:val="008F5578"/>
    <w:rsid w:val="008F573C"/>
    <w:rsid w:val="008F5882"/>
    <w:rsid w:val="008F5B7D"/>
    <w:rsid w:val="008F5D64"/>
    <w:rsid w:val="008F5E50"/>
    <w:rsid w:val="008F5EC9"/>
    <w:rsid w:val="008F643D"/>
    <w:rsid w:val="008F660B"/>
    <w:rsid w:val="008F6748"/>
    <w:rsid w:val="008F67AE"/>
    <w:rsid w:val="008F6858"/>
    <w:rsid w:val="008F6912"/>
    <w:rsid w:val="008F6C1D"/>
    <w:rsid w:val="008F6DEA"/>
    <w:rsid w:val="008F6EC5"/>
    <w:rsid w:val="008F70D6"/>
    <w:rsid w:val="008F7405"/>
    <w:rsid w:val="008F7490"/>
    <w:rsid w:val="008F7900"/>
    <w:rsid w:val="008F79EC"/>
    <w:rsid w:val="008F7A51"/>
    <w:rsid w:val="00900351"/>
    <w:rsid w:val="009004F0"/>
    <w:rsid w:val="0090069B"/>
    <w:rsid w:val="009006CA"/>
    <w:rsid w:val="00900836"/>
    <w:rsid w:val="00900953"/>
    <w:rsid w:val="009009C5"/>
    <w:rsid w:val="009009D8"/>
    <w:rsid w:val="009009F6"/>
    <w:rsid w:val="00900E58"/>
    <w:rsid w:val="00900FD4"/>
    <w:rsid w:val="009010DE"/>
    <w:rsid w:val="0090117F"/>
    <w:rsid w:val="009011F1"/>
    <w:rsid w:val="0090149A"/>
    <w:rsid w:val="009017D0"/>
    <w:rsid w:val="0090182C"/>
    <w:rsid w:val="009018A2"/>
    <w:rsid w:val="00901919"/>
    <w:rsid w:val="0090193F"/>
    <w:rsid w:val="0090199A"/>
    <w:rsid w:val="00901C5C"/>
    <w:rsid w:val="00901C9C"/>
    <w:rsid w:val="00901F6E"/>
    <w:rsid w:val="0090215F"/>
    <w:rsid w:val="009023A9"/>
    <w:rsid w:val="00902442"/>
    <w:rsid w:val="009026B9"/>
    <w:rsid w:val="00902BDA"/>
    <w:rsid w:val="00902CF4"/>
    <w:rsid w:val="00902D02"/>
    <w:rsid w:val="00902EDF"/>
    <w:rsid w:val="0090303D"/>
    <w:rsid w:val="00903190"/>
    <w:rsid w:val="0090322D"/>
    <w:rsid w:val="00903467"/>
    <w:rsid w:val="0090352E"/>
    <w:rsid w:val="00903817"/>
    <w:rsid w:val="00903D05"/>
    <w:rsid w:val="00903E6C"/>
    <w:rsid w:val="009040BE"/>
    <w:rsid w:val="009043A1"/>
    <w:rsid w:val="0090448F"/>
    <w:rsid w:val="009044EF"/>
    <w:rsid w:val="00904A95"/>
    <w:rsid w:val="00904BE9"/>
    <w:rsid w:val="00905255"/>
    <w:rsid w:val="00905364"/>
    <w:rsid w:val="009053BE"/>
    <w:rsid w:val="009055D8"/>
    <w:rsid w:val="0090567C"/>
    <w:rsid w:val="00905921"/>
    <w:rsid w:val="0090599C"/>
    <w:rsid w:val="00905DF9"/>
    <w:rsid w:val="00905F69"/>
    <w:rsid w:val="009068A7"/>
    <w:rsid w:val="009068B3"/>
    <w:rsid w:val="00906C17"/>
    <w:rsid w:val="00907162"/>
    <w:rsid w:val="00907180"/>
    <w:rsid w:val="009075CE"/>
    <w:rsid w:val="009076B6"/>
    <w:rsid w:val="009076ED"/>
    <w:rsid w:val="0090798A"/>
    <w:rsid w:val="0090798B"/>
    <w:rsid w:val="00907AF7"/>
    <w:rsid w:val="00907C87"/>
    <w:rsid w:val="00907D32"/>
    <w:rsid w:val="00907E4D"/>
    <w:rsid w:val="0091022E"/>
    <w:rsid w:val="00910512"/>
    <w:rsid w:val="0091079A"/>
    <w:rsid w:val="00910CD7"/>
    <w:rsid w:val="00910F94"/>
    <w:rsid w:val="00911690"/>
    <w:rsid w:val="009116B9"/>
    <w:rsid w:val="00911C7A"/>
    <w:rsid w:val="00911CD6"/>
    <w:rsid w:val="00911D37"/>
    <w:rsid w:val="00911DC1"/>
    <w:rsid w:val="00911EF6"/>
    <w:rsid w:val="0091216B"/>
    <w:rsid w:val="00912395"/>
    <w:rsid w:val="009124DA"/>
    <w:rsid w:val="00912576"/>
    <w:rsid w:val="00912831"/>
    <w:rsid w:val="009128A4"/>
    <w:rsid w:val="00912915"/>
    <w:rsid w:val="0091295D"/>
    <w:rsid w:val="00912F0F"/>
    <w:rsid w:val="00912FEC"/>
    <w:rsid w:val="00912FF8"/>
    <w:rsid w:val="00913324"/>
    <w:rsid w:val="00913331"/>
    <w:rsid w:val="00913415"/>
    <w:rsid w:val="0091353D"/>
    <w:rsid w:val="0091361F"/>
    <w:rsid w:val="0091362F"/>
    <w:rsid w:val="009136F1"/>
    <w:rsid w:val="00913AEB"/>
    <w:rsid w:val="009141C7"/>
    <w:rsid w:val="00914261"/>
    <w:rsid w:val="00914271"/>
    <w:rsid w:val="00914445"/>
    <w:rsid w:val="00914519"/>
    <w:rsid w:val="009145B7"/>
    <w:rsid w:val="0091468C"/>
    <w:rsid w:val="009148BF"/>
    <w:rsid w:val="0091491F"/>
    <w:rsid w:val="009149DD"/>
    <w:rsid w:val="00914BE2"/>
    <w:rsid w:val="00914D3C"/>
    <w:rsid w:val="00914DAE"/>
    <w:rsid w:val="00914EA4"/>
    <w:rsid w:val="00914EB0"/>
    <w:rsid w:val="00915625"/>
    <w:rsid w:val="00915B28"/>
    <w:rsid w:val="00915D3C"/>
    <w:rsid w:val="00915FF1"/>
    <w:rsid w:val="00916636"/>
    <w:rsid w:val="009168FD"/>
    <w:rsid w:val="00916F72"/>
    <w:rsid w:val="0091706A"/>
    <w:rsid w:val="009173A3"/>
    <w:rsid w:val="009173EA"/>
    <w:rsid w:val="0091775D"/>
    <w:rsid w:val="009178DB"/>
    <w:rsid w:val="00917A07"/>
    <w:rsid w:val="00917A33"/>
    <w:rsid w:val="00917E09"/>
    <w:rsid w:val="00917E4B"/>
    <w:rsid w:val="00920446"/>
    <w:rsid w:val="009207C9"/>
    <w:rsid w:val="00920847"/>
    <w:rsid w:val="00920CAD"/>
    <w:rsid w:val="00920DBF"/>
    <w:rsid w:val="00920E28"/>
    <w:rsid w:val="00920ECC"/>
    <w:rsid w:val="009212A0"/>
    <w:rsid w:val="009213A6"/>
    <w:rsid w:val="00921490"/>
    <w:rsid w:val="009216A9"/>
    <w:rsid w:val="00921897"/>
    <w:rsid w:val="009218A5"/>
    <w:rsid w:val="00921C99"/>
    <w:rsid w:val="00921E08"/>
    <w:rsid w:val="00921EA4"/>
    <w:rsid w:val="00921ECD"/>
    <w:rsid w:val="0092214F"/>
    <w:rsid w:val="009226A6"/>
    <w:rsid w:val="00922A92"/>
    <w:rsid w:val="00922AEC"/>
    <w:rsid w:val="00922C00"/>
    <w:rsid w:val="00922D0E"/>
    <w:rsid w:val="00922D6C"/>
    <w:rsid w:val="00922EE7"/>
    <w:rsid w:val="009230D5"/>
    <w:rsid w:val="0092357B"/>
    <w:rsid w:val="00923871"/>
    <w:rsid w:val="009238AC"/>
    <w:rsid w:val="009238E7"/>
    <w:rsid w:val="00923CFD"/>
    <w:rsid w:val="00923E62"/>
    <w:rsid w:val="00923FA3"/>
    <w:rsid w:val="009241BC"/>
    <w:rsid w:val="009241EE"/>
    <w:rsid w:val="0092452E"/>
    <w:rsid w:val="00924562"/>
    <w:rsid w:val="0092471F"/>
    <w:rsid w:val="00924768"/>
    <w:rsid w:val="009249F4"/>
    <w:rsid w:val="00924C72"/>
    <w:rsid w:val="00924FA2"/>
    <w:rsid w:val="00924FE6"/>
    <w:rsid w:val="00925041"/>
    <w:rsid w:val="00925137"/>
    <w:rsid w:val="009253BC"/>
    <w:rsid w:val="0092541D"/>
    <w:rsid w:val="00926713"/>
    <w:rsid w:val="00926929"/>
    <w:rsid w:val="00926CA1"/>
    <w:rsid w:val="009273C0"/>
    <w:rsid w:val="00927578"/>
    <w:rsid w:val="009275CA"/>
    <w:rsid w:val="009277DA"/>
    <w:rsid w:val="0092782E"/>
    <w:rsid w:val="00927A55"/>
    <w:rsid w:val="00927BB7"/>
    <w:rsid w:val="00927DEF"/>
    <w:rsid w:val="00927DFF"/>
    <w:rsid w:val="009304AD"/>
    <w:rsid w:val="009307F1"/>
    <w:rsid w:val="0093094E"/>
    <w:rsid w:val="009309AA"/>
    <w:rsid w:val="00930AC6"/>
    <w:rsid w:val="00930F88"/>
    <w:rsid w:val="0093120B"/>
    <w:rsid w:val="009312D0"/>
    <w:rsid w:val="009314DE"/>
    <w:rsid w:val="00931716"/>
    <w:rsid w:val="00931801"/>
    <w:rsid w:val="009319C0"/>
    <w:rsid w:val="00931C29"/>
    <w:rsid w:val="00931CA2"/>
    <w:rsid w:val="00931D7E"/>
    <w:rsid w:val="00931EFD"/>
    <w:rsid w:val="00932111"/>
    <w:rsid w:val="009321F3"/>
    <w:rsid w:val="009322D8"/>
    <w:rsid w:val="00932355"/>
    <w:rsid w:val="00932370"/>
    <w:rsid w:val="00932790"/>
    <w:rsid w:val="00932AFA"/>
    <w:rsid w:val="00932B19"/>
    <w:rsid w:val="00932CE1"/>
    <w:rsid w:val="00933033"/>
    <w:rsid w:val="00933034"/>
    <w:rsid w:val="009331BC"/>
    <w:rsid w:val="00933229"/>
    <w:rsid w:val="009337D6"/>
    <w:rsid w:val="0093399B"/>
    <w:rsid w:val="009339DF"/>
    <w:rsid w:val="00933A7D"/>
    <w:rsid w:val="00933A9D"/>
    <w:rsid w:val="00933BE4"/>
    <w:rsid w:val="00933C04"/>
    <w:rsid w:val="00933CEA"/>
    <w:rsid w:val="00933EF2"/>
    <w:rsid w:val="00933EFD"/>
    <w:rsid w:val="00934123"/>
    <w:rsid w:val="00934224"/>
    <w:rsid w:val="00934422"/>
    <w:rsid w:val="00934424"/>
    <w:rsid w:val="009344F4"/>
    <w:rsid w:val="0093456E"/>
    <w:rsid w:val="00934871"/>
    <w:rsid w:val="00934887"/>
    <w:rsid w:val="0093489A"/>
    <w:rsid w:val="00934A2D"/>
    <w:rsid w:val="00934BE8"/>
    <w:rsid w:val="00934DA0"/>
    <w:rsid w:val="00934DC3"/>
    <w:rsid w:val="0093509B"/>
    <w:rsid w:val="0093522E"/>
    <w:rsid w:val="00935357"/>
    <w:rsid w:val="00935464"/>
    <w:rsid w:val="009356C5"/>
    <w:rsid w:val="00935845"/>
    <w:rsid w:val="00935E10"/>
    <w:rsid w:val="00935E24"/>
    <w:rsid w:val="00936408"/>
    <w:rsid w:val="00936478"/>
    <w:rsid w:val="00936852"/>
    <w:rsid w:val="0093685E"/>
    <w:rsid w:val="00936979"/>
    <w:rsid w:val="00936AB1"/>
    <w:rsid w:val="00936BFC"/>
    <w:rsid w:val="00936C34"/>
    <w:rsid w:val="00936DDA"/>
    <w:rsid w:val="009372DC"/>
    <w:rsid w:val="00937393"/>
    <w:rsid w:val="009376F0"/>
    <w:rsid w:val="00937884"/>
    <w:rsid w:val="00937AA6"/>
    <w:rsid w:val="00937D0B"/>
    <w:rsid w:val="00937D62"/>
    <w:rsid w:val="00937DD9"/>
    <w:rsid w:val="00940033"/>
    <w:rsid w:val="00940468"/>
    <w:rsid w:val="00940546"/>
    <w:rsid w:val="00940923"/>
    <w:rsid w:val="00940AD6"/>
    <w:rsid w:val="00940DFE"/>
    <w:rsid w:val="00940EC9"/>
    <w:rsid w:val="00940F72"/>
    <w:rsid w:val="0094104F"/>
    <w:rsid w:val="009411CA"/>
    <w:rsid w:val="009412E2"/>
    <w:rsid w:val="009413E6"/>
    <w:rsid w:val="00941D10"/>
    <w:rsid w:val="00941DA2"/>
    <w:rsid w:val="00941EA2"/>
    <w:rsid w:val="00942071"/>
    <w:rsid w:val="009420D4"/>
    <w:rsid w:val="00942158"/>
    <w:rsid w:val="00942384"/>
    <w:rsid w:val="00942444"/>
    <w:rsid w:val="00942471"/>
    <w:rsid w:val="009425F5"/>
    <w:rsid w:val="00942846"/>
    <w:rsid w:val="00942A23"/>
    <w:rsid w:val="00942C51"/>
    <w:rsid w:val="0094307C"/>
    <w:rsid w:val="00943098"/>
    <w:rsid w:val="00943192"/>
    <w:rsid w:val="009438AD"/>
    <w:rsid w:val="00943A11"/>
    <w:rsid w:val="00943A49"/>
    <w:rsid w:val="00943B90"/>
    <w:rsid w:val="00943CF6"/>
    <w:rsid w:val="00943D21"/>
    <w:rsid w:val="00943E32"/>
    <w:rsid w:val="00944110"/>
    <w:rsid w:val="00944199"/>
    <w:rsid w:val="009443E6"/>
    <w:rsid w:val="0094447C"/>
    <w:rsid w:val="0094450C"/>
    <w:rsid w:val="009446D2"/>
    <w:rsid w:val="00944A75"/>
    <w:rsid w:val="00944C67"/>
    <w:rsid w:val="00944D0E"/>
    <w:rsid w:val="0094507D"/>
    <w:rsid w:val="00945344"/>
    <w:rsid w:val="00945403"/>
    <w:rsid w:val="00945585"/>
    <w:rsid w:val="00945789"/>
    <w:rsid w:val="009458D6"/>
    <w:rsid w:val="00945A85"/>
    <w:rsid w:val="009460D7"/>
    <w:rsid w:val="0094631B"/>
    <w:rsid w:val="00946375"/>
    <w:rsid w:val="009463BE"/>
    <w:rsid w:val="009465A1"/>
    <w:rsid w:val="0094671C"/>
    <w:rsid w:val="0094675F"/>
    <w:rsid w:val="009467EA"/>
    <w:rsid w:val="00946BE1"/>
    <w:rsid w:val="00946F85"/>
    <w:rsid w:val="00947189"/>
    <w:rsid w:val="009471A7"/>
    <w:rsid w:val="009471DB"/>
    <w:rsid w:val="00947258"/>
    <w:rsid w:val="00947324"/>
    <w:rsid w:val="00947559"/>
    <w:rsid w:val="00947785"/>
    <w:rsid w:val="00947867"/>
    <w:rsid w:val="009478EE"/>
    <w:rsid w:val="009479D1"/>
    <w:rsid w:val="00947A8E"/>
    <w:rsid w:val="00947D80"/>
    <w:rsid w:val="00947F7D"/>
    <w:rsid w:val="00950154"/>
    <w:rsid w:val="009504F5"/>
    <w:rsid w:val="0095072A"/>
    <w:rsid w:val="00950B0C"/>
    <w:rsid w:val="00950C01"/>
    <w:rsid w:val="00950ECA"/>
    <w:rsid w:val="00950EF3"/>
    <w:rsid w:val="00951125"/>
    <w:rsid w:val="00951452"/>
    <w:rsid w:val="0095157F"/>
    <w:rsid w:val="00951DDE"/>
    <w:rsid w:val="00951E31"/>
    <w:rsid w:val="00951F30"/>
    <w:rsid w:val="0095217B"/>
    <w:rsid w:val="009522CE"/>
    <w:rsid w:val="0095242C"/>
    <w:rsid w:val="00952695"/>
    <w:rsid w:val="00952939"/>
    <w:rsid w:val="00952B86"/>
    <w:rsid w:val="00952BD4"/>
    <w:rsid w:val="00952C49"/>
    <w:rsid w:val="00952E7E"/>
    <w:rsid w:val="00952FEF"/>
    <w:rsid w:val="0095315D"/>
    <w:rsid w:val="0095316D"/>
    <w:rsid w:val="0095331F"/>
    <w:rsid w:val="009534AF"/>
    <w:rsid w:val="00953686"/>
    <w:rsid w:val="00953846"/>
    <w:rsid w:val="0095391D"/>
    <w:rsid w:val="00953AB2"/>
    <w:rsid w:val="0095406B"/>
    <w:rsid w:val="0095406C"/>
    <w:rsid w:val="009541B4"/>
    <w:rsid w:val="009541EE"/>
    <w:rsid w:val="00954476"/>
    <w:rsid w:val="009544C4"/>
    <w:rsid w:val="00954BE8"/>
    <w:rsid w:val="00954C61"/>
    <w:rsid w:val="00954E79"/>
    <w:rsid w:val="00955039"/>
    <w:rsid w:val="00955105"/>
    <w:rsid w:val="0095522D"/>
    <w:rsid w:val="009552F7"/>
    <w:rsid w:val="009555DE"/>
    <w:rsid w:val="0095564A"/>
    <w:rsid w:val="00955685"/>
    <w:rsid w:val="0095571C"/>
    <w:rsid w:val="009558E9"/>
    <w:rsid w:val="009559AA"/>
    <w:rsid w:val="009559F7"/>
    <w:rsid w:val="00955CE4"/>
    <w:rsid w:val="00955D60"/>
    <w:rsid w:val="00955D89"/>
    <w:rsid w:val="009560FF"/>
    <w:rsid w:val="009561A6"/>
    <w:rsid w:val="00956712"/>
    <w:rsid w:val="009567A1"/>
    <w:rsid w:val="00956914"/>
    <w:rsid w:val="00956937"/>
    <w:rsid w:val="00956A67"/>
    <w:rsid w:val="00956E5D"/>
    <w:rsid w:val="00956EB2"/>
    <w:rsid w:val="00957972"/>
    <w:rsid w:val="00957D9E"/>
    <w:rsid w:val="00957FC3"/>
    <w:rsid w:val="00960122"/>
    <w:rsid w:val="00960356"/>
    <w:rsid w:val="0096081B"/>
    <w:rsid w:val="009608D7"/>
    <w:rsid w:val="0096099A"/>
    <w:rsid w:val="009609E4"/>
    <w:rsid w:val="00960A60"/>
    <w:rsid w:val="00960C65"/>
    <w:rsid w:val="00960EB1"/>
    <w:rsid w:val="00961087"/>
    <w:rsid w:val="0096121A"/>
    <w:rsid w:val="00961269"/>
    <w:rsid w:val="009612C5"/>
    <w:rsid w:val="009614AD"/>
    <w:rsid w:val="009615B0"/>
    <w:rsid w:val="009615F5"/>
    <w:rsid w:val="00961B47"/>
    <w:rsid w:val="00961CE4"/>
    <w:rsid w:val="009623D6"/>
    <w:rsid w:val="009623DA"/>
    <w:rsid w:val="00962410"/>
    <w:rsid w:val="009625EC"/>
    <w:rsid w:val="0096265E"/>
    <w:rsid w:val="0096268C"/>
    <w:rsid w:val="00962966"/>
    <w:rsid w:val="00962996"/>
    <w:rsid w:val="00962C02"/>
    <w:rsid w:val="00962D79"/>
    <w:rsid w:val="00962E5B"/>
    <w:rsid w:val="00963271"/>
    <w:rsid w:val="0096369A"/>
    <w:rsid w:val="009637F8"/>
    <w:rsid w:val="009639AC"/>
    <w:rsid w:val="00963BEE"/>
    <w:rsid w:val="00963DC3"/>
    <w:rsid w:val="00963E2E"/>
    <w:rsid w:val="00963E58"/>
    <w:rsid w:val="00964376"/>
    <w:rsid w:val="00964676"/>
    <w:rsid w:val="009646CA"/>
    <w:rsid w:val="00964709"/>
    <w:rsid w:val="0096470F"/>
    <w:rsid w:val="0096491A"/>
    <w:rsid w:val="00964BF3"/>
    <w:rsid w:val="00964F77"/>
    <w:rsid w:val="0096500C"/>
    <w:rsid w:val="009650A6"/>
    <w:rsid w:val="009650D4"/>
    <w:rsid w:val="00965204"/>
    <w:rsid w:val="00965612"/>
    <w:rsid w:val="00965774"/>
    <w:rsid w:val="00965A06"/>
    <w:rsid w:val="00965FEF"/>
    <w:rsid w:val="009660F1"/>
    <w:rsid w:val="0096643D"/>
    <w:rsid w:val="009668E4"/>
    <w:rsid w:val="00966A22"/>
    <w:rsid w:val="00966B13"/>
    <w:rsid w:val="00966CD4"/>
    <w:rsid w:val="00966DCA"/>
    <w:rsid w:val="0096703C"/>
    <w:rsid w:val="009671AA"/>
    <w:rsid w:val="00967A67"/>
    <w:rsid w:val="00967C3D"/>
    <w:rsid w:val="00967FCA"/>
    <w:rsid w:val="009700EC"/>
    <w:rsid w:val="00970228"/>
    <w:rsid w:val="00970279"/>
    <w:rsid w:val="00970300"/>
    <w:rsid w:val="009704D4"/>
    <w:rsid w:val="00970512"/>
    <w:rsid w:val="0097060D"/>
    <w:rsid w:val="009707ED"/>
    <w:rsid w:val="00970847"/>
    <w:rsid w:val="0097112B"/>
    <w:rsid w:val="009711FD"/>
    <w:rsid w:val="0097121B"/>
    <w:rsid w:val="00971687"/>
    <w:rsid w:val="009716E9"/>
    <w:rsid w:val="00971A51"/>
    <w:rsid w:val="00971C5B"/>
    <w:rsid w:val="00971CC9"/>
    <w:rsid w:val="00971D71"/>
    <w:rsid w:val="0097212B"/>
    <w:rsid w:val="00972561"/>
    <w:rsid w:val="00972667"/>
    <w:rsid w:val="009731A2"/>
    <w:rsid w:val="009731B2"/>
    <w:rsid w:val="0097330E"/>
    <w:rsid w:val="0097334B"/>
    <w:rsid w:val="009738B6"/>
    <w:rsid w:val="00973B3E"/>
    <w:rsid w:val="00973B9B"/>
    <w:rsid w:val="00973C14"/>
    <w:rsid w:val="00973CFD"/>
    <w:rsid w:val="00973F87"/>
    <w:rsid w:val="0097413A"/>
    <w:rsid w:val="00974485"/>
    <w:rsid w:val="00974544"/>
    <w:rsid w:val="0097487A"/>
    <w:rsid w:val="00974E21"/>
    <w:rsid w:val="00974E35"/>
    <w:rsid w:val="00974FE0"/>
    <w:rsid w:val="00975068"/>
    <w:rsid w:val="00975156"/>
    <w:rsid w:val="00975184"/>
    <w:rsid w:val="009753C6"/>
    <w:rsid w:val="009756FC"/>
    <w:rsid w:val="00975814"/>
    <w:rsid w:val="00975959"/>
    <w:rsid w:val="009759A7"/>
    <w:rsid w:val="00975BE4"/>
    <w:rsid w:val="00975D60"/>
    <w:rsid w:val="00975E3B"/>
    <w:rsid w:val="00975FDC"/>
    <w:rsid w:val="009761F5"/>
    <w:rsid w:val="009762AD"/>
    <w:rsid w:val="00976383"/>
    <w:rsid w:val="009763C6"/>
    <w:rsid w:val="009764DA"/>
    <w:rsid w:val="009766D8"/>
    <w:rsid w:val="009769FE"/>
    <w:rsid w:val="00976AEA"/>
    <w:rsid w:val="00976E4E"/>
    <w:rsid w:val="0097738A"/>
    <w:rsid w:val="0097747F"/>
    <w:rsid w:val="0097759E"/>
    <w:rsid w:val="009776A4"/>
    <w:rsid w:val="00977A7B"/>
    <w:rsid w:val="00977C84"/>
    <w:rsid w:val="00977F1E"/>
    <w:rsid w:val="00977F30"/>
    <w:rsid w:val="00977F41"/>
    <w:rsid w:val="00980222"/>
    <w:rsid w:val="00980774"/>
    <w:rsid w:val="009809E9"/>
    <w:rsid w:val="00980B0C"/>
    <w:rsid w:val="00980C65"/>
    <w:rsid w:val="00980E5A"/>
    <w:rsid w:val="00981098"/>
    <w:rsid w:val="009810A3"/>
    <w:rsid w:val="00981110"/>
    <w:rsid w:val="0098121D"/>
    <w:rsid w:val="009812DA"/>
    <w:rsid w:val="00981451"/>
    <w:rsid w:val="0098148F"/>
    <w:rsid w:val="00981C4D"/>
    <w:rsid w:val="00981F0E"/>
    <w:rsid w:val="00981FF6"/>
    <w:rsid w:val="00982065"/>
    <w:rsid w:val="00982077"/>
    <w:rsid w:val="009821F7"/>
    <w:rsid w:val="0098282A"/>
    <w:rsid w:val="00982A4F"/>
    <w:rsid w:val="0098347B"/>
    <w:rsid w:val="00983A28"/>
    <w:rsid w:val="00983DCD"/>
    <w:rsid w:val="00983F4B"/>
    <w:rsid w:val="00983FFA"/>
    <w:rsid w:val="0098401F"/>
    <w:rsid w:val="00984F00"/>
    <w:rsid w:val="00984F62"/>
    <w:rsid w:val="009853A7"/>
    <w:rsid w:val="00985608"/>
    <w:rsid w:val="00985619"/>
    <w:rsid w:val="0098577A"/>
    <w:rsid w:val="00985914"/>
    <w:rsid w:val="00985A27"/>
    <w:rsid w:val="00985A85"/>
    <w:rsid w:val="00985D67"/>
    <w:rsid w:val="00985F02"/>
    <w:rsid w:val="00986019"/>
    <w:rsid w:val="009861B9"/>
    <w:rsid w:val="00986451"/>
    <w:rsid w:val="00986A1B"/>
    <w:rsid w:val="00986A58"/>
    <w:rsid w:val="0098723B"/>
    <w:rsid w:val="009872FF"/>
    <w:rsid w:val="00987427"/>
    <w:rsid w:val="009876C8"/>
    <w:rsid w:val="00987C1F"/>
    <w:rsid w:val="00987D6F"/>
    <w:rsid w:val="00990144"/>
    <w:rsid w:val="00990165"/>
    <w:rsid w:val="0099031A"/>
    <w:rsid w:val="00990331"/>
    <w:rsid w:val="009904EF"/>
    <w:rsid w:val="00990577"/>
    <w:rsid w:val="00990845"/>
    <w:rsid w:val="00990AAF"/>
    <w:rsid w:val="00990C3D"/>
    <w:rsid w:val="00990C72"/>
    <w:rsid w:val="00990E04"/>
    <w:rsid w:val="00990E3C"/>
    <w:rsid w:val="00990EFE"/>
    <w:rsid w:val="00991210"/>
    <w:rsid w:val="00991238"/>
    <w:rsid w:val="009914B0"/>
    <w:rsid w:val="0099150C"/>
    <w:rsid w:val="009915CA"/>
    <w:rsid w:val="00991612"/>
    <w:rsid w:val="00991629"/>
    <w:rsid w:val="009919AA"/>
    <w:rsid w:val="00991CDE"/>
    <w:rsid w:val="00991D86"/>
    <w:rsid w:val="0099204E"/>
    <w:rsid w:val="00992238"/>
    <w:rsid w:val="009923C7"/>
    <w:rsid w:val="009923D4"/>
    <w:rsid w:val="009923DA"/>
    <w:rsid w:val="009927E4"/>
    <w:rsid w:val="00992942"/>
    <w:rsid w:val="00992B07"/>
    <w:rsid w:val="00992C17"/>
    <w:rsid w:val="00992C5B"/>
    <w:rsid w:val="00993320"/>
    <w:rsid w:val="009935A1"/>
    <w:rsid w:val="009936BA"/>
    <w:rsid w:val="009938F6"/>
    <w:rsid w:val="00993AF0"/>
    <w:rsid w:val="00993BD6"/>
    <w:rsid w:val="00993F7D"/>
    <w:rsid w:val="009946E3"/>
    <w:rsid w:val="009949B4"/>
    <w:rsid w:val="00994BFB"/>
    <w:rsid w:val="00994CDC"/>
    <w:rsid w:val="00994F5C"/>
    <w:rsid w:val="00994F6D"/>
    <w:rsid w:val="00995059"/>
    <w:rsid w:val="0099506D"/>
    <w:rsid w:val="00995568"/>
    <w:rsid w:val="00995696"/>
    <w:rsid w:val="00995895"/>
    <w:rsid w:val="009959AA"/>
    <w:rsid w:val="009959B5"/>
    <w:rsid w:val="00995E57"/>
    <w:rsid w:val="00995F06"/>
    <w:rsid w:val="00995F12"/>
    <w:rsid w:val="0099611D"/>
    <w:rsid w:val="0099624E"/>
    <w:rsid w:val="00996501"/>
    <w:rsid w:val="00996B3C"/>
    <w:rsid w:val="00996C18"/>
    <w:rsid w:val="00996EDC"/>
    <w:rsid w:val="00997038"/>
    <w:rsid w:val="00997131"/>
    <w:rsid w:val="00997281"/>
    <w:rsid w:val="009974D5"/>
    <w:rsid w:val="0099756E"/>
    <w:rsid w:val="00997C87"/>
    <w:rsid w:val="00997F67"/>
    <w:rsid w:val="009A000B"/>
    <w:rsid w:val="009A02F7"/>
    <w:rsid w:val="009A0777"/>
    <w:rsid w:val="009A0DC9"/>
    <w:rsid w:val="009A0FD6"/>
    <w:rsid w:val="009A150B"/>
    <w:rsid w:val="009A15E3"/>
    <w:rsid w:val="009A1621"/>
    <w:rsid w:val="009A1666"/>
    <w:rsid w:val="009A16A9"/>
    <w:rsid w:val="009A1A78"/>
    <w:rsid w:val="009A1B4F"/>
    <w:rsid w:val="009A1CD9"/>
    <w:rsid w:val="009A206B"/>
    <w:rsid w:val="009A222B"/>
    <w:rsid w:val="009A2239"/>
    <w:rsid w:val="009A2335"/>
    <w:rsid w:val="009A292F"/>
    <w:rsid w:val="009A294F"/>
    <w:rsid w:val="009A297D"/>
    <w:rsid w:val="009A29AB"/>
    <w:rsid w:val="009A29CA"/>
    <w:rsid w:val="009A2C04"/>
    <w:rsid w:val="009A2C3B"/>
    <w:rsid w:val="009A2F8D"/>
    <w:rsid w:val="009A2FAA"/>
    <w:rsid w:val="009A319F"/>
    <w:rsid w:val="009A39EC"/>
    <w:rsid w:val="009A3A13"/>
    <w:rsid w:val="009A3D64"/>
    <w:rsid w:val="009A3FBF"/>
    <w:rsid w:val="009A40D5"/>
    <w:rsid w:val="009A4344"/>
    <w:rsid w:val="009A4360"/>
    <w:rsid w:val="009A4435"/>
    <w:rsid w:val="009A4476"/>
    <w:rsid w:val="009A4491"/>
    <w:rsid w:val="009A489F"/>
    <w:rsid w:val="009A4AA8"/>
    <w:rsid w:val="009A4C14"/>
    <w:rsid w:val="009A4C82"/>
    <w:rsid w:val="009A4C99"/>
    <w:rsid w:val="009A4F80"/>
    <w:rsid w:val="009A4FCC"/>
    <w:rsid w:val="009A4FFF"/>
    <w:rsid w:val="009A52C6"/>
    <w:rsid w:val="009A5432"/>
    <w:rsid w:val="009A543A"/>
    <w:rsid w:val="009A54FE"/>
    <w:rsid w:val="009A570F"/>
    <w:rsid w:val="009A5A5C"/>
    <w:rsid w:val="009A5AC3"/>
    <w:rsid w:val="009A5EC2"/>
    <w:rsid w:val="009A5F28"/>
    <w:rsid w:val="009A6161"/>
    <w:rsid w:val="009A675D"/>
    <w:rsid w:val="009A68E6"/>
    <w:rsid w:val="009A69A1"/>
    <w:rsid w:val="009A6C53"/>
    <w:rsid w:val="009A6D93"/>
    <w:rsid w:val="009A70CB"/>
    <w:rsid w:val="009A7222"/>
    <w:rsid w:val="009A7253"/>
    <w:rsid w:val="009A73B5"/>
    <w:rsid w:val="009A73B9"/>
    <w:rsid w:val="009A7F9C"/>
    <w:rsid w:val="009B0D14"/>
    <w:rsid w:val="009B10B2"/>
    <w:rsid w:val="009B10B6"/>
    <w:rsid w:val="009B134A"/>
    <w:rsid w:val="009B1623"/>
    <w:rsid w:val="009B1D87"/>
    <w:rsid w:val="009B1E1D"/>
    <w:rsid w:val="009B1E89"/>
    <w:rsid w:val="009B2051"/>
    <w:rsid w:val="009B2059"/>
    <w:rsid w:val="009B206D"/>
    <w:rsid w:val="009B2445"/>
    <w:rsid w:val="009B277A"/>
    <w:rsid w:val="009B296C"/>
    <w:rsid w:val="009B2BDC"/>
    <w:rsid w:val="009B2D3E"/>
    <w:rsid w:val="009B3308"/>
    <w:rsid w:val="009B3340"/>
    <w:rsid w:val="009B3459"/>
    <w:rsid w:val="009B3902"/>
    <w:rsid w:val="009B3AA5"/>
    <w:rsid w:val="009B3DF3"/>
    <w:rsid w:val="009B423E"/>
    <w:rsid w:val="009B43A3"/>
    <w:rsid w:val="009B4A57"/>
    <w:rsid w:val="009B4DB8"/>
    <w:rsid w:val="009B5264"/>
    <w:rsid w:val="009B5369"/>
    <w:rsid w:val="009B53E2"/>
    <w:rsid w:val="009B54F1"/>
    <w:rsid w:val="009B556B"/>
    <w:rsid w:val="009B588E"/>
    <w:rsid w:val="009B596E"/>
    <w:rsid w:val="009B5BC1"/>
    <w:rsid w:val="009B6144"/>
    <w:rsid w:val="009B61ED"/>
    <w:rsid w:val="009B6254"/>
    <w:rsid w:val="009B62C7"/>
    <w:rsid w:val="009B6344"/>
    <w:rsid w:val="009B63F6"/>
    <w:rsid w:val="009B64B2"/>
    <w:rsid w:val="009B6527"/>
    <w:rsid w:val="009B66E1"/>
    <w:rsid w:val="009B6756"/>
    <w:rsid w:val="009B6B98"/>
    <w:rsid w:val="009B6C89"/>
    <w:rsid w:val="009B6D4A"/>
    <w:rsid w:val="009B6F6F"/>
    <w:rsid w:val="009B704D"/>
    <w:rsid w:val="009B7061"/>
    <w:rsid w:val="009B7135"/>
    <w:rsid w:val="009B73C3"/>
    <w:rsid w:val="009C0032"/>
    <w:rsid w:val="009C0122"/>
    <w:rsid w:val="009C016E"/>
    <w:rsid w:val="009C0323"/>
    <w:rsid w:val="009C041E"/>
    <w:rsid w:val="009C04B6"/>
    <w:rsid w:val="009C0689"/>
    <w:rsid w:val="009C073A"/>
    <w:rsid w:val="009C077C"/>
    <w:rsid w:val="009C0B90"/>
    <w:rsid w:val="009C0C44"/>
    <w:rsid w:val="009C0FA1"/>
    <w:rsid w:val="009C12AE"/>
    <w:rsid w:val="009C12C7"/>
    <w:rsid w:val="009C1462"/>
    <w:rsid w:val="009C14FC"/>
    <w:rsid w:val="009C17CE"/>
    <w:rsid w:val="009C18AC"/>
    <w:rsid w:val="009C1BD6"/>
    <w:rsid w:val="009C1C68"/>
    <w:rsid w:val="009C1D41"/>
    <w:rsid w:val="009C1FD9"/>
    <w:rsid w:val="009C2204"/>
    <w:rsid w:val="009C2250"/>
    <w:rsid w:val="009C2398"/>
    <w:rsid w:val="009C25A4"/>
    <w:rsid w:val="009C2A9F"/>
    <w:rsid w:val="009C3146"/>
    <w:rsid w:val="009C348B"/>
    <w:rsid w:val="009C3537"/>
    <w:rsid w:val="009C359E"/>
    <w:rsid w:val="009C3AC0"/>
    <w:rsid w:val="009C3D78"/>
    <w:rsid w:val="009C3E70"/>
    <w:rsid w:val="009C3E96"/>
    <w:rsid w:val="009C402A"/>
    <w:rsid w:val="009C422F"/>
    <w:rsid w:val="009C43A4"/>
    <w:rsid w:val="009C4737"/>
    <w:rsid w:val="009C4760"/>
    <w:rsid w:val="009C484E"/>
    <w:rsid w:val="009C4D99"/>
    <w:rsid w:val="009C4F9B"/>
    <w:rsid w:val="009C50B2"/>
    <w:rsid w:val="009C539A"/>
    <w:rsid w:val="009C5434"/>
    <w:rsid w:val="009C5557"/>
    <w:rsid w:val="009C5710"/>
    <w:rsid w:val="009C5804"/>
    <w:rsid w:val="009C5987"/>
    <w:rsid w:val="009C5AC9"/>
    <w:rsid w:val="009C5AE4"/>
    <w:rsid w:val="009C5B25"/>
    <w:rsid w:val="009C5EDF"/>
    <w:rsid w:val="009C6270"/>
    <w:rsid w:val="009C6333"/>
    <w:rsid w:val="009C635B"/>
    <w:rsid w:val="009C6696"/>
    <w:rsid w:val="009C66C2"/>
    <w:rsid w:val="009C6827"/>
    <w:rsid w:val="009C68E0"/>
    <w:rsid w:val="009C6A91"/>
    <w:rsid w:val="009C6BC4"/>
    <w:rsid w:val="009C6BDF"/>
    <w:rsid w:val="009C6C6B"/>
    <w:rsid w:val="009C6DBB"/>
    <w:rsid w:val="009C6F49"/>
    <w:rsid w:val="009C702A"/>
    <w:rsid w:val="009C7059"/>
    <w:rsid w:val="009C7100"/>
    <w:rsid w:val="009C719D"/>
    <w:rsid w:val="009C7426"/>
    <w:rsid w:val="009C753D"/>
    <w:rsid w:val="009C760F"/>
    <w:rsid w:val="009C7C28"/>
    <w:rsid w:val="009D039C"/>
    <w:rsid w:val="009D097F"/>
    <w:rsid w:val="009D0BB8"/>
    <w:rsid w:val="009D0F1A"/>
    <w:rsid w:val="009D102D"/>
    <w:rsid w:val="009D11AD"/>
    <w:rsid w:val="009D13A7"/>
    <w:rsid w:val="009D13D5"/>
    <w:rsid w:val="009D1A06"/>
    <w:rsid w:val="009D1C17"/>
    <w:rsid w:val="009D1F8A"/>
    <w:rsid w:val="009D219F"/>
    <w:rsid w:val="009D2227"/>
    <w:rsid w:val="009D2274"/>
    <w:rsid w:val="009D235E"/>
    <w:rsid w:val="009D2414"/>
    <w:rsid w:val="009D28C5"/>
    <w:rsid w:val="009D292F"/>
    <w:rsid w:val="009D2A2B"/>
    <w:rsid w:val="009D2D75"/>
    <w:rsid w:val="009D3139"/>
    <w:rsid w:val="009D320D"/>
    <w:rsid w:val="009D35F0"/>
    <w:rsid w:val="009D361A"/>
    <w:rsid w:val="009D3980"/>
    <w:rsid w:val="009D3D4B"/>
    <w:rsid w:val="009D3DB0"/>
    <w:rsid w:val="009D40D9"/>
    <w:rsid w:val="009D4398"/>
    <w:rsid w:val="009D4432"/>
    <w:rsid w:val="009D450C"/>
    <w:rsid w:val="009D4611"/>
    <w:rsid w:val="009D4704"/>
    <w:rsid w:val="009D49F2"/>
    <w:rsid w:val="009D4BA8"/>
    <w:rsid w:val="009D4D1E"/>
    <w:rsid w:val="009D5C10"/>
    <w:rsid w:val="009D5CD5"/>
    <w:rsid w:val="009D5FA8"/>
    <w:rsid w:val="009D605B"/>
    <w:rsid w:val="009D60BD"/>
    <w:rsid w:val="009D61F7"/>
    <w:rsid w:val="009D6259"/>
    <w:rsid w:val="009D62D8"/>
    <w:rsid w:val="009D655F"/>
    <w:rsid w:val="009D67AD"/>
    <w:rsid w:val="009D69F3"/>
    <w:rsid w:val="009D6BB7"/>
    <w:rsid w:val="009D6C45"/>
    <w:rsid w:val="009D6CB9"/>
    <w:rsid w:val="009D6FAE"/>
    <w:rsid w:val="009D6FD6"/>
    <w:rsid w:val="009D700F"/>
    <w:rsid w:val="009D705A"/>
    <w:rsid w:val="009D714C"/>
    <w:rsid w:val="009D7252"/>
    <w:rsid w:val="009D74D3"/>
    <w:rsid w:val="009D7612"/>
    <w:rsid w:val="009D7724"/>
    <w:rsid w:val="009D77CD"/>
    <w:rsid w:val="009D7D99"/>
    <w:rsid w:val="009D7D9E"/>
    <w:rsid w:val="009E0337"/>
    <w:rsid w:val="009E0501"/>
    <w:rsid w:val="009E0541"/>
    <w:rsid w:val="009E05D1"/>
    <w:rsid w:val="009E05E8"/>
    <w:rsid w:val="009E0D39"/>
    <w:rsid w:val="009E0E19"/>
    <w:rsid w:val="009E0F19"/>
    <w:rsid w:val="009E16E5"/>
    <w:rsid w:val="009E1727"/>
    <w:rsid w:val="009E17F0"/>
    <w:rsid w:val="009E1824"/>
    <w:rsid w:val="009E1A4E"/>
    <w:rsid w:val="009E1C23"/>
    <w:rsid w:val="009E1E8A"/>
    <w:rsid w:val="009E22A2"/>
    <w:rsid w:val="009E248E"/>
    <w:rsid w:val="009E2699"/>
    <w:rsid w:val="009E294E"/>
    <w:rsid w:val="009E2971"/>
    <w:rsid w:val="009E2C41"/>
    <w:rsid w:val="009E2E58"/>
    <w:rsid w:val="009E2F72"/>
    <w:rsid w:val="009E351B"/>
    <w:rsid w:val="009E3D08"/>
    <w:rsid w:val="009E3EEF"/>
    <w:rsid w:val="009E4063"/>
    <w:rsid w:val="009E41F5"/>
    <w:rsid w:val="009E429D"/>
    <w:rsid w:val="009E471B"/>
    <w:rsid w:val="009E47EC"/>
    <w:rsid w:val="009E48BC"/>
    <w:rsid w:val="009E4A5E"/>
    <w:rsid w:val="009E4DDD"/>
    <w:rsid w:val="009E5006"/>
    <w:rsid w:val="009E5211"/>
    <w:rsid w:val="009E5268"/>
    <w:rsid w:val="009E5281"/>
    <w:rsid w:val="009E529A"/>
    <w:rsid w:val="009E52DA"/>
    <w:rsid w:val="009E539E"/>
    <w:rsid w:val="009E55CE"/>
    <w:rsid w:val="009E56C6"/>
    <w:rsid w:val="009E58D5"/>
    <w:rsid w:val="009E5B49"/>
    <w:rsid w:val="009E5E58"/>
    <w:rsid w:val="009E5FB2"/>
    <w:rsid w:val="009E602C"/>
    <w:rsid w:val="009E61EB"/>
    <w:rsid w:val="009E6759"/>
    <w:rsid w:val="009E6C43"/>
    <w:rsid w:val="009E6C55"/>
    <w:rsid w:val="009E6D47"/>
    <w:rsid w:val="009E6E1E"/>
    <w:rsid w:val="009E72CA"/>
    <w:rsid w:val="009E7723"/>
    <w:rsid w:val="009E783B"/>
    <w:rsid w:val="009E7B69"/>
    <w:rsid w:val="009E7BF7"/>
    <w:rsid w:val="009E7EA0"/>
    <w:rsid w:val="009E7FA8"/>
    <w:rsid w:val="009F0074"/>
    <w:rsid w:val="009F0549"/>
    <w:rsid w:val="009F0627"/>
    <w:rsid w:val="009F0744"/>
    <w:rsid w:val="009F0777"/>
    <w:rsid w:val="009F07BB"/>
    <w:rsid w:val="009F0E27"/>
    <w:rsid w:val="009F116B"/>
    <w:rsid w:val="009F1813"/>
    <w:rsid w:val="009F18C9"/>
    <w:rsid w:val="009F1B13"/>
    <w:rsid w:val="009F1B6A"/>
    <w:rsid w:val="009F1BF7"/>
    <w:rsid w:val="009F1C24"/>
    <w:rsid w:val="009F214C"/>
    <w:rsid w:val="009F22E9"/>
    <w:rsid w:val="009F26AD"/>
    <w:rsid w:val="009F28BB"/>
    <w:rsid w:val="009F2AE3"/>
    <w:rsid w:val="009F2DB4"/>
    <w:rsid w:val="009F2FEF"/>
    <w:rsid w:val="009F3064"/>
    <w:rsid w:val="009F3457"/>
    <w:rsid w:val="009F3D23"/>
    <w:rsid w:val="009F3E15"/>
    <w:rsid w:val="009F3EF0"/>
    <w:rsid w:val="009F4076"/>
    <w:rsid w:val="009F4237"/>
    <w:rsid w:val="009F423D"/>
    <w:rsid w:val="009F43BD"/>
    <w:rsid w:val="009F44EB"/>
    <w:rsid w:val="009F462D"/>
    <w:rsid w:val="009F4631"/>
    <w:rsid w:val="009F464B"/>
    <w:rsid w:val="009F4777"/>
    <w:rsid w:val="009F49C5"/>
    <w:rsid w:val="009F4CAB"/>
    <w:rsid w:val="009F4E49"/>
    <w:rsid w:val="009F4F72"/>
    <w:rsid w:val="009F5049"/>
    <w:rsid w:val="009F51FD"/>
    <w:rsid w:val="009F5489"/>
    <w:rsid w:val="009F5519"/>
    <w:rsid w:val="009F5650"/>
    <w:rsid w:val="009F5831"/>
    <w:rsid w:val="009F58B2"/>
    <w:rsid w:val="009F5C28"/>
    <w:rsid w:val="009F5D86"/>
    <w:rsid w:val="009F5F57"/>
    <w:rsid w:val="009F6453"/>
    <w:rsid w:val="009F65FC"/>
    <w:rsid w:val="009F689E"/>
    <w:rsid w:val="009F6AAF"/>
    <w:rsid w:val="009F6AB1"/>
    <w:rsid w:val="009F6AF7"/>
    <w:rsid w:val="009F6D32"/>
    <w:rsid w:val="009F6D76"/>
    <w:rsid w:val="009F718C"/>
    <w:rsid w:val="009F71C1"/>
    <w:rsid w:val="009F744E"/>
    <w:rsid w:val="009F7507"/>
    <w:rsid w:val="009F7614"/>
    <w:rsid w:val="009F7652"/>
    <w:rsid w:val="009F77D9"/>
    <w:rsid w:val="009F7AAE"/>
    <w:rsid w:val="009F7C75"/>
    <w:rsid w:val="009F7CB9"/>
    <w:rsid w:val="009F7CD0"/>
    <w:rsid w:val="009F7EC5"/>
    <w:rsid w:val="009F7FC0"/>
    <w:rsid w:val="00A0002E"/>
    <w:rsid w:val="00A00153"/>
    <w:rsid w:val="00A001F0"/>
    <w:rsid w:val="00A001FE"/>
    <w:rsid w:val="00A002E1"/>
    <w:rsid w:val="00A002E2"/>
    <w:rsid w:val="00A003A7"/>
    <w:rsid w:val="00A004DE"/>
    <w:rsid w:val="00A008DE"/>
    <w:rsid w:val="00A01073"/>
    <w:rsid w:val="00A0113B"/>
    <w:rsid w:val="00A011D7"/>
    <w:rsid w:val="00A0144A"/>
    <w:rsid w:val="00A01859"/>
    <w:rsid w:val="00A018AF"/>
    <w:rsid w:val="00A018D8"/>
    <w:rsid w:val="00A019F4"/>
    <w:rsid w:val="00A01B4E"/>
    <w:rsid w:val="00A01CC9"/>
    <w:rsid w:val="00A0206D"/>
    <w:rsid w:val="00A0209E"/>
    <w:rsid w:val="00A0212B"/>
    <w:rsid w:val="00A022C1"/>
    <w:rsid w:val="00A023F9"/>
    <w:rsid w:val="00A025E8"/>
    <w:rsid w:val="00A02602"/>
    <w:rsid w:val="00A029D8"/>
    <w:rsid w:val="00A02A52"/>
    <w:rsid w:val="00A02BF4"/>
    <w:rsid w:val="00A02D3A"/>
    <w:rsid w:val="00A033DB"/>
    <w:rsid w:val="00A034C9"/>
    <w:rsid w:val="00A03602"/>
    <w:rsid w:val="00A03645"/>
    <w:rsid w:val="00A03B2F"/>
    <w:rsid w:val="00A03DF2"/>
    <w:rsid w:val="00A03E51"/>
    <w:rsid w:val="00A041DA"/>
    <w:rsid w:val="00A04221"/>
    <w:rsid w:val="00A04264"/>
    <w:rsid w:val="00A04350"/>
    <w:rsid w:val="00A04629"/>
    <w:rsid w:val="00A04757"/>
    <w:rsid w:val="00A049E8"/>
    <w:rsid w:val="00A04D9B"/>
    <w:rsid w:val="00A054A7"/>
    <w:rsid w:val="00A059EB"/>
    <w:rsid w:val="00A05AFD"/>
    <w:rsid w:val="00A05FAF"/>
    <w:rsid w:val="00A06334"/>
    <w:rsid w:val="00A0641D"/>
    <w:rsid w:val="00A06763"/>
    <w:rsid w:val="00A06AC9"/>
    <w:rsid w:val="00A06F3E"/>
    <w:rsid w:val="00A073EB"/>
    <w:rsid w:val="00A074C9"/>
    <w:rsid w:val="00A074FF"/>
    <w:rsid w:val="00A07766"/>
    <w:rsid w:val="00A077A3"/>
    <w:rsid w:val="00A07A9A"/>
    <w:rsid w:val="00A100AB"/>
    <w:rsid w:val="00A101A0"/>
    <w:rsid w:val="00A102A4"/>
    <w:rsid w:val="00A103FC"/>
    <w:rsid w:val="00A103FF"/>
    <w:rsid w:val="00A10499"/>
    <w:rsid w:val="00A104F2"/>
    <w:rsid w:val="00A10A4F"/>
    <w:rsid w:val="00A11A09"/>
    <w:rsid w:val="00A11A61"/>
    <w:rsid w:val="00A11AB9"/>
    <w:rsid w:val="00A122DC"/>
    <w:rsid w:val="00A1252B"/>
    <w:rsid w:val="00A1271D"/>
    <w:rsid w:val="00A127E4"/>
    <w:rsid w:val="00A12CBE"/>
    <w:rsid w:val="00A12CCE"/>
    <w:rsid w:val="00A12F11"/>
    <w:rsid w:val="00A132D4"/>
    <w:rsid w:val="00A13536"/>
    <w:rsid w:val="00A136D9"/>
    <w:rsid w:val="00A13BC5"/>
    <w:rsid w:val="00A13D5C"/>
    <w:rsid w:val="00A13D6A"/>
    <w:rsid w:val="00A1405D"/>
    <w:rsid w:val="00A141BD"/>
    <w:rsid w:val="00A141C2"/>
    <w:rsid w:val="00A145BD"/>
    <w:rsid w:val="00A146AC"/>
    <w:rsid w:val="00A14AA3"/>
    <w:rsid w:val="00A14ACF"/>
    <w:rsid w:val="00A14FBB"/>
    <w:rsid w:val="00A14FFF"/>
    <w:rsid w:val="00A15325"/>
    <w:rsid w:val="00A158C1"/>
    <w:rsid w:val="00A1597F"/>
    <w:rsid w:val="00A15B4A"/>
    <w:rsid w:val="00A15D29"/>
    <w:rsid w:val="00A15E84"/>
    <w:rsid w:val="00A16073"/>
    <w:rsid w:val="00A160F7"/>
    <w:rsid w:val="00A16233"/>
    <w:rsid w:val="00A164E0"/>
    <w:rsid w:val="00A16BC0"/>
    <w:rsid w:val="00A16C9A"/>
    <w:rsid w:val="00A16EC0"/>
    <w:rsid w:val="00A16ECB"/>
    <w:rsid w:val="00A17048"/>
    <w:rsid w:val="00A17051"/>
    <w:rsid w:val="00A1764B"/>
    <w:rsid w:val="00A177D6"/>
    <w:rsid w:val="00A177D7"/>
    <w:rsid w:val="00A179D0"/>
    <w:rsid w:val="00A17EB6"/>
    <w:rsid w:val="00A2023C"/>
    <w:rsid w:val="00A2091B"/>
    <w:rsid w:val="00A20948"/>
    <w:rsid w:val="00A209C9"/>
    <w:rsid w:val="00A209FD"/>
    <w:rsid w:val="00A20A86"/>
    <w:rsid w:val="00A20E0B"/>
    <w:rsid w:val="00A21299"/>
    <w:rsid w:val="00A21318"/>
    <w:rsid w:val="00A216DB"/>
    <w:rsid w:val="00A21721"/>
    <w:rsid w:val="00A21944"/>
    <w:rsid w:val="00A21D44"/>
    <w:rsid w:val="00A21F83"/>
    <w:rsid w:val="00A222B7"/>
    <w:rsid w:val="00A2233F"/>
    <w:rsid w:val="00A22371"/>
    <w:rsid w:val="00A223CB"/>
    <w:rsid w:val="00A2248C"/>
    <w:rsid w:val="00A226CA"/>
    <w:rsid w:val="00A22D42"/>
    <w:rsid w:val="00A22DE1"/>
    <w:rsid w:val="00A23233"/>
    <w:rsid w:val="00A238AE"/>
    <w:rsid w:val="00A23A8B"/>
    <w:rsid w:val="00A23B98"/>
    <w:rsid w:val="00A23BA6"/>
    <w:rsid w:val="00A23E2A"/>
    <w:rsid w:val="00A23E71"/>
    <w:rsid w:val="00A24212"/>
    <w:rsid w:val="00A24753"/>
    <w:rsid w:val="00A247CC"/>
    <w:rsid w:val="00A248B3"/>
    <w:rsid w:val="00A2490A"/>
    <w:rsid w:val="00A249C5"/>
    <w:rsid w:val="00A24BB7"/>
    <w:rsid w:val="00A24C37"/>
    <w:rsid w:val="00A24CBA"/>
    <w:rsid w:val="00A24CC8"/>
    <w:rsid w:val="00A25034"/>
    <w:rsid w:val="00A25085"/>
    <w:rsid w:val="00A250F2"/>
    <w:rsid w:val="00A251AA"/>
    <w:rsid w:val="00A2523F"/>
    <w:rsid w:val="00A2560B"/>
    <w:rsid w:val="00A2561A"/>
    <w:rsid w:val="00A2575A"/>
    <w:rsid w:val="00A257A4"/>
    <w:rsid w:val="00A2583E"/>
    <w:rsid w:val="00A258B6"/>
    <w:rsid w:val="00A25953"/>
    <w:rsid w:val="00A25C48"/>
    <w:rsid w:val="00A25C98"/>
    <w:rsid w:val="00A25D30"/>
    <w:rsid w:val="00A25F4D"/>
    <w:rsid w:val="00A25F56"/>
    <w:rsid w:val="00A2618A"/>
    <w:rsid w:val="00A2675B"/>
    <w:rsid w:val="00A267B3"/>
    <w:rsid w:val="00A268F8"/>
    <w:rsid w:val="00A26B7A"/>
    <w:rsid w:val="00A26C8E"/>
    <w:rsid w:val="00A26D73"/>
    <w:rsid w:val="00A26DCE"/>
    <w:rsid w:val="00A26FC2"/>
    <w:rsid w:val="00A27537"/>
    <w:rsid w:val="00A27619"/>
    <w:rsid w:val="00A276C4"/>
    <w:rsid w:val="00A279E0"/>
    <w:rsid w:val="00A27D30"/>
    <w:rsid w:val="00A27D3A"/>
    <w:rsid w:val="00A3015D"/>
    <w:rsid w:val="00A30221"/>
    <w:rsid w:val="00A302CC"/>
    <w:rsid w:val="00A3038E"/>
    <w:rsid w:val="00A303F1"/>
    <w:rsid w:val="00A3040B"/>
    <w:rsid w:val="00A30617"/>
    <w:rsid w:val="00A306D7"/>
    <w:rsid w:val="00A309E6"/>
    <w:rsid w:val="00A30A56"/>
    <w:rsid w:val="00A30BD2"/>
    <w:rsid w:val="00A30EF5"/>
    <w:rsid w:val="00A3134C"/>
    <w:rsid w:val="00A31385"/>
    <w:rsid w:val="00A3139F"/>
    <w:rsid w:val="00A31550"/>
    <w:rsid w:val="00A315B1"/>
    <w:rsid w:val="00A31813"/>
    <w:rsid w:val="00A318E9"/>
    <w:rsid w:val="00A318FB"/>
    <w:rsid w:val="00A31CD5"/>
    <w:rsid w:val="00A31D41"/>
    <w:rsid w:val="00A31E47"/>
    <w:rsid w:val="00A31F6A"/>
    <w:rsid w:val="00A3211E"/>
    <w:rsid w:val="00A3215E"/>
    <w:rsid w:val="00A322D8"/>
    <w:rsid w:val="00A3232C"/>
    <w:rsid w:val="00A32526"/>
    <w:rsid w:val="00A32536"/>
    <w:rsid w:val="00A325A7"/>
    <w:rsid w:val="00A3286A"/>
    <w:rsid w:val="00A3287D"/>
    <w:rsid w:val="00A32A6D"/>
    <w:rsid w:val="00A32D70"/>
    <w:rsid w:val="00A32FB1"/>
    <w:rsid w:val="00A33164"/>
    <w:rsid w:val="00A333CD"/>
    <w:rsid w:val="00A334D6"/>
    <w:rsid w:val="00A335F8"/>
    <w:rsid w:val="00A33733"/>
    <w:rsid w:val="00A33771"/>
    <w:rsid w:val="00A339A9"/>
    <w:rsid w:val="00A33C6F"/>
    <w:rsid w:val="00A340A2"/>
    <w:rsid w:val="00A34604"/>
    <w:rsid w:val="00A34695"/>
    <w:rsid w:val="00A34793"/>
    <w:rsid w:val="00A348A5"/>
    <w:rsid w:val="00A34A07"/>
    <w:rsid w:val="00A34A30"/>
    <w:rsid w:val="00A34A61"/>
    <w:rsid w:val="00A34A63"/>
    <w:rsid w:val="00A34E3B"/>
    <w:rsid w:val="00A34F09"/>
    <w:rsid w:val="00A34F56"/>
    <w:rsid w:val="00A352B9"/>
    <w:rsid w:val="00A352F1"/>
    <w:rsid w:val="00A354E7"/>
    <w:rsid w:val="00A3553A"/>
    <w:rsid w:val="00A35999"/>
    <w:rsid w:val="00A35BBA"/>
    <w:rsid w:val="00A35FA1"/>
    <w:rsid w:val="00A35FA2"/>
    <w:rsid w:val="00A363BB"/>
    <w:rsid w:val="00A3681A"/>
    <w:rsid w:val="00A36BAE"/>
    <w:rsid w:val="00A36E0E"/>
    <w:rsid w:val="00A37225"/>
    <w:rsid w:val="00A37484"/>
    <w:rsid w:val="00A37530"/>
    <w:rsid w:val="00A37631"/>
    <w:rsid w:val="00A3770F"/>
    <w:rsid w:val="00A377EB"/>
    <w:rsid w:val="00A37829"/>
    <w:rsid w:val="00A378A2"/>
    <w:rsid w:val="00A37CA1"/>
    <w:rsid w:val="00A37F0A"/>
    <w:rsid w:val="00A37F26"/>
    <w:rsid w:val="00A40457"/>
    <w:rsid w:val="00A4070A"/>
    <w:rsid w:val="00A407CE"/>
    <w:rsid w:val="00A40921"/>
    <w:rsid w:val="00A40A52"/>
    <w:rsid w:val="00A40A67"/>
    <w:rsid w:val="00A40C4A"/>
    <w:rsid w:val="00A40D49"/>
    <w:rsid w:val="00A41099"/>
    <w:rsid w:val="00A4162D"/>
    <w:rsid w:val="00A417A0"/>
    <w:rsid w:val="00A4180B"/>
    <w:rsid w:val="00A419CD"/>
    <w:rsid w:val="00A41AF7"/>
    <w:rsid w:val="00A42123"/>
    <w:rsid w:val="00A421DC"/>
    <w:rsid w:val="00A42258"/>
    <w:rsid w:val="00A423AD"/>
    <w:rsid w:val="00A427D2"/>
    <w:rsid w:val="00A428EB"/>
    <w:rsid w:val="00A430A1"/>
    <w:rsid w:val="00A431C1"/>
    <w:rsid w:val="00A43225"/>
    <w:rsid w:val="00A439CC"/>
    <w:rsid w:val="00A43B1E"/>
    <w:rsid w:val="00A43C7C"/>
    <w:rsid w:val="00A43FDD"/>
    <w:rsid w:val="00A4425F"/>
    <w:rsid w:val="00A445B2"/>
    <w:rsid w:val="00A4466D"/>
    <w:rsid w:val="00A44761"/>
    <w:rsid w:val="00A44772"/>
    <w:rsid w:val="00A449B7"/>
    <w:rsid w:val="00A44B7F"/>
    <w:rsid w:val="00A44CA8"/>
    <w:rsid w:val="00A44CAB"/>
    <w:rsid w:val="00A44E8D"/>
    <w:rsid w:val="00A450F5"/>
    <w:rsid w:val="00A451EB"/>
    <w:rsid w:val="00A451EF"/>
    <w:rsid w:val="00A45627"/>
    <w:rsid w:val="00A456C8"/>
    <w:rsid w:val="00A457C7"/>
    <w:rsid w:val="00A45A52"/>
    <w:rsid w:val="00A45E0F"/>
    <w:rsid w:val="00A460E7"/>
    <w:rsid w:val="00A460FE"/>
    <w:rsid w:val="00A4610A"/>
    <w:rsid w:val="00A46141"/>
    <w:rsid w:val="00A46428"/>
    <w:rsid w:val="00A468DF"/>
    <w:rsid w:val="00A468E7"/>
    <w:rsid w:val="00A46904"/>
    <w:rsid w:val="00A469BA"/>
    <w:rsid w:val="00A46A87"/>
    <w:rsid w:val="00A46E43"/>
    <w:rsid w:val="00A46EE7"/>
    <w:rsid w:val="00A471BB"/>
    <w:rsid w:val="00A4740B"/>
    <w:rsid w:val="00A4761E"/>
    <w:rsid w:val="00A47760"/>
    <w:rsid w:val="00A478BA"/>
    <w:rsid w:val="00A501AC"/>
    <w:rsid w:val="00A5024E"/>
    <w:rsid w:val="00A503AC"/>
    <w:rsid w:val="00A5069A"/>
    <w:rsid w:val="00A507A8"/>
    <w:rsid w:val="00A50C88"/>
    <w:rsid w:val="00A50F96"/>
    <w:rsid w:val="00A510A9"/>
    <w:rsid w:val="00A51217"/>
    <w:rsid w:val="00A51305"/>
    <w:rsid w:val="00A51436"/>
    <w:rsid w:val="00A514AD"/>
    <w:rsid w:val="00A515DE"/>
    <w:rsid w:val="00A51866"/>
    <w:rsid w:val="00A518FD"/>
    <w:rsid w:val="00A51C46"/>
    <w:rsid w:val="00A51CA6"/>
    <w:rsid w:val="00A51DCC"/>
    <w:rsid w:val="00A51F0A"/>
    <w:rsid w:val="00A51F62"/>
    <w:rsid w:val="00A52263"/>
    <w:rsid w:val="00A522A6"/>
    <w:rsid w:val="00A5250A"/>
    <w:rsid w:val="00A52D18"/>
    <w:rsid w:val="00A5310F"/>
    <w:rsid w:val="00A53397"/>
    <w:rsid w:val="00A53742"/>
    <w:rsid w:val="00A538F5"/>
    <w:rsid w:val="00A53BC3"/>
    <w:rsid w:val="00A53BCD"/>
    <w:rsid w:val="00A53CF3"/>
    <w:rsid w:val="00A53D9D"/>
    <w:rsid w:val="00A53E0A"/>
    <w:rsid w:val="00A53FA1"/>
    <w:rsid w:val="00A5480D"/>
    <w:rsid w:val="00A548D1"/>
    <w:rsid w:val="00A54EAE"/>
    <w:rsid w:val="00A55194"/>
    <w:rsid w:val="00A55216"/>
    <w:rsid w:val="00A5522C"/>
    <w:rsid w:val="00A552AA"/>
    <w:rsid w:val="00A55425"/>
    <w:rsid w:val="00A55639"/>
    <w:rsid w:val="00A557CA"/>
    <w:rsid w:val="00A557E2"/>
    <w:rsid w:val="00A558F8"/>
    <w:rsid w:val="00A55AE4"/>
    <w:rsid w:val="00A55CE9"/>
    <w:rsid w:val="00A55E6C"/>
    <w:rsid w:val="00A560FB"/>
    <w:rsid w:val="00A5627F"/>
    <w:rsid w:val="00A562E1"/>
    <w:rsid w:val="00A56526"/>
    <w:rsid w:val="00A565C5"/>
    <w:rsid w:val="00A5676D"/>
    <w:rsid w:val="00A56803"/>
    <w:rsid w:val="00A56D45"/>
    <w:rsid w:val="00A56E8F"/>
    <w:rsid w:val="00A574DF"/>
    <w:rsid w:val="00A57721"/>
    <w:rsid w:val="00A57EF1"/>
    <w:rsid w:val="00A6048B"/>
    <w:rsid w:val="00A60491"/>
    <w:rsid w:val="00A607EC"/>
    <w:rsid w:val="00A609DB"/>
    <w:rsid w:val="00A60B53"/>
    <w:rsid w:val="00A60CE7"/>
    <w:rsid w:val="00A61199"/>
    <w:rsid w:val="00A6121E"/>
    <w:rsid w:val="00A61413"/>
    <w:rsid w:val="00A61415"/>
    <w:rsid w:val="00A61463"/>
    <w:rsid w:val="00A61469"/>
    <w:rsid w:val="00A616A6"/>
    <w:rsid w:val="00A6189D"/>
    <w:rsid w:val="00A61964"/>
    <w:rsid w:val="00A61CCB"/>
    <w:rsid w:val="00A61FA0"/>
    <w:rsid w:val="00A620BB"/>
    <w:rsid w:val="00A6213B"/>
    <w:rsid w:val="00A621AA"/>
    <w:rsid w:val="00A621BD"/>
    <w:rsid w:val="00A622B2"/>
    <w:rsid w:val="00A62429"/>
    <w:rsid w:val="00A62535"/>
    <w:rsid w:val="00A62869"/>
    <w:rsid w:val="00A62875"/>
    <w:rsid w:val="00A629C7"/>
    <w:rsid w:val="00A62A3D"/>
    <w:rsid w:val="00A62EE7"/>
    <w:rsid w:val="00A62F68"/>
    <w:rsid w:val="00A6305B"/>
    <w:rsid w:val="00A6317E"/>
    <w:rsid w:val="00A632F4"/>
    <w:rsid w:val="00A63551"/>
    <w:rsid w:val="00A63649"/>
    <w:rsid w:val="00A63755"/>
    <w:rsid w:val="00A63824"/>
    <w:rsid w:val="00A63A77"/>
    <w:rsid w:val="00A63BDD"/>
    <w:rsid w:val="00A63C0D"/>
    <w:rsid w:val="00A63DCD"/>
    <w:rsid w:val="00A63EB0"/>
    <w:rsid w:val="00A640BA"/>
    <w:rsid w:val="00A641A1"/>
    <w:rsid w:val="00A64276"/>
    <w:rsid w:val="00A642C2"/>
    <w:rsid w:val="00A64336"/>
    <w:rsid w:val="00A6470E"/>
    <w:rsid w:val="00A647FD"/>
    <w:rsid w:val="00A649D4"/>
    <w:rsid w:val="00A6559B"/>
    <w:rsid w:val="00A65863"/>
    <w:rsid w:val="00A658B6"/>
    <w:rsid w:val="00A659B6"/>
    <w:rsid w:val="00A65D33"/>
    <w:rsid w:val="00A65DB9"/>
    <w:rsid w:val="00A65E16"/>
    <w:rsid w:val="00A65EA4"/>
    <w:rsid w:val="00A660BD"/>
    <w:rsid w:val="00A66173"/>
    <w:rsid w:val="00A6618D"/>
    <w:rsid w:val="00A661AE"/>
    <w:rsid w:val="00A663A4"/>
    <w:rsid w:val="00A66662"/>
    <w:rsid w:val="00A666FF"/>
    <w:rsid w:val="00A66807"/>
    <w:rsid w:val="00A6684C"/>
    <w:rsid w:val="00A66C22"/>
    <w:rsid w:val="00A66CE1"/>
    <w:rsid w:val="00A66D55"/>
    <w:rsid w:val="00A66DDC"/>
    <w:rsid w:val="00A66F0E"/>
    <w:rsid w:val="00A66FA7"/>
    <w:rsid w:val="00A67109"/>
    <w:rsid w:val="00A674BA"/>
    <w:rsid w:val="00A6751B"/>
    <w:rsid w:val="00A67538"/>
    <w:rsid w:val="00A67594"/>
    <w:rsid w:val="00A675AD"/>
    <w:rsid w:val="00A67857"/>
    <w:rsid w:val="00A67964"/>
    <w:rsid w:val="00A67A9D"/>
    <w:rsid w:val="00A67E40"/>
    <w:rsid w:val="00A67ED7"/>
    <w:rsid w:val="00A67EF1"/>
    <w:rsid w:val="00A67EF8"/>
    <w:rsid w:val="00A67F08"/>
    <w:rsid w:val="00A67F6B"/>
    <w:rsid w:val="00A70109"/>
    <w:rsid w:val="00A7010B"/>
    <w:rsid w:val="00A7016B"/>
    <w:rsid w:val="00A7024E"/>
    <w:rsid w:val="00A702D7"/>
    <w:rsid w:val="00A7046E"/>
    <w:rsid w:val="00A7047D"/>
    <w:rsid w:val="00A7064A"/>
    <w:rsid w:val="00A70A58"/>
    <w:rsid w:val="00A70BBA"/>
    <w:rsid w:val="00A7111B"/>
    <w:rsid w:val="00A71255"/>
    <w:rsid w:val="00A712EF"/>
    <w:rsid w:val="00A7186C"/>
    <w:rsid w:val="00A719FA"/>
    <w:rsid w:val="00A71A51"/>
    <w:rsid w:val="00A71F53"/>
    <w:rsid w:val="00A72448"/>
    <w:rsid w:val="00A726B3"/>
    <w:rsid w:val="00A7272A"/>
    <w:rsid w:val="00A72BD1"/>
    <w:rsid w:val="00A72F60"/>
    <w:rsid w:val="00A733D5"/>
    <w:rsid w:val="00A735A7"/>
    <w:rsid w:val="00A737C4"/>
    <w:rsid w:val="00A7395C"/>
    <w:rsid w:val="00A73B0F"/>
    <w:rsid w:val="00A73B7A"/>
    <w:rsid w:val="00A73D2B"/>
    <w:rsid w:val="00A73DF3"/>
    <w:rsid w:val="00A73E50"/>
    <w:rsid w:val="00A74133"/>
    <w:rsid w:val="00A74179"/>
    <w:rsid w:val="00A743D6"/>
    <w:rsid w:val="00A74579"/>
    <w:rsid w:val="00A7476F"/>
    <w:rsid w:val="00A747EC"/>
    <w:rsid w:val="00A74998"/>
    <w:rsid w:val="00A75039"/>
    <w:rsid w:val="00A7578A"/>
    <w:rsid w:val="00A7579E"/>
    <w:rsid w:val="00A75869"/>
    <w:rsid w:val="00A75A1F"/>
    <w:rsid w:val="00A75DAE"/>
    <w:rsid w:val="00A75E25"/>
    <w:rsid w:val="00A762A6"/>
    <w:rsid w:val="00A762CD"/>
    <w:rsid w:val="00A76A0B"/>
    <w:rsid w:val="00A76B45"/>
    <w:rsid w:val="00A76B86"/>
    <w:rsid w:val="00A76E1A"/>
    <w:rsid w:val="00A76F6C"/>
    <w:rsid w:val="00A77156"/>
    <w:rsid w:val="00A77478"/>
    <w:rsid w:val="00A7776B"/>
    <w:rsid w:val="00A77888"/>
    <w:rsid w:val="00A77A4F"/>
    <w:rsid w:val="00A77ACF"/>
    <w:rsid w:val="00A77CB6"/>
    <w:rsid w:val="00A8000B"/>
    <w:rsid w:val="00A80117"/>
    <w:rsid w:val="00A80156"/>
    <w:rsid w:val="00A80469"/>
    <w:rsid w:val="00A80571"/>
    <w:rsid w:val="00A808BF"/>
    <w:rsid w:val="00A80B4E"/>
    <w:rsid w:val="00A80C98"/>
    <w:rsid w:val="00A80FDF"/>
    <w:rsid w:val="00A8101D"/>
    <w:rsid w:val="00A8167C"/>
    <w:rsid w:val="00A81866"/>
    <w:rsid w:val="00A81A6D"/>
    <w:rsid w:val="00A81A8B"/>
    <w:rsid w:val="00A8218D"/>
    <w:rsid w:val="00A8222A"/>
    <w:rsid w:val="00A8232F"/>
    <w:rsid w:val="00A8273B"/>
    <w:rsid w:val="00A827AD"/>
    <w:rsid w:val="00A82825"/>
    <w:rsid w:val="00A8289F"/>
    <w:rsid w:val="00A82974"/>
    <w:rsid w:val="00A82CB1"/>
    <w:rsid w:val="00A82D01"/>
    <w:rsid w:val="00A82D4F"/>
    <w:rsid w:val="00A83030"/>
    <w:rsid w:val="00A8337F"/>
    <w:rsid w:val="00A83449"/>
    <w:rsid w:val="00A8378E"/>
    <w:rsid w:val="00A83BA9"/>
    <w:rsid w:val="00A83CCD"/>
    <w:rsid w:val="00A83D02"/>
    <w:rsid w:val="00A840B1"/>
    <w:rsid w:val="00A84112"/>
    <w:rsid w:val="00A84172"/>
    <w:rsid w:val="00A848E4"/>
    <w:rsid w:val="00A84A35"/>
    <w:rsid w:val="00A84B8D"/>
    <w:rsid w:val="00A851F8"/>
    <w:rsid w:val="00A8521A"/>
    <w:rsid w:val="00A85311"/>
    <w:rsid w:val="00A85646"/>
    <w:rsid w:val="00A856F9"/>
    <w:rsid w:val="00A856FE"/>
    <w:rsid w:val="00A8596E"/>
    <w:rsid w:val="00A85ADC"/>
    <w:rsid w:val="00A85B98"/>
    <w:rsid w:val="00A85C81"/>
    <w:rsid w:val="00A85D30"/>
    <w:rsid w:val="00A8612A"/>
    <w:rsid w:val="00A8632A"/>
    <w:rsid w:val="00A863B8"/>
    <w:rsid w:val="00A86617"/>
    <w:rsid w:val="00A866D0"/>
    <w:rsid w:val="00A86885"/>
    <w:rsid w:val="00A869A3"/>
    <w:rsid w:val="00A86AA2"/>
    <w:rsid w:val="00A86FE3"/>
    <w:rsid w:val="00A8722C"/>
    <w:rsid w:val="00A87297"/>
    <w:rsid w:val="00A8739F"/>
    <w:rsid w:val="00A876F5"/>
    <w:rsid w:val="00A87A92"/>
    <w:rsid w:val="00A87DA1"/>
    <w:rsid w:val="00A87E95"/>
    <w:rsid w:val="00A90012"/>
    <w:rsid w:val="00A901CE"/>
    <w:rsid w:val="00A902A2"/>
    <w:rsid w:val="00A902EC"/>
    <w:rsid w:val="00A9032F"/>
    <w:rsid w:val="00A9038D"/>
    <w:rsid w:val="00A90548"/>
    <w:rsid w:val="00A90730"/>
    <w:rsid w:val="00A90C68"/>
    <w:rsid w:val="00A90E9C"/>
    <w:rsid w:val="00A91146"/>
    <w:rsid w:val="00A9117F"/>
    <w:rsid w:val="00A91297"/>
    <w:rsid w:val="00A91551"/>
    <w:rsid w:val="00A916CD"/>
    <w:rsid w:val="00A9181D"/>
    <w:rsid w:val="00A91CA5"/>
    <w:rsid w:val="00A91CA9"/>
    <w:rsid w:val="00A91CAF"/>
    <w:rsid w:val="00A91D1D"/>
    <w:rsid w:val="00A91D34"/>
    <w:rsid w:val="00A91ED9"/>
    <w:rsid w:val="00A91FE2"/>
    <w:rsid w:val="00A9202A"/>
    <w:rsid w:val="00A92087"/>
    <w:rsid w:val="00A92156"/>
    <w:rsid w:val="00A9224E"/>
    <w:rsid w:val="00A92323"/>
    <w:rsid w:val="00A92350"/>
    <w:rsid w:val="00A924E9"/>
    <w:rsid w:val="00A92641"/>
    <w:rsid w:val="00A9275A"/>
    <w:rsid w:val="00A927F9"/>
    <w:rsid w:val="00A92939"/>
    <w:rsid w:val="00A92A61"/>
    <w:rsid w:val="00A92BF3"/>
    <w:rsid w:val="00A92E57"/>
    <w:rsid w:val="00A92E5E"/>
    <w:rsid w:val="00A9323C"/>
    <w:rsid w:val="00A9358C"/>
    <w:rsid w:val="00A93B1F"/>
    <w:rsid w:val="00A93DD8"/>
    <w:rsid w:val="00A93EDE"/>
    <w:rsid w:val="00A942BD"/>
    <w:rsid w:val="00A94430"/>
    <w:rsid w:val="00A9462D"/>
    <w:rsid w:val="00A94751"/>
    <w:rsid w:val="00A949A1"/>
    <w:rsid w:val="00A94CD3"/>
    <w:rsid w:val="00A94E4F"/>
    <w:rsid w:val="00A94FEA"/>
    <w:rsid w:val="00A951E3"/>
    <w:rsid w:val="00A9544C"/>
    <w:rsid w:val="00A95702"/>
    <w:rsid w:val="00A9598B"/>
    <w:rsid w:val="00A95A4D"/>
    <w:rsid w:val="00A95A5C"/>
    <w:rsid w:val="00A95CF4"/>
    <w:rsid w:val="00A95D75"/>
    <w:rsid w:val="00A95F7A"/>
    <w:rsid w:val="00A96349"/>
    <w:rsid w:val="00A96557"/>
    <w:rsid w:val="00A9687E"/>
    <w:rsid w:val="00A96B04"/>
    <w:rsid w:val="00A96B13"/>
    <w:rsid w:val="00A96B1E"/>
    <w:rsid w:val="00A96E7C"/>
    <w:rsid w:val="00A96ECC"/>
    <w:rsid w:val="00A96F45"/>
    <w:rsid w:val="00A9725C"/>
    <w:rsid w:val="00A976C4"/>
    <w:rsid w:val="00A978AF"/>
    <w:rsid w:val="00A978E3"/>
    <w:rsid w:val="00A97ACE"/>
    <w:rsid w:val="00A97B19"/>
    <w:rsid w:val="00A97C9C"/>
    <w:rsid w:val="00A97D23"/>
    <w:rsid w:val="00A97FA5"/>
    <w:rsid w:val="00A97FA8"/>
    <w:rsid w:val="00AA0013"/>
    <w:rsid w:val="00AA03BA"/>
    <w:rsid w:val="00AA04BF"/>
    <w:rsid w:val="00AA09A6"/>
    <w:rsid w:val="00AA0BD6"/>
    <w:rsid w:val="00AA0E53"/>
    <w:rsid w:val="00AA152A"/>
    <w:rsid w:val="00AA190B"/>
    <w:rsid w:val="00AA1914"/>
    <w:rsid w:val="00AA1996"/>
    <w:rsid w:val="00AA1C36"/>
    <w:rsid w:val="00AA1C99"/>
    <w:rsid w:val="00AA1E70"/>
    <w:rsid w:val="00AA1FC5"/>
    <w:rsid w:val="00AA2337"/>
    <w:rsid w:val="00AA24AF"/>
    <w:rsid w:val="00AA24CB"/>
    <w:rsid w:val="00AA2837"/>
    <w:rsid w:val="00AA2926"/>
    <w:rsid w:val="00AA2AB8"/>
    <w:rsid w:val="00AA2D9D"/>
    <w:rsid w:val="00AA2F81"/>
    <w:rsid w:val="00AA30E1"/>
    <w:rsid w:val="00AA3808"/>
    <w:rsid w:val="00AA3BD2"/>
    <w:rsid w:val="00AA3D29"/>
    <w:rsid w:val="00AA40A3"/>
    <w:rsid w:val="00AA41CB"/>
    <w:rsid w:val="00AA41D2"/>
    <w:rsid w:val="00AA4278"/>
    <w:rsid w:val="00AA43AA"/>
    <w:rsid w:val="00AA48DE"/>
    <w:rsid w:val="00AA5268"/>
    <w:rsid w:val="00AA5558"/>
    <w:rsid w:val="00AA5682"/>
    <w:rsid w:val="00AA5783"/>
    <w:rsid w:val="00AA57E3"/>
    <w:rsid w:val="00AA5A90"/>
    <w:rsid w:val="00AA5C39"/>
    <w:rsid w:val="00AA5D0E"/>
    <w:rsid w:val="00AA60A6"/>
    <w:rsid w:val="00AA614A"/>
    <w:rsid w:val="00AA6691"/>
    <w:rsid w:val="00AA6947"/>
    <w:rsid w:val="00AA69BF"/>
    <w:rsid w:val="00AA6A06"/>
    <w:rsid w:val="00AA6F09"/>
    <w:rsid w:val="00AA7326"/>
    <w:rsid w:val="00AA7327"/>
    <w:rsid w:val="00AA737F"/>
    <w:rsid w:val="00AA73A8"/>
    <w:rsid w:val="00AA73AB"/>
    <w:rsid w:val="00AA7549"/>
    <w:rsid w:val="00AA75F3"/>
    <w:rsid w:val="00AA7742"/>
    <w:rsid w:val="00AA78D3"/>
    <w:rsid w:val="00AA7BDC"/>
    <w:rsid w:val="00AA7D47"/>
    <w:rsid w:val="00AA7E53"/>
    <w:rsid w:val="00AA7F0C"/>
    <w:rsid w:val="00AB0226"/>
    <w:rsid w:val="00AB0232"/>
    <w:rsid w:val="00AB026A"/>
    <w:rsid w:val="00AB0356"/>
    <w:rsid w:val="00AB03CA"/>
    <w:rsid w:val="00AB052D"/>
    <w:rsid w:val="00AB05AF"/>
    <w:rsid w:val="00AB06C7"/>
    <w:rsid w:val="00AB0B47"/>
    <w:rsid w:val="00AB1121"/>
    <w:rsid w:val="00AB16CE"/>
    <w:rsid w:val="00AB179C"/>
    <w:rsid w:val="00AB1D62"/>
    <w:rsid w:val="00AB1EA4"/>
    <w:rsid w:val="00AB1EDF"/>
    <w:rsid w:val="00AB271A"/>
    <w:rsid w:val="00AB27EC"/>
    <w:rsid w:val="00AB2ECF"/>
    <w:rsid w:val="00AB2FC6"/>
    <w:rsid w:val="00AB351C"/>
    <w:rsid w:val="00AB37F0"/>
    <w:rsid w:val="00AB3A37"/>
    <w:rsid w:val="00AB3B1A"/>
    <w:rsid w:val="00AB3BA7"/>
    <w:rsid w:val="00AB3E30"/>
    <w:rsid w:val="00AB40E3"/>
    <w:rsid w:val="00AB41A7"/>
    <w:rsid w:val="00AB4240"/>
    <w:rsid w:val="00AB4293"/>
    <w:rsid w:val="00AB463E"/>
    <w:rsid w:val="00AB46E9"/>
    <w:rsid w:val="00AB4B90"/>
    <w:rsid w:val="00AB4BEF"/>
    <w:rsid w:val="00AB4DD6"/>
    <w:rsid w:val="00AB4E21"/>
    <w:rsid w:val="00AB4FD0"/>
    <w:rsid w:val="00AB5094"/>
    <w:rsid w:val="00AB523D"/>
    <w:rsid w:val="00AB5357"/>
    <w:rsid w:val="00AB54A8"/>
    <w:rsid w:val="00AB54EF"/>
    <w:rsid w:val="00AB56CC"/>
    <w:rsid w:val="00AB5856"/>
    <w:rsid w:val="00AB61E8"/>
    <w:rsid w:val="00AB6401"/>
    <w:rsid w:val="00AB6ACD"/>
    <w:rsid w:val="00AB6B25"/>
    <w:rsid w:val="00AB6B58"/>
    <w:rsid w:val="00AB6BD6"/>
    <w:rsid w:val="00AB6C14"/>
    <w:rsid w:val="00AB6D24"/>
    <w:rsid w:val="00AB6D29"/>
    <w:rsid w:val="00AB6F42"/>
    <w:rsid w:val="00AB7038"/>
    <w:rsid w:val="00AB7191"/>
    <w:rsid w:val="00AB77A3"/>
    <w:rsid w:val="00AB7C7D"/>
    <w:rsid w:val="00AB7CFA"/>
    <w:rsid w:val="00AB7D6A"/>
    <w:rsid w:val="00AB7E6A"/>
    <w:rsid w:val="00AC04B2"/>
    <w:rsid w:val="00AC07D1"/>
    <w:rsid w:val="00AC07ED"/>
    <w:rsid w:val="00AC0942"/>
    <w:rsid w:val="00AC0C85"/>
    <w:rsid w:val="00AC0CA6"/>
    <w:rsid w:val="00AC0E7C"/>
    <w:rsid w:val="00AC0F74"/>
    <w:rsid w:val="00AC0F7B"/>
    <w:rsid w:val="00AC13D5"/>
    <w:rsid w:val="00AC14B4"/>
    <w:rsid w:val="00AC154F"/>
    <w:rsid w:val="00AC15E4"/>
    <w:rsid w:val="00AC160E"/>
    <w:rsid w:val="00AC17ED"/>
    <w:rsid w:val="00AC184B"/>
    <w:rsid w:val="00AC18CC"/>
    <w:rsid w:val="00AC1E92"/>
    <w:rsid w:val="00AC1F7B"/>
    <w:rsid w:val="00AC2068"/>
    <w:rsid w:val="00AC209B"/>
    <w:rsid w:val="00AC23DB"/>
    <w:rsid w:val="00AC2E78"/>
    <w:rsid w:val="00AC2FAB"/>
    <w:rsid w:val="00AC3252"/>
    <w:rsid w:val="00AC36E9"/>
    <w:rsid w:val="00AC3960"/>
    <w:rsid w:val="00AC3A8D"/>
    <w:rsid w:val="00AC3D6F"/>
    <w:rsid w:val="00AC44AE"/>
    <w:rsid w:val="00AC4583"/>
    <w:rsid w:val="00AC4664"/>
    <w:rsid w:val="00AC46BF"/>
    <w:rsid w:val="00AC46D6"/>
    <w:rsid w:val="00AC49A7"/>
    <w:rsid w:val="00AC4C2A"/>
    <w:rsid w:val="00AC4C86"/>
    <w:rsid w:val="00AC4D23"/>
    <w:rsid w:val="00AC4D44"/>
    <w:rsid w:val="00AC4E48"/>
    <w:rsid w:val="00AC5281"/>
    <w:rsid w:val="00AC5AD5"/>
    <w:rsid w:val="00AC5C76"/>
    <w:rsid w:val="00AC5E60"/>
    <w:rsid w:val="00AC60D6"/>
    <w:rsid w:val="00AC6109"/>
    <w:rsid w:val="00AC6131"/>
    <w:rsid w:val="00AC633F"/>
    <w:rsid w:val="00AC6346"/>
    <w:rsid w:val="00AC64B4"/>
    <w:rsid w:val="00AC6A27"/>
    <w:rsid w:val="00AC6B43"/>
    <w:rsid w:val="00AC6DA1"/>
    <w:rsid w:val="00AC6DED"/>
    <w:rsid w:val="00AC6E28"/>
    <w:rsid w:val="00AC6FDF"/>
    <w:rsid w:val="00AC721D"/>
    <w:rsid w:val="00AC72B2"/>
    <w:rsid w:val="00AC733D"/>
    <w:rsid w:val="00AC76C1"/>
    <w:rsid w:val="00AC7844"/>
    <w:rsid w:val="00AC7CFB"/>
    <w:rsid w:val="00AC7F97"/>
    <w:rsid w:val="00AD02BF"/>
    <w:rsid w:val="00AD0421"/>
    <w:rsid w:val="00AD047D"/>
    <w:rsid w:val="00AD04C0"/>
    <w:rsid w:val="00AD0515"/>
    <w:rsid w:val="00AD0585"/>
    <w:rsid w:val="00AD05A1"/>
    <w:rsid w:val="00AD07A8"/>
    <w:rsid w:val="00AD0A67"/>
    <w:rsid w:val="00AD0AC6"/>
    <w:rsid w:val="00AD0C23"/>
    <w:rsid w:val="00AD0E75"/>
    <w:rsid w:val="00AD0E7F"/>
    <w:rsid w:val="00AD129D"/>
    <w:rsid w:val="00AD12EF"/>
    <w:rsid w:val="00AD1415"/>
    <w:rsid w:val="00AD141F"/>
    <w:rsid w:val="00AD14E8"/>
    <w:rsid w:val="00AD17F8"/>
    <w:rsid w:val="00AD1FA8"/>
    <w:rsid w:val="00AD2082"/>
    <w:rsid w:val="00AD2469"/>
    <w:rsid w:val="00AD24FD"/>
    <w:rsid w:val="00AD26ED"/>
    <w:rsid w:val="00AD2AF5"/>
    <w:rsid w:val="00AD2E6F"/>
    <w:rsid w:val="00AD32BA"/>
    <w:rsid w:val="00AD3343"/>
    <w:rsid w:val="00AD3417"/>
    <w:rsid w:val="00AD3587"/>
    <w:rsid w:val="00AD35FC"/>
    <w:rsid w:val="00AD37B2"/>
    <w:rsid w:val="00AD3859"/>
    <w:rsid w:val="00AD39B0"/>
    <w:rsid w:val="00AD3BCB"/>
    <w:rsid w:val="00AD3D74"/>
    <w:rsid w:val="00AD3DB2"/>
    <w:rsid w:val="00AD4340"/>
    <w:rsid w:val="00AD4905"/>
    <w:rsid w:val="00AD492F"/>
    <w:rsid w:val="00AD4C54"/>
    <w:rsid w:val="00AD4D58"/>
    <w:rsid w:val="00AD4D88"/>
    <w:rsid w:val="00AD4EF2"/>
    <w:rsid w:val="00AD51C4"/>
    <w:rsid w:val="00AD5480"/>
    <w:rsid w:val="00AD5D08"/>
    <w:rsid w:val="00AD6104"/>
    <w:rsid w:val="00AD67F6"/>
    <w:rsid w:val="00AD680F"/>
    <w:rsid w:val="00AD6864"/>
    <w:rsid w:val="00AD68F2"/>
    <w:rsid w:val="00AD6A3A"/>
    <w:rsid w:val="00AD6FFA"/>
    <w:rsid w:val="00AD7073"/>
    <w:rsid w:val="00AD7539"/>
    <w:rsid w:val="00AD77AB"/>
    <w:rsid w:val="00AD7BFA"/>
    <w:rsid w:val="00AE0193"/>
    <w:rsid w:val="00AE01C8"/>
    <w:rsid w:val="00AE01F6"/>
    <w:rsid w:val="00AE030E"/>
    <w:rsid w:val="00AE0315"/>
    <w:rsid w:val="00AE0334"/>
    <w:rsid w:val="00AE07C2"/>
    <w:rsid w:val="00AE0932"/>
    <w:rsid w:val="00AE0A71"/>
    <w:rsid w:val="00AE0D33"/>
    <w:rsid w:val="00AE1441"/>
    <w:rsid w:val="00AE18EB"/>
    <w:rsid w:val="00AE1B0F"/>
    <w:rsid w:val="00AE1BFB"/>
    <w:rsid w:val="00AE1FE6"/>
    <w:rsid w:val="00AE20D5"/>
    <w:rsid w:val="00AE2424"/>
    <w:rsid w:val="00AE25E9"/>
    <w:rsid w:val="00AE291A"/>
    <w:rsid w:val="00AE2D9B"/>
    <w:rsid w:val="00AE2DCA"/>
    <w:rsid w:val="00AE36D6"/>
    <w:rsid w:val="00AE37BD"/>
    <w:rsid w:val="00AE3A60"/>
    <w:rsid w:val="00AE3A68"/>
    <w:rsid w:val="00AE4585"/>
    <w:rsid w:val="00AE4688"/>
    <w:rsid w:val="00AE4689"/>
    <w:rsid w:val="00AE47D1"/>
    <w:rsid w:val="00AE487C"/>
    <w:rsid w:val="00AE48FD"/>
    <w:rsid w:val="00AE4A58"/>
    <w:rsid w:val="00AE4E65"/>
    <w:rsid w:val="00AE512A"/>
    <w:rsid w:val="00AE53BA"/>
    <w:rsid w:val="00AE5905"/>
    <w:rsid w:val="00AE5C84"/>
    <w:rsid w:val="00AE5CAB"/>
    <w:rsid w:val="00AE622E"/>
    <w:rsid w:val="00AE63BE"/>
    <w:rsid w:val="00AE650C"/>
    <w:rsid w:val="00AE6598"/>
    <w:rsid w:val="00AE678E"/>
    <w:rsid w:val="00AE6CE7"/>
    <w:rsid w:val="00AE6DEE"/>
    <w:rsid w:val="00AE73DA"/>
    <w:rsid w:val="00AE7695"/>
    <w:rsid w:val="00AE7B67"/>
    <w:rsid w:val="00AE7CEA"/>
    <w:rsid w:val="00AE7F06"/>
    <w:rsid w:val="00AE7FEA"/>
    <w:rsid w:val="00AF015F"/>
    <w:rsid w:val="00AF04A5"/>
    <w:rsid w:val="00AF0822"/>
    <w:rsid w:val="00AF0A3C"/>
    <w:rsid w:val="00AF1101"/>
    <w:rsid w:val="00AF1152"/>
    <w:rsid w:val="00AF125E"/>
    <w:rsid w:val="00AF135A"/>
    <w:rsid w:val="00AF1864"/>
    <w:rsid w:val="00AF1954"/>
    <w:rsid w:val="00AF1ACA"/>
    <w:rsid w:val="00AF1B4E"/>
    <w:rsid w:val="00AF1D96"/>
    <w:rsid w:val="00AF1F88"/>
    <w:rsid w:val="00AF21DF"/>
    <w:rsid w:val="00AF2732"/>
    <w:rsid w:val="00AF27E1"/>
    <w:rsid w:val="00AF288E"/>
    <w:rsid w:val="00AF293A"/>
    <w:rsid w:val="00AF2A9E"/>
    <w:rsid w:val="00AF2A9F"/>
    <w:rsid w:val="00AF2CEF"/>
    <w:rsid w:val="00AF2F24"/>
    <w:rsid w:val="00AF2F72"/>
    <w:rsid w:val="00AF3085"/>
    <w:rsid w:val="00AF3455"/>
    <w:rsid w:val="00AF3520"/>
    <w:rsid w:val="00AF354B"/>
    <w:rsid w:val="00AF3716"/>
    <w:rsid w:val="00AF39B1"/>
    <w:rsid w:val="00AF3A7A"/>
    <w:rsid w:val="00AF3BE2"/>
    <w:rsid w:val="00AF3F59"/>
    <w:rsid w:val="00AF3FED"/>
    <w:rsid w:val="00AF400E"/>
    <w:rsid w:val="00AF4205"/>
    <w:rsid w:val="00AF43A0"/>
    <w:rsid w:val="00AF4495"/>
    <w:rsid w:val="00AF4618"/>
    <w:rsid w:val="00AF4942"/>
    <w:rsid w:val="00AF4CB7"/>
    <w:rsid w:val="00AF4D9C"/>
    <w:rsid w:val="00AF4EF5"/>
    <w:rsid w:val="00AF4F06"/>
    <w:rsid w:val="00AF4FA1"/>
    <w:rsid w:val="00AF530A"/>
    <w:rsid w:val="00AF5507"/>
    <w:rsid w:val="00AF582C"/>
    <w:rsid w:val="00AF596E"/>
    <w:rsid w:val="00AF597A"/>
    <w:rsid w:val="00AF5C07"/>
    <w:rsid w:val="00AF5D0A"/>
    <w:rsid w:val="00AF5D6D"/>
    <w:rsid w:val="00AF5E84"/>
    <w:rsid w:val="00AF5FD6"/>
    <w:rsid w:val="00AF609E"/>
    <w:rsid w:val="00AF6195"/>
    <w:rsid w:val="00AF61AA"/>
    <w:rsid w:val="00AF62E0"/>
    <w:rsid w:val="00AF6349"/>
    <w:rsid w:val="00AF6353"/>
    <w:rsid w:val="00AF66CB"/>
    <w:rsid w:val="00AF678F"/>
    <w:rsid w:val="00AF6931"/>
    <w:rsid w:val="00AF698B"/>
    <w:rsid w:val="00AF6F36"/>
    <w:rsid w:val="00AF7039"/>
    <w:rsid w:val="00AF70CC"/>
    <w:rsid w:val="00AF721D"/>
    <w:rsid w:val="00AF7375"/>
    <w:rsid w:val="00AF746E"/>
    <w:rsid w:val="00AF74FC"/>
    <w:rsid w:val="00AF76B2"/>
    <w:rsid w:val="00AF76B6"/>
    <w:rsid w:val="00AF7A75"/>
    <w:rsid w:val="00AF7B4D"/>
    <w:rsid w:val="00AF7C4D"/>
    <w:rsid w:val="00B00100"/>
    <w:rsid w:val="00B0016D"/>
    <w:rsid w:val="00B00211"/>
    <w:rsid w:val="00B003AF"/>
    <w:rsid w:val="00B003B4"/>
    <w:rsid w:val="00B004C8"/>
    <w:rsid w:val="00B005AD"/>
    <w:rsid w:val="00B00815"/>
    <w:rsid w:val="00B00AB9"/>
    <w:rsid w:val="00B00BDC"/>
    <w:rsid w:val="00B00C47"/>
    <w:rsid w:val="00B00D60"/>
    <w:rsid w:val="00B00E62"/>
    <w:rsid w:val="00B00F21"/>
    <w:rsid w:val="00B01462"/>
    <w:rsid w:val="00B01719"/>
    <w:rsid w:val="00B01772"/>
    <w:rsid w:val="00B0190C"/>
    <w:rsid w:val="00B01C3E"/>
    <w:rsid w:val="00B01CA1"/>
    <w:rsid w:val="00B01D9A"/>
    <w:rsid w:val="00B01F66"/>
    <w:rsid w:val="00B01FF1"/>
    <w:rsid w:val="00B020A9"/>
    <w:rsid w:val="00B023B1"/>
    <w:rsid w:val="00B023B6"/>
    <w:rsid w:val="00B027F2"/>
    <w:rsid w:val="00B028A0"/>
    <w:rsid w:val="00B028F4"/>
    <w:rsid w:val="00B0296C"/>
    <w:rsid w:val="00B02B15"/>
    <w:rsid w:val="00B02D80"/>
    <w:rsid w:val="00B03793"/>
    <w:rsid w:val="00B037C3"/>
    <w:rsid w:val="00B039F9"/>
    <w:rsid w:val="00B03A24"/>
    <w:rsid w:val="00B03B05"/>
    <w:rsid w:val="00B03BB3"/>
    <w:rsid w:val="00B03ECE"/>
    <w:rsid w:val="00B03F88"/>
    <w:rsid w:val="00B0416D"/>
    <w:rsid w:val="00B0418D"/>
    <w:rsid w:val="00B044B6"/>
    <w:rsid w:val="00B0485B"/>
    <w:rsid w:val="00B048FB"/>
    <w:rsid w:val="00B04D41"/>
    <w:rsid w:val="00B04EC0"/>
    <w:rsid w:val="00B04FE9"/>
    <w:rsid w:val="00B058E9"/>
    <w:rsid w:val="00B05C7D"/>
    <w:rsid w:val="00B05E2D"/>
    <w:rsid w:val="00B06761"/>
    <w:rsid w:val="00B0688C"/>
    <w:rsid w:val="00B069A9"/>
    <w:rsid w:val="00B069AE"/>
    <w:rsid w:val="00B06A2B"/>
    <w:rsid w:val="00B06A74"/>
    <w:rsid w:val="00B06CA2"/>
    <w:rsid w:val="00B06D25"/>
    <w:rsid w:val="00B06D65"/>
    <w:rsid w:val="00B06E71"/>
    <w:rsid w:val="00B06EB4"/>
    <w:rsid w:val="00B06FD1"/>
    <w:rsid w:val="00B073A5"/>
    <w:rsid w:val="00B07A00"/>
    <w:rsid w:val="00B07BBC"/>
    <w:rsid w:val="00B07D72"/>
    <w:rsid w:val="00B07DB6"/>
    <w:rsid w:val="00B07F64"/>
    <w:rsid w:val="00B07F77"/>
    <w:rsid w:val="00B10146"/>
    <w:rsid w:val="00B105D6"/>
    <w:rsid w:val="00B1062D"/>
    <w:rsid w:val="00B1065A"/>
    <w:rsid w:val="00B10691"/>
    <w:rsid w:val="00B1083F"/>
    <w:rsid w:val="00B108E6"/>
    <w:rsid w:val="00B10BEE"/>
    <w:rsid w:val="00B10F9C"/>
    <w:rsid w:val="00B11171"/>
    <w:rsid w:val="00B1186C"/>
    <w:rsid w:val="00B11A1C"/>
    <w:rsid w:val="00B11BF6"/>
    <w:rsid w:val="00B11C74"/>
    <w:rsid w:val="00B11C90"/>
    <w:rsid w:val="00B124EF"/>
    <w:rsid w:val="00B12622"/>
    <w:rsid w:val="00B1280E"/>
    <w:rsid w:val="00B12AFF"/>
    <w:rsid w:val="00B12B38"/>
    <w:rsid w:val="00B12B87"/>
    <w:rsid w:val="00B12C14"/>
    <w:rsid w:val="00B1318E"/>
    <w:rsid w:val="00B13933"/>
    <w:rsid w:val="00B13B89"/>
    <w:rsid w:val="00B13CE3"/>
    <w:rsid w:val="00B13E70"/>
    <w:rsid w:val="00B13F4F"/>
    <w:rsid w:val="00B1414E"/>
    <w:rsid w:val="00B1430C"/>
    <w:rsid w:val="00B14728"/>
    <w:rsid w:val="00B147E0"/>
    <w:rsid w:val="00B149D8"/>
    <w:rsid w:val="00B14B67"/>
    <w:rsid w:val="00B14D01"/>
    <w:rsid w:val="00B14E82"/>
    <w:rsid w:val="00B151C3"/>
    <w:rsid w:val="00B15391"/>
    <w:rsid w:val="00B15B03"/>
    <w:rsid w:val="00B15CA4"/>
    <w:rsid w:val="00B15EA3"/>
    <w:rsid w:val="00B15EE1"/>
    <w:rsid w:val="00B16262"/>
    <w:rsid w:val="00B16274"/>
    <w:rsid w:val="00B16479"/>
    <w:rsid w:val="00B16513"/>
    <w:rsid w:val="00B16801"/>
    <w:rsid w:val="00B16844"/>
    <w:rsid w:val="00B16BC3"/>
    <w:rsid w:val="00B16CCF"/>
    <w:rsid w:val="00B16CD3"/>
    <w:rsid w:val="00B16D2D"/>
    <w:rsid w:val="00B16E43"/>
    <w:rsid w:val="00B16EB7"/>
    <w:rsid w:val="00B16FB6"/>
    <w:rsid w:val="00B16FD4"/>
    <w:rsid w:val="00B17184"/>
    <w:rsid w:val="00B1732E"/>
    <w:rsid w:val="00B174B9"/>
    <w:rsid w:val="00B1758B"/>
    <w:rsid w:val="00B17E21"/>
    <w:rsid w:val="00B20310"/>
    <w:rsid w:val="00B203A0"/>
    <w:rsid w:val="00B20516"/>
    <w:rsid w:val="00B207CC"/>
    <w:rsid w:val="00B207CF"/>
    <w:rsid w:val="00B2080E"/>
    <w:rsid w:val="00B20926"/>
    <w:rsid w:val="00B209ED"/>
    <w:rsid w:val="00B20A4C"/>
    <w:rsid w:val="00B20B9E"/>
    <w:rsid w:val="00B20C8A"/>
    <w:rsid w:val="00B20F04"/>
    <w:rsid w:val="00B21557"/>
    <w:rsid w:val="00B21604"/>
    <w:rsid w:val="00B2196D"/>
    <w:rsid w:val="00B219AC"/>
    <w:rsid w:val="00B21D9A"/>
    <w:rsid w:val="00B21E58"/>
    <w:rsid w:val="00B220CD"/>
    <w:rsid w:val="00B227F7"/>
    <w:rsid w:val="00B22B59"/>
    <w:rsid w:val="00B22C4F"/>
    <w:rsid w:val="00B22D8D"/>
    <w:rsid w:val="00B233B6"/>
    <w:rsid w:val="00B2347E"/>
    <w:rsid w:val="00B2348B"/>
    <w:rsid w:val="00B2354E"/>
    <w:rsid w:val="00B23572"/>
    <w:rsid w:val="00B23892"/>
    <w:rsid w:val="00B23A3F"/>
    <w:rsid w:val="00B23B70"/>
    <w:rsid w:val="00B23C6F"/>
    <w:rsid w:val="00B23FD1"/>
    <w:rsid w:val="00B2404A"/>
    <w:rsid w:val="00B242E0"/>
    <w:rsid w:val="00B2453C"/>
    <w:rsid w:val="00B2494B"/>
    <w:rsid w:val="00B24D95"/>
    <w:rsid w:val="00B24F73"/>
    <w:rsid w:val="00B25214"/>
    <w:rsid w:val="00B253B0"/>
    <w:rsid w:val="00B25672"/>
    <w:rsid w:val="00B25A18"/>
    <w:rsid w:val="00B25BB4"/>
    <w:rsid w:val="00B25BDA"/>
    <w:rsid w:val="00B25DD9"/>
    <w:rsid w:val="00B26163"/>
    <w:rsid w:val="00B262B0"/>
    <w:rsid w:val="00B263FA"/>
    <w:rsid w:val="00B26826"/>
    <w:rsid w:val="00B269A5"/>
    <w:rsid w:val="00B269F8"/>
    <w:rsid w:val="00B26A8C"/>
    <w:rsid w:val="00B26B53"/>
    <w:rsid w:val="00B26C22"/>
    <w:rsid w:val="00B26C61"/>
    <w:rsid w:val="00B26EB7"/>
    <w:rsid w:val="00B26FD5"/>
    <w:rsid w:val="00B270F3"/>
    <w:rsid w:val="00B2728B"/>
    <w:rsid w:val="00B273AC"/>
    <w:rsid w:val="00B27664"/>
    <w:rsid w:val="00B276F4"/>
    <w:rsid w:val="00B278EB"/>
    <w:rsid w:val="00B27A08"/>
    <w:rsid w:val="00B27A5A"/>
    <w:rsid w:val="00B27D7E"/>
    <w:rsid w:val="00B27D99"/>
    <w:rsid w:val="00B27E13"/>
    <w:rsid w:val="00B27ED6"/>
    <w:rsid w:val="00B3002D"/>
    <w:rsid w:val="00B301C4"/>
    <w:rsid w:val="00B30284"/>
    <w:rsid w:val="00B302D0"/>
    <w:rsid w:val="00B30330"/>
    <w:rsid w:val="00B3047F"/>
    <w:rsid w:val="00B305A4"/>
    <w:rsid w:val="00B30831"/>
    <w:rsid w:val="00B30929"/>
    <w:rsid w:val="00B30A37"/>
    <w:rsid w:val="00B30A7A"/>
    <w:rsid w:val="00B30C7F"/>
    <w:rsid w:val="00B30D2D"/>
    <w:rsid w:val="00B30D53"/>
    <w:rsid w:val="00B314A0"/>
    <w:rsid w:val="00B31808"/>
    <w:rsid w:val="00B31B1D"/>
    <w:rsid w:val="00B31F9E"/>
    <w:rsid w:val="00B31FDB"/>
    <w:rsid w:val="00B3207C"/>
    <w:rsid w:val="00B32084"/>
    <w:rsid w:val="00B32130"/>
    <w:rsid w:val="00B3217D"/>
    <w:rsid w:val="00B322CC"/>
    <w:rsid w:val="00B32455"/>
    <w:rsid w:val="00B3245C"/>
    <w:rsid w:val="00B3253C"/>
    <w:rsid w:val="00B32700"/>
    <w:rsid w:val="00B32818"/>
    <w:rsid w:val="00B32B22"/>
    <w:rsid w:val="00B32E46"/>
    <w:rsid w:val="00B3301F"/>
    <w:rsid w:val="00B3343F"/>
    <w:rsid w:val="00B335A5"/>
    <w:rsid w:val="00B33616"/>
    <w:rsid w:val="00B336B4"/>
    <w:rsid w:val="00B337CE"/>
    <w:rsid w:val="00B33956"/>
    <w:rsid w:val="00B339DB"/>
    <w:rsid w:val="00B33A39"/>
    <w:rsid w:val="00B33D59"/>
    <w:rsid w:val="00B33F00"/>
    <w:rsid w:val="00B33FD7"/>
    <w:rsid w:val="00B3418D"/>
    <w:rsid w:val="00B34C04"/>
    <w:rsid w:val="00B34D4F"/>
    <w:rsid w:val="00B34E51"/>
    <w:rsid w:val="00B350FE"/>
    <w:rsid w:val="00B35162"/>
    <w:rsid w:val="00B352A7"/>
    <w:rsid w:val="00B353E9"/>
    <w:rsid w:val="00B3540E"/>
    <w:rsid w:val="00B3557D"/>
    <w:rsid w:val="00B3559C"/>
    <w:rsid w:val="00B355EB"/>
    <w:rsid w:val="00B35AEC"/>
    <w:rsid w:val="00B3604F"/>
    <w:rsid w:val="00B36207"/>
    <w:rsid w:val="00B36325"/>
    <w:rsid w:val="00B36665"/>
    <w:rsid w:val="00B3671E"/>
    <w:rsid w:val="00B367AC"/>
    <w:rsid w:val="00B369B3"/>
    <w:rsid w:val="00B36A8E"/>
    <w:rsid w:val="00B36D21"/>
    <w:rsid w:val="00B36FC4"/>
    <w:rsid w:val="00B372F0"/>
    <w:rsid w:val="00B37340"/>
    <w:rsid w:val="00B373B2"/>
    <w:rsid w:val="00B376BE"/>
    <w:rsid w:val="00B37837"/>
    <w:rsid w:val="00B378D9"/>
    <w:rsid w:val="00B379CD"/>
    <w:rsid w:val="00B37ADC"/>
    <w:rsid w:val="00B37B35"/>
    <w:rsid w:val="00B37E99"/>
    <w:rsid w:val="00B37EAA"/>
    <w:rsid w:val="00B4010B"/>
    <w:rsid w:val="00B40131"/>
    <w:rsid w:val="00B4027F"/>
    <w:rsid w:val="00B40285"/>
    <w:rsid w:val="00B403A6"/>
    <w:rsid w:val="00B40474"/>
    <w:rsid w:val="00B404B2"/>
    <w:rsid w:val="00B405A5"/>
    <w:rsid w:val="00B40646"/>
    <w:rsid w:val="00B4095E"/>
    <w:rsid w:val="00B40B19"/>
    <w:rsid w:val="00B40B51"/>
    <w:rsid w:val="00B40EA5"/>
    <w:rsid w:val="00B40EF2"/>
    <w:rsid w:val="00B410E2"/>
    <w:rsid w:val="00B410F1"/>
    <w:rsid w:val="00B41559"/>
    <w:rsid w:val="00B41610"/>
    <w:rsid w:val="00B4163E"/>
    <w:rsid w:val="00B41979"/>
    <w:rsid w:val="00B419E3"/>
    <w:rsid w:val="00B41B71"/>
    <w:rsid w:val="00B41CF2"/>
    <w:rsid w:val="00B41D6A"/>
    <w:rsid w:val="00B42320"/>
    <w:rsid w:val="00B4239F"/>
    <w:rsid w:val="00B424D1"/>
    <w:rsid w:val="00B4256D"/>
    <w:rsid w:val="00B42C69"/>
    <w:rsid w:val="00B42CE2"/>
    <w:rsid w:val="00B42F03"/>
    <w:rsid w:val="00B42F06"/>
    <w:rsid w:val="00B43197"/>
    <w:rsid w:val="00B431E8"/>
    <w:rsid w:val="00B434D9"/>
    <w:rsid w:val="00B43911"/>
    <w:rsid w:val="00B43993"/>
    <w:rsid w:val="00B43A15"/>
    <w:rsid w:val="00B43FA6"/>
    <w:rsid w:val="00B4413A"/>
    <w:rsid w:val="00B4437D"/>
    <w:rsid w:val="00B4459E"/>
    <w:rsid w:val="00B4475A"/>
    <w:rsid w:val="00B4485B"/>
    <w:rsid w:val="00B448A8"/>
    <w:rsid w:val="00B44B49"/>
    <w:rsid w:val="00B44E66"/>
    <w:rsid w:val="00B44F58"/>
    <w:rsid w:val="00B45087"/>
    <w:rsid w:val="00B450E2"/>
    <w:rsid w:val="00B456B8"/>
    <w:rsid w:val="00B4580D"/>
    <w:rsid w:val="00B45C0D"/>
    <w:rsid w:val="00B45CCB"/>
    <w:rsid w:val="00B45DBD"/>
    <w:rsid w:val="00B45FDD"/>
    <w:rsid w:val="00B461C4"/>
    <w:rsid w:val="00B461F6"/>
    <w:rsid w:val="00B46218"/>
    <w:rsid w:val="00B46290"/>
    <w:rsid w:val="00B462AC"/>
    <w:rsid w:val="00B46797"/>
    <w:rsid w:val="00B469A7"/>
    <w:rsid w:val="00B46A6F"/>
    <w:rsid w:val="00B46D05"/>
    <w:rsid w:val="00B46DF4"/>
    <w:rsid w:val="00B46F36"/>
    <w:rsid w:val="00B46F50"/>
    <w:rsid w:val="00B4715F"/>
    <w:rsid w:val="00B471AA"/>
    <w:rsid w:val="00B479D4"/>
    <w:rsid w:val="00B47E19"/>
    <w:rsid w:val="00B500D4"/>
    <w:rsid w:val="00B5026A"/>
    <w:rsid w:val="00B5089C"/>
    <w:rsid w:val="00B50AAD"/>
    <w:rsid w:val="00B50B33"/>
    <w:rsid w:val="00B50D37"/>
    <w:rsid w:val="00B50F97"/>
    <w:rsid w:val="00B51221"/>
    <w:rsid w:val="00B5152F"/>
    <w:rsid w:val="00B5162A"/>
    <w:rsid w:val="00B516E6"/>
    <w:rsid w:val="00B51A2E"/>
    <w:rsid w:val="00B51B53"/>
    <w:rsid w:val="00B51BBD"/>
    <w:rsid w:val="00B51FCC"/>
    <w:rsid w:val="00B5206E"/>
    <w:rsid w:val="00B52211"/>
    <w:rsid w:val="00B52607"/>
    <w:rsid w:val="00B52845"/>
    <w:rsid w:val="00B5297E"/>
    <w:rsid w:val="00B529E4"/>
    <w:rsid w:val="00B52CFF"/>
    <w:rsid w:val="00B5305D"/>
    <w:rsid w:val="00B5334F"/>
    <w:rsid w:val="00B536E4"/>
    <w:rsid w:val="00B53702"/>
    <w:rsid w:val="00B53A2F"/>
    <w:rsid w:val="00B53AB5"/>
    <w:rsid w:val="00B53B83"/>
    <w:rsid w:val="00B53E03"/>
    <w:rsid w:val="00B5404F"/>
    <w:rsid w:val="00B5413A"/>
    <w:rsid w:val="00B541BF"/>
    <w:rsid w:val="00B54645"/>
    <w:rsid w:val="00B547E4"/>
    <w:rsid w:val="00B54A4A"/>
    <w:rsid w:val="00B54B8F"/>
    <w:rsid w:val="00B54C85"/>
    <w:rsid w:val="00B54CD6"/>
    <w:rsid w:val="00B54D5B"/>
    <w:rsid w:val="00B54FFF"/>
    <w:rsid w:val="00B55019"/>
    <w:rsid w:val="00B55032"/>
    <w:rsid w:val="00B5507A"/>
    <w:rsid w:val="00B559F8"/>
    <w:rsid w:val="00B55A2E"/>
    <w:rsid w:val="00B55E8B"/>
    <w:rsid w:val="00B55EC2"/>
    <w:rsid w:val="00B56044"/>
    <w:rsid w:val="00B563C6"/>
    <w:rsid w:val="00B56465"/>
    <w:rsid w:val="00B56558"/>
    <w:rsid w:val="00B5663F"/>
    <w:rsid w:val="00B56C2B"/>
    <w:rsid w:val="00B56CED"/>
    <w:rsid w:val="00B56F05"/>
    <w:rsid w:val="00B5700C"/>
    <w:rsid w:val="00B570E5"/>
    <w:rsid w:val="00B57202"/>
    <w:rsid w:val="00B573DA"/>
    <w:rsid w:val="00B57473"/>
    <w:rsid w:val="00B576B0"/>
    <w:rsid w:val="00B57813"/>
    <w:rsid w:val="00B57984"/>
    <w:rsid w:val="00B57A48"/>
    <w:rsid w:val="00B57B68"/>
    <w:rsid w:val="00B57B84"/>
    <w:rsid w:val="00B57BAE"/>
    <w:rsid w:val="00B57EB7"/>
    <w:rsid w:val="00B57FB3"/>
    <w:rsid w:val="00B60023"/>
    <w:rsid w:val="00B6017F"/>
    <w:rsid w:val="00B602A6"/>
    <w:rsid w:val="00B603AC"/>
    <w:rsid w:val="00B60596"/>
    <w:rsid w:val="00B6065C"/>
    <w:rsid w:val="00B60798"/>
    <w:rsid w:val="00B60947"/>
    <w:rsid w:val="00B60C07"/>
    <w:rsid w:val="00B60CC3"/>
    <w:rsid w:val="00B60E84"/>
    <w:rsid w:val="00B61679"/>
    <w:rsid w:val="00B6172B"/>
    <w:rsid w:val="00B61740"/>
    <w:rsid w:val="00B61807"/>
    <w:rsid w:val="00B61DF4"/>
    <w:rsid w:val="00B6213D"/>
    <w:rsid w:val="00B625DE"/>
    <w:rsid w:val="00B62909"/>
    <w:rsid w:val="00B62DBA"/>
    <w:rsid w:val="00B6351F"/>
    <w:rsid w:val="00B6359C"/>
    <w:rsid w:val="00B63658"/>
    <w:rsid w:val="00B636F6"/>
    <w:rsid w:val="00B6382C"/>
    <w:rsid w:val="00B63959"/>
    <w:rsid w:val="00B63AA2"/>
    <w:rsid w:val="00B63B0E"/>
    <w:rsid w:val="00B63C4F"/>
    <w:rsid w:val="00B63DD5"/>
    <w:rsid w:val="00B63EB6"/>
    <w:rsid w:val="00B63EEF"/>
    <w:rsid w:val="00B642AB"/>
    <w:rsid w:val="00B64359"/>
    <w:rsid w:val="00B64384"/>
    <w:rsid w:val="00B645B1"/>
    <w:rsid w:val="00B645CA"/>
    <w:rsid w:val="00B647BA"/>
    <w:rsid w:val="00B64D8F"/>
    <w:rsid w:val="00B64FD9"/>
    <w:rsid w:val="00B64FEB"/>
    <w:rsid w:val="00B65126"/>
    <w:rsid w:val="00B65313"/>
    <w:rsid w:val="00B656EE"/>
    <w:rsid w:val="00B6576D"/>
    <w:rsid w:val="00B65845"/>
    <w:rsid w:val="00B65F0B"/>
    <w:rsid w:val="00B65F38"/>
    <w:rsid w:val="00B6603A"/>
    <w:rsid w:val="00B6697C"/>
    <w:rsid w:val="00B670D0"/>
    <w:rsid w:val="00B67878"/>
    <w:rsid w:val="00B678B0"/>
    <w:rsid w:val="00B67B00"/>
    <w:rsid w:val="00B67BFD"/>
    <w:rsid w:val="00B67C6F"/>
    <w:rsid w:val="00B67E14"/>
    <w:rsid w:val="00B67E75"/>
    <w:rsid w:val="00B67EDD"/>
    <w:rsid w:val="00B67EEE"/>
    <w:rsid w:val="00B70336"/>
    <w:rsid w:val="00B7070E"/>
    <w:rsid w:val="00B70828"/>
    <w:rsid w:val="00B70B54"/>
    <w:rsid w:val="00B70D31"/>
    <w:rsid w:val="00B70D56"/>
    <w:rsid w:val="00B712D0"/>
    <w:rsid w:val="00B7134E"/>
    <w:rsid w:val="00B7136C"/>
    <w:rsid w:val="00B713A1"/>
    <w:rsid w:val="00B7186E"/>
    <w:rsid w:val="00B718A6"/>
    <w:rsid w:val="00B71A27"/>
    <w:rsid w:val="00B71D04"/>
    <w:rsid w:val="00B71DCA"/>
    <w:rsid w:val="00B71FA6"/>
    <w:rsid w:val="00B72202"/>
    <w:rsid w:val="00B72391"/>
    <w:rsid w:val="00B729E6"/>
    <w:rsid w:val="00B72CEA"/>
    <w:rsid w:val="00B72DE6"/>
    <w:rsid w:val="00B73045"/>
    <w:rsid w:val="00B7306C"/>
    <w:rsid w:val="00B73287"/>
    <w:rsid w:val="00B734B9"/>
    <w:rsid w:val="00B73509"/>
    <w:rsid w:val="00B735C4"/>
    <w:rsid w:val="00B7399F"/>
    <w:rsid w:val="00B73C37"/>
    <w:rsid w:val="00B73C4D"/>
    <w:rsid w:val="00B7411F"/>
    <w:rsid w:val="00B7441A"/>
    <w:rsid w:val="00B747DE"/>
    <w:rsid w:val="00B74914"/>
    <w:rsid w:val="00B74CEE"/>
    <w:rsid w:val="00B7540E"/>
    <w:rsid w:val="00B7544B"/>
    <w:rsid w:val="00B75771"/>
    <w:rsid w:val="00B75BC7"/>
    <w:rsid w:val="00B75C0A"/>
    <w:rsid w:val="00B75C95"/>
    <w:rsid w:val="00B75CF1"/>
    <w:rsid w:val="00B75D66"/>
    <w:rsid w:val="00B75FDD"/>
    <w:rsid w:val="00B7605E"/>
    <w:rsid w:val="00B7615E"/>
    <w:rsid w:val="00B7636F"/>
    <w:rsid w:val="00B766C1"/>
    <w:rsid w:val="00B7678F"/>
    <w:rsid w:val="00B767B2"/>
    <w:rsid w:val="00B76AC4"/>
    <w:rsid w:val="00B76B55"/>
    <w:rsid w:val="00B76FE5"/>
    <w:rsid w:val="00B770F2"/>
    <w:rsid w:val="00B775C9"/>
    <w:rsid w:val="00B77760"/>
    <w:rsid w:val="00B77D0E"/>
    <w:rsid w:val="00B77E62"/>
    <w:rsid w:val="00B77F12"/>
    <w:rsid w:val="00B77F9F"/>
    <w:rsid w:val="00B80015"/>
    <w:rsid w:val="00B8067B"/>
    <w:rsid w:val="00B808BE"/>
    <w:rsid w:val="00B808EF"/>
    <w:rsid w:val="00B80995"/>
    <w:rsid w:val="00B80A81"/>
    <w:rsid w:val="00B80C4F"/>
    <w:rsid w:val="00B80D43"/>
    <w:rsid w:val="00B80E48"/>
    <w:rsid w:val="00B80F4C"/>
    <w:rsid w:val="00B81177"/>
    <w:rsid w:val="00B811B2"/>
    <w:rsid w:val="00B81801"/>
    <w:rsid w:val="00B818B9"/>
    <w:rsid w:val="00B8198E"/>
    <w:rsid w:val="00B81B83"/>
    <w:rsid w:val="00B81EC3"/>
    <w:rsid w:val="00B81F06"/>
    <w:rsid w:val="00B8214E"/>
    <w:rsid w:val="00B821A4"/>
    <w:rsid w:val="00B826AE"/>
    <w:rsid w:val="00B82B70"/>
    <w:rsid w:val="00B82BE5"/>
    <w:rsid w:val="00B8373E"/>
    <w:rsid w:val="00B839B2"/>
    <w:rsid w:val="00B83B9F"/>
    <w:rsid w:val="00B83CDA"/>
    <w:rsid w:val="00B83D04"/>
    <w:rsid w:val="00B83DA6"/>
    <w:rsid w:val="00B84021"/>
    <w:rsid w:val="00B84175"/>
    <w:rsid w:val="00B841AD"/>
    <w:rsid w:val="00B8437F"/>
    <w:rsid w:val="00B845CB"/>
    <w:rsid w:val="00B8464F"/>
    <w:rsid w:val="00B846D8"/>
    <w:rsid w:val="00B84CE5"/>
    <w:rsid w:val="00B85264"/>
    <w:rsid w:val="00B8526D"/>
    <w:rsid w:val="00B85815"/>
    <w:rsid w:val="00B8593B"/>
    <w:rsid w:val="00B85B30"/>
    <w:rsid w:val="00B85B8A"/>
    <w:rsid w:val="00B85B8F"/>
    <w:rsid w:val="00B85FD2"/>
    <w:rsid w:val="00B86092"/>
    <w:rsid w:val="00B862E2"/>
    <w:rsid w:val="00B86300"/>
    <w:rsid w:val="00B865A3"/>
    <w:rsid w:val="00B8662E"/>
    <w:rsid w:val="00B866FD"/>
    <w:rsid w:val="00B867B8"/>
    <w:rsid w:val="00B867C3"/>
    <w:rsid w:val="00B86C59"/>
    <w:rsid w:val="00B86C84"/>
    <w:rsid w:val="00B86DF6"/>
    <w:rsid w:val="00B86E4A"/>
    <w:rsid w:val="00B86F74"/>
    <w:rsid w:val="00B87022"/>
    <w:rsid w:val="00B87236"/>
    <w:rsid w:val="00B872CB"/>
    <w:rsid w:val="00B87315"/>
    <w:rsid w:val="00B87679"/>
    <w:rsid w:val="00B876A2"/>
    <w:rsid w:val="00B876EB"/>
    <w:rsid w:val="00B87A66"/>
    <w:rsid w:val="00B87C40"/>
    <w:rsid w:val="00B87C96"/>
    <w:rsid w:val="00B87E1E"/>
    <w:rsid w:val="00B90012"/>
    <w:rsid w:val="00B90138"/>
    <w:rsid w:val="00B90230"/>
    <w:rsid w:val="00B904DB"/>
    <w:rsid w:val="00B90620"/>
    <w:rsid w:val="00B908B5"/>
    <w:rsid w:val="00B90A95"/>
    <w:rsid w:val="00B90B2E"/>
    <w:rsid w:val="00B90B8E"/>
    <w:rsid w:val="00B90D0B"/>
    <w:rsid w:val="00B91072"/>
    <w:rsid w:val="00B916BB"/>
    <w:rsid w:val="00B9185B"/>
    <w:rsid w:val="00B91944"/>
    <w:rsid w:val="00B919A2"/>
    <w:rsid w:val="00B919C8"/>
    <w:rsid w:val="00B91A7C"/>
    <w:rsid w:val="00B920C4"/>
    <w:rsid w:val="00B9229D"/>
    <w:rsid w:val="00B92558"/>
    <w:rsid w:val="00B927BA"/>
    <w:rsid w:val="00B92B89"/>
    <w:rsid w:val="00B92D43"/>
    <w:rsid w:val="00B92FC3"/>
    <w:rsid w:val="00B9308B"/>
    <w:rsid w:val="00B93513"/>
    <w:rsid w:val="00B93C87"/>
    <w:rsid w:val="00B93CEF"/>
    <w:rsid w:val="00B93CF5"/>
    <w:rsid w:val="00B93DA9"/>
    <w:rsid w:val="00B93E02"/>
    <w:rsid w:val="00B93E12"/>
    <w:rsid w:val="00B93F06"/>
    <w:rsid w:val="00B94298"/>
    <w:rsid w:val="00B943D9"/>
    <w:rsid w:val="00B94418"/>
    <w:rsid w:val="00B949FF"/>
    <w:rsid w:val="00B94B30"/>
    <w:rsid w:val="00B94C79"/>
    <w:rsid w:val="00B950C9"/>
    <w:rsid w:val="00B955E6"/>
    <w:rsid w:val="00B95671"/>
    <w:rsid w:val="00B957D3"/>
    <w:rsid w:val="00B95A4F"/>
    <w:rsid w:val="00B95C0A"/>
    <w:rsid w:val="00B95E8E"/>
    <w:rsid w:val="00B95EA1"/>
    <w:rsid w:val="00B961D9"/>
    <w:rsid w:val="00B96362"/>
    <w:rsid w:val="00B96626"/>
    <w:rsid w:val="00B968D9"/>
    <w:rsid w:val="00B96E87"/>
    <w:rsid w:val="00B9706D"/>
    <w:rsid w:val="00B971CC"/>
    <w:rsid w:val="00B972A6"/>
    <w:rsid w:val="00B9736A"/>
    <w:rsid w:val="00B973F7"/>
    <w:rsid w:val="00B975FD"/>
    <w:rsid w:val="00B97817"/>
    <w:rsid w:val="00B97B09"/>
    <w:rsid w:val="00B97E77"/>
    <w:rsid w:val="00BA0174"/>
    <w:rsid w:val="00BA024A"/>
    <w:rsid w:val="00BA03DD"/>
    <w:rsid w:val="00BA046F"/>
    <w:rsid w:val="00BA058C"/>
    <w:rsid w:val="00BA05D5"/>
    <w:rsid w:val="00BA061F"/>
    <w:rsid w:val="00BA066D"/>
    <w:rsid w:val="00BA0A5E"/>
    <w:rsid w:val="00BA0AEA"/>
    <w:rsid w:val="00BA0B09"/>
    <w:rsid w:val="00BA0F22"/>
    <w:rsid w:val="00BA122D"/>
    <w:rsid w:val="00BA13D1"/>
    <w:rsid w:val="00BA1466"/>
    <w:rsid w:val="00BA14C7"/>
    <w:rsid w:val="00BA15AD"/>
    <w:rsid w:val="00BA163D"/>
    <w:rsid w:val="00BA18A5"/>
    <w:rsid w:val="00BA1AB9"/>
    <w:rsid w:val="00BA1E1A"/>
    <w:rsid w:val="00BA1E94"/>
    <w:rsid w:val="00BA1EB7"/>
    <w:rsid w:val="00BA2056"/>
    <w:rsid w:val="00BA2216"/>
    <w:rsid w:val="00BA230F"/>
    <w:rsid w:val="00BA23B0"/>
    <w:rsid w:val="00BA266F"/>
    <w:rsid w:val="00BA2778"/>
    <w:rsid w:val="00BA28A0"/>
    <w:rsid w:val="00BA2A2D"/>
    <w:rsid w:val="00BA2BAA"/>
    <w:rsid w:val="00BA2D1F"/>
    <w:rsid w:val="00BA3056"/>
    <w:rsid w:val="00BA305F"/>
    <w:rsid w:val="00BA31A0"/>
    <w:rsid w:val="00BA3552"/>
    <w:rsid w:val="00BA3577"/>
    <w:rsid w:val="00BA3739"/>
    <w:rsid w:val="00BA38CC"/>
    <w:rsid w:val="00BA39B1"/>
    <w:rsid w:val="00BA3DD0"/>
    <w:rsid w:val="00BA420C"/>
    <w:rsid w:val="00BA441C"/>
    <w:rsid w:val="00BA44A3"/>
    <w:rsid w:val="00BA463D"/>
    <w:rsid w:val="00BA4668"/>
    <w:rsid w:val="00BA47E9"/>
    <w:rsid w:val="00BA4A25"/>
    <w:rsid w:val="00BA4A30"/>
    <w:rsid w:val="00BA4A64"/>
    <w:rsid w:val="00BA4E3C"/>
    <w:rsid w:val="00BA4E69"/>
    <w:rsid w:val="00BA4F2C"/>
    <w:rsid w:val="00BA4F88"/>
    <w:rsid w:val="00BA4FD3"/>
    <w:rsid w:val="00BA506C"/>
    <w:rsid w:val="00BA5186"/>
    <w:rsid w:val="00BA5477"/>
    <w:rsid w:val="00BA552C"/>
    <w:rsid w:val="00BA559A"/>
    <w:rsid w:val="00BA586B"/>
    <w:rsid w:val="00BA58CE"/>
    <w:rsid w:val="00BA5A34"/>
    <w:rsid w:val="00BA5C55"/>
    <w:rsid w:val="00BA6096"/>
    <w:rsid w:val="00BA613B"/>
    <w:rsid w:val="00BA61D1"/>
    <w:rsid w:val="00BA64DE"/>
    <w:rsid w:val="00BA662A"/>
    <w:rsid w:val="00BA671B"/>
    <w:rsid w:val="00BA685E"/>
    <w:rsid w:val="00BA6D99"/>
    <w:rsid w:val="00BA6DD0"/>
    <w:rsid w:val="00BA6E21"/>
    <w:rsid w:val="00BA7088"/>
    <w:rsid w:val="00BA713C"/>
    <w:rsid w:val="00BA735B"/>
    <w:rsid w:val="00BA76FF"/>
    <w:rsid w:val="00BA79CC"/>
    <w:rsid w:val="00BA7AB2"/>
    <w:rsid w:val="00BA7AF1"/>
    <w:rsid w:val="00BA7B45"/>
    <w:rsid w:val="00BA7B7E"/>
    <w:rsid w:val="00BA7D5B"/>
    <w:rsid w:val="00BA7E00"/>
    <w:rsid w:val="00BA7F3B"/>
    <w:rsid w:val="00BB005E"/>
    <w:rsid w:val="00BB012A"/>
    <w:rsid w:val="00BB0665"/>
    <w:rsid w:val="00BB0A29"/>
    <w:rsid w:val="00BB0A2F"/>
    <w:rsid w:val="00BB0A48"/>
    <w:rsid w:val="00BB0E77"/>
    <w:rsid w:val="00BB127F"/>
    <w:rsid w:val="00BB1290"/>
    <w:rsid w:val="00BB142A"/>
    <w:rsid w:val="00BB1666"/>
    <w:rsid w:val="00BB173C"/>
    <w:rsid w:val="00BB1747"/>
    <w:rsid w:val="00BB17DE"/>
    <w:rsid w:val="00BB1D3A"/>
    <w:rsid w:val="00BB1F18"/>
    <w:rsid w:val="00BB1F31"/>
    <w:rsid w:val="00BB1F5D"/>
    <w:rsid w:val="00BB2731"/>
    <w:rsid w:val="00BB2B72"/>
    <w:rsid w:val="00BB2C36"/>
    <w:rsid w:val="00BB2CA1"/>
    <w:rsid w:val="00BB2DA2"/>
    <w:rsid w:val="00BB2DC3"/>
    <w:rsid w:val="00BB2E81"/>
    <w:rsid w:val="00BB2E97"/>
    <w:rsid w:val="00BB3573"/>
    <w:rsid w:val="00BB36F2"/>
    <w:rsid w:val="00BB3B75"/>
    <w:rsid w:val="00BB3B7D"/>
    <w:rsid w:val="00BB3F69"/>
    <w:rsid w:val="00BB42ED"/>
    <w:rsid w:val="00BB4366"/>
    <w:rsid w:val="00BB458A"/>
    <w:rsid w:val="00BB45F9"/>
    <w:rsid w:val="00BB47A0"/>
    <w:rsid w:val="00BB49FA"/>
    <w:rsid w:val="00BB4A37"/>
    <w:rsid w:val="00BB4A71"/>
    <w:rsid w:val="00BB4ABA"/>
    <w:rsid w:val="00BB5113"/>
    <w:rsid w:val="00BB5205"/>
    <w:rsid w:val="00BB5243"/>
    <w:rsid w:val="00BB5295"/>
    <w:rsid w:val="00BB5448"/>
    <w:rsid w:val="00BB5518"/>
    <w:rsid w:val="00BB5B17"/>
    <w:rsid w:val="00BB5C17"/>
    <w:rsid w:val="00BB5E0E"/>
    <w:rsid w:val="00BB61C0"/>
    <w:rsid w:val="00BB64B3"/>
    <w:rsid w:val="00BB677F"/>
    <w:rsid w:val="00BB6979"/>
    <w:rsid w:val="00BB6AE3"/>
    <w:rsid w:val="00BB7105"/>
    <w:rsid w:val="00BB714E"/>
    <w:rsid w:val="00BB71A7"/>
    <w:rsid w:val="00BB7285"/>
    <w:rsid w:val="00BB7817"/>
    <w:rsid w:val="00BB7D6A"/>
    <w:rsid w:val="00BB7DC1"/>
    <w:rsid w:val="00BC0050"/>
    <w:rsid w:val="00BC0144"/>
    <w:rsid w:val="00BC0264"/>
    <w:rsid w:val="00BC04A2"/>
    <w:rsid w:val="00BC08E8"/>
    <w:rsid w:val="00BC0BC0"/>
    <w:rsid w:val="00BC0C21"/>
    <w:rsid w:val="00BC0F3F"/>
    <w:rsid w:val="00BC10F2"/>
    <w:rsid w:val="00BC14BB"/>
    <w:rsid w:val="00BC1625"/>
    <w:rsid w:val="00BC17E6"/>
    <w:rsid w:val="00BC1833"/>
    <w:rsid w:val="00BC1B23"/>
    <w:rsid w:val="00BC1B75"/>
    <w:rsid w:val="00BC1BDE"/>
    <w:rsid w:val="00BC1E25"/>
    <w:rsid w:val="00BC1E7B"/>
    <w:rsid w:val="00BC2095"/>
    <w:rsid w:val="00BC2380"/>
    <w:rsid w:val="00BC28EC"/>
    <w:rsid w:val="00BC2940"/>
    <w:rsid w:val="00BC29EA"/>
    <w:rsid w:val="00BC2AC0"/>
    <w:rsid w:val="00BC2DE1"/>
    <w:rsid w:val="00BC2E2B"/>
    <w:rsid w:val="00BC3724"/>
    <w:rsid w:val="00BC3743"/>
    <w:rsid w:val="00BC3AA6"/>
    <w:rsid w:val="00BC3E73"/>
    <w:rsid w:val="00BC3F17"/>
    <w:rsid w:val="00BC4157"/>
    <w:rsid w:val="00BC442F"/>
    <w:rsid w:val="00BC44D1"/>
    <w:rsid w:val="00BC4A06"/>
    <w:rsid w:val="00BC4BCB"/>
    <w:rsid w:val="00BC4DCE"/>
    <w:rsid w:val="00BC4ED8"/>
    <w:rsid w:val="00BC4F17"/>
    <w:rsid w:val="00BC5318"/>
    <w:rsid w:val="00BC5374"/>
    <w:rsid w:val="00BC56C2"/>
    <w:rsid w:val="00BC586B"/>
    <w:rsid w:val="00BC5930"/>
    <w:rsid w:val="00BC5B3C"/>
    <w:rsid w:val="00BC5C5F"/>
    <w:rsid w:val="00BC5DCA"/>
    <w:rsid w:val="00BC5E44"/>
    <w:rsid w:val="00BC60F3"/>
    <w:rsid w:val="00BC6382"/>
    <w:rsid w:val="00BC65C2"/>
    <w:rsid w:val="00BC6620"/>
    <w:rsid w:val="00BC667C"/>
    <w:rsid w:val="00BC69FB"/>
    <w:rsid w:val="00BC6BA0"/>
    <w:rsid w:val="00BC6C58"/>
    <w:rsid w:val="00BC6DC6"/>
    <w:rsid w:val="00BC6EA1"/>
    <w:rsid w:val="00BC704E"/>
    <w:rsid w:val="00BC7064"/>
    <w:rsid w:val="00BC70CA"/>
    <w:rsid w:val="00BC7232"/>
    <w:rsid w:val="00BC7709"/>
    <w:rsid w:val="00BC7945"/>
    <w:rsid w:val="00BC79EC"/>
    <w:rsid w:val="00BC7B77"/>
    <w:rsid w:val="00BD00B9"/>
    <w:rsid w:val="00BD011B"/>
    <w:rsid w:val="00BD021F"/>
    <w:rsid w:val="00BD09AF"/>
    <w:rsid w:val="00BD0BF9"/>
    <w:rsid w:val="00BD0CD8"/>
    <w:rsid w:val="00BD0F39"/>
    <w:rsid w:val="00BD103A"/>
    <w:rsid w:val="00BD10D7"/>
    <w:rsid w:val="00BD1182"/>
    <w:rsid w:val="00BD132B"/>
    <w:rsid w:val="00BD1424"/>
    <w:rsid w:val="00BD1489"/>
    <w:rsid w:val="00BD1679"/>
    <w:rsid w:val="00BD17DF"/>
    <w:rsid w:val="00BD1804"/>
    <w:rsid w:val="00BD18B8"/>
    <w:rsid w:val="00BD1919"/>
    <w:rsid w:val="00BD1A97"/>
    <w:rsid w:val="00BD1AE9"/>
    <w:rsid w:val="00BD1BA6"/>
    <w:rsid w:val="00BD1CB3"/>
    <w:rsid w:val="00BD1CD5"/>
    <w:rsid w:val="00BD22AC"/>
    <w:rsid w:val="00BD231A"/>
    <w:rsid w:val="00BD23E5"/>
    <w:rsid w:val="00BD25CD"/>
    <w:rsid w:val="00BD2A99"/>
    <w:rsid w:val="00BD2B23"/>
    <w:rsid w:val="00BD2E53"/>
    <w:rsid w:val="00BD2F74"/>
    <w:rsid w:val="00BD300D"/>
    <w:rsid w:val="00BD343B"/>
    <w:rsid w:val="00BD3446"/>
    <w:rsid w:val="00BD381E"/>
    <w:rsid w:val="00BD38AC"/>
    <w:rsid w:val="00BD39B7"/>
    <w:rsid w:val="00BD405B"/>
    <w:rsid w:val="00BD408D"/>
    <w:rsid w:val="00BD426C"/>
    <w:rsid w:val="00BD42B7"/>
    <w:rsid w:val="00BD45A2"/>
    <w:rsid w:val="00BD45D9"/>
    <w:rsid w:val="00BD45FC"/>
    <w:rsid w:val="00BD49DF"/>
    <w:rsid w:val="00BD4ACF"/>
    <w:rsid w:val="00BD4D3D"/>
    <w:rsid w:val="00BD4E28"/>
    <w:rsid w:val="00BD4F15"/>
    <w:rsid w:val="00BD516C"/>
    <w:rsid w:val="00BD54EB"/>
    <w:rsid w:val="00BD5972"/>
    <w:rsid w:val="00BD5D2B"/>
    <w:rsid w:val="00BD604E"/>
    <w:rsid w:val="00BD6093"/>
    <w:rsid w:val="00BD631A"/>
    <w:rsid w:val="00BD64B6"/>
    <w:rsid w:val="00BD66AE"/>
    <w:rsid w:val="00BD6843"/>
    <w:rsid w:val="00BD687A"/>
    <w:rsid w:val="00BD696B"/>
    <w:rsid w:val="00BD6AEA"/>
    <w:rsid w:val="00BD6C30"/>
    <w:rsid w:val="00BD6FBE"/>
    <w:rsid w:val="00BD74EC"/>
    <w:rsid w:val="00BD76DF"/>
    <w:rsid w:val="00BD770C"/>
    <w:rsid w:val="00BD78ED"/>
    <w:rsid w:val="00BD7A93"/>
    <w:rsid w:val="00BD7AF2"/>
    <w:rsid w:val="00BD7D58"/>
    <w:rsid w:val="00BD7E93"/>
    <w:rsid w:val="00BD7EFA"/>
    <w:rsid w:val="00BE00A9"/>
    <w:rsid w:val="00BE0198"/>
    <w:rsid w:val="00BE03DB"/>
    <w:rsid w:val="00BE048D"/>
    <w:rsid w:val="00BE069B"/>
    <w:rsid w:val="00BE0E29"/>
    <w:rsid w:val="00BE0EC8"/>
    <w:rsid w:val="00BE1093"/>
    <w:rsid w:val="00BE1320"/>
    <w:rsid w:val="00BE15DA"/>
    <w:rsid w:val="00BE164B"/>
    <w:rsid w:val="00BE1706"/>
    <w:rsid w:val="00BE17BC"/>
    <w:rsid w:val="00BE1824"/>
    <w:rsid w:val="00BE1947"/>
    <w:rsid w:val="00BE1A43"/>
    <w:rsid w:val="00BE1C34"/>
    <w:rsid w:val="00BE1E7A"/>
    <w:rsid w:val="00BE2048"/>
    <w:rsid w:val="00BE2427"/>
    <w:rsid w:val="00BE248C"/>
    <w:rsid w:val="00BE2719"/>
    <w:rsid w:val="00BE2907"/>
    <w:rsid w:val="00BE2A3C"/>
    <w:rsid w:val="00BE2CC8"/>
    <w:rsid w:val="00BE2F13"/>
    <w:rsid w:val="00BE3118"/>
    <w:rsid w:val="00BE335B"/>
    <w:rsid w:val="00BE3B6E"/>
    <w:rsid w:val="00BE3B7D"/>
    <w:rsid w:val="00BE3D2A"/>
    <w:rsid w:val="00BE4086"/>
    <w:rsid w:val="00BE4587"/>
    <w:rsid w:val="00BE48C8"/>
    <w:rsid w:val="00BE4915"/>
    <w:rsid w:val="00BE4C38"/>
    <w:rsid w:val="00BE4CB8"/>
    <w:rsid w:val="00BE4E11"/>
    <w:rsid w:val="00BE4E44"/>
    <w:rsid w:val="00BE500D"/>
    <w:rsid w:val="00BE5321"/>
    <w:rsid w:val="00BE5365"/>
    <w:rsid w:val="00BE54D5"/>
    <w:rsid w:val="00BE5616"/>
    <w:rsid w:val="00BE5789"/>
    <w:rsid w:val="00BE5862"/>
    <w:rsid w:val="00BE5CF2"/>
    <w:rsid w:val="00BE600E"/>
    <w:rsid w:val="00BE60FB"/>
    <w:rsid w:val="00BE6100"/>
    <w:rsid w:val="00BE626F"/>
    <w:rsid w:val="00BE63EC"/>
    <w:rsid w:val="00BE6409"/>
    <w:rsid w:val="00BE652B"/>
    <w:rsid w:val="00BE675B"/>
    <w:rsid w:val="00BE69CB"/>
    <w:rsid w:val="00BE6C93"/>
    <w:rsid w:val="00BE6D8B"/>
    <w:rsid w:val="00BE6DB8"/>
    <w:rsid w:val="00BE6E15"/>
    <w:rsid w:val="00BE6EF7"/>
    <w:rsid w:val="00BE7203"/>
    <w:rsid w:val="00BE7428"/>
    <w:rsid w:val="00BE751C"/>
    <w:rsid w:val="00BE7520"/>
    <w:rsid w:val="00BE7754"/>
    <w:rsid w:val="00BF02F8"/>
    <w:rsid w:val="00BF079D"/>
    <w:rsid w:val="00BF09CF"/>
    <w:rsid w:val="00BF0B8B"/>
    <w:rsid w:val="00BF0C44"/>
    <w:rsid w:val="00BF12D0"/>
    <w:rsid w:val="00BF14AC"/>
    <w:rsid w:val="00BF14FD"/>
    <w:rsid w:val="00BF1601"/>
    <w:rsid w:val="00BF16D1"/>
    <w:rsid w:val="00BF16E5"/>
    <w:rsid w:val="00BF1795"/>
    <w:rsid w:val="00BF195E"/>
    <w:rsid w:val="00BF1995"/>
    <w:rsid w:val="00BF19C9"/>
    <w:rsid w:val="00BF1AC4"/>
    <w:rsid w:val="00BF1DCA"/>
    <w:rsid w:val="00BF1E8E"/>
    <w:rsid w:val="00BF1F7C"/>
    <w:rsid w:val="00BF1FE1"/>
    <w:rsid w:val="00BF284D"/>
    <w:rsid w:val="00BF286E"/>
    <w:rsid w:val="00BF29DB"/>
    <w:rsid w:val="00BF2A1D"/>
    <w:rsid w:val="00BF2BE0"/>
    <w:rsid w:val="00BF2F3D"/>
    <w:rsid w:val="00BF30E8"/>
    <w:rsid w:val="00BF3334"/>
    <w:rsid w:val="00BF3600"/>
    <w:rsid w:val="00BF36FF"/>
    <w:rsid w:val="00BF38EC"/>
    <w:rsid w:val="00BF39C4"/>
    <w:rsid w:val="00BF3B06"/>
    <w:rsid w:val="00BF4006"/>
    <w:rsid w:val="00BF427F"/>
    <w:rsid w:val="00BF4388"/>
    <w:rsid w:val="00BF468F"/>
    <w:rsid w:val="00BF4AB9"/>
    <w:rsid w:val="00BF4B17"/>
    <w:rsid w:val="00BF53C4"/>
    <w:rsid w:val="00BF53F3"/>
    <w:rsid w:val="00BF56D2"/>
    <w:rsid w:val="00BF584B"/>
    <w:rsid w:val="00BF59C6"/>
    <w:rsid w:val="00BF5A91"/>
    <w:rsid w:val="00BF5C87"/>
    <w:rsid w:val="00BF5D20"/>
    <w:rsid w:val="00BF608B"/>
    <w:rsid w:val="00BF6127"/>
    <w:rsid w:val="00BF61C1"/>
    <w:rsid w:val="00BF63D5"/>
    <w:rsid w:val="00BF6495"/>
    <w:rsid w:val="00BF64AB"/>
    <w:rsid w:val="00BF64E5"/>
    <w:rsid w:val="00BF661A"/>
    <w:rsid w:val="00BF6A24"/>
    <w:rsid w:val="00BF6BD1"/>
    <w:rsid w:val="00BF6C5D"/>
    <w:rsid w:val="00BF6DEF"/>
    <w:rsid w:val="00BF6FD6"/>
    <w:rsid w:val="00BF73A2"/>
    <w:rsid w:val="00BF73DE"/>
    <w:rsid w:val="00BF7782"/>
    <w:rsid w:val="00BF796D"/>
    <w:rsid w:val="00BF79D0"/>
    <w:rsid w:val="00BF7FA0"/>
    <w:rsid w:val="00C00316"/>
    <w:rsid w:val="00C004B5"/>
    <w:rsid w:val="00C0085C"/>
    <w:rsid w:val="00C00A3F"/>
    <w:rsid w:val="00C00B31"/>
    <w:rsid w:val="00C011FE"/>
    <w:rsid w:val="00C01287"/>
    <w:rsid w:val="00C01589"/>
    <w:rsid w:val="00C017B3"/>
    <w:rsid w:val="00C017E1"/>
    <w:rsid w:val="00C017EF"/>
    <w:rsid w:val="00C01808"/>
    <w:rsid w:val="00C01821"/>
    <w:rsid w:val="00C01B9F"/>
    <w:rsid w:val="00C01C81"/>
    <w:rsid w:val="00C01E09"/>
    <w:rsid w:val="00C01E9E"/>
    <w:rsid w:val="00C01EBE"/>
    <w:rsid w:val="00C02241"/>
    <w:rsid w:val="00C02294"/>
    <w:rsid w:val="00C0267A"/>
    <w:rsid w:val="00C026E0"/>
    <w:rsid w:val="00C02773"/>
    <w:rsid w:val="00C0283D"/>
    <w:rsid w:val="00C02A4A"/>
    <w:rsid w:val="00C02E19"/>
    <w:rsid w:val="00C02FE5"/>
    <w:rsid w:val="00C03089"/>
    <w:rsid w:val="00C03261"/>
    <w:rsid w:val="00C03553"/>
    <w:rsid w:val="00C03956"/>
    <w:rsid w:val="00C039D8"/>
    <w:rsid w:val="00C03D5E"/>
    <w:rsid w:val="00C03DB5"/>
    <w:rsid w:val="00C04503"/>
    <w:rsid w:val="00C045F0"/>
    <w:rsid w:val="00C046B2"/>
    <w:rsid w:val="00C04F41"/>
    <w:rsid w:val="00C04F45"/>
    <w:rsid w:val="00C05089"/>
    <w:rsid w:val="00C05113"/>
    <w:rsid w:val="00C051A3"/>
    <w:rsid w:val="00C05220"/>
    <w:rsid w:val="00C05951"/>
    <w:rsid w:val="00C05AD0"/>
    <w:rsid w:val="00C05B1C"/>
    <w:rsid w:val="00C061AC"/>
    <w:rsid w:val="00C0652F"/>
    <w:rsid w:val="00C065E4"/>
    <w:rsid w:val="00C065ED"/>
    <w:rsid w:val="00C0666F"/>
    <w:rsid w:val="00C06805"/>
    <w:rsid w:val="00C06966"/>
    <w:rsid w:val="00C06D9E"/>
    <w:rsid w:val="00C06F06"/>
    <w:rsid w:val="00C0747B"/>
    <w:rsid w:val="00C07628"/>
    <w:rsid w:val="00C0781D"/>
    <w:rsid w:val="00C07F7F"/>
    <w:rsid w:val="00C101F8"/>
    <w:rsid w:val="00C10476"/>
    <w:rsid w:val="00C105ED"/>
    <w:rsid w:val="00C1066A"/>
    <w:rsid w:val="00C10815"/>
    <w:rsid w:val="00C108E1"/>
    <w:rsid w:val="00C10A05"/>
    <w:rsid w:val="00C10A38"/>
    <w:rsid w:val="00C10B54"/>
    <w:rsid w:val="00C10B58"/>
    <w:rsid w:val="00C10F69"/>
    <w:rsid w:val="00C110F1"/>
    <w:rsid w:val="00C111D8"/>
    <w:rsid w:val="00C11491"/>
    <w:rsid w:val="00C1180F"/>
    <w:rsid w:val="00C118B4"/>
    <w:rsid w:val="00C11AA7"/>
    <w:rsid w:val="00C11B6A"/>
    <w:rsid w:val="00C11CB3"/>
    <w:rsid w:val="00C11F5C"/>
    <w:rsid w:val="00C12156"/>
    <w:rsid w:val="00C1220B"/>
    <w:rsid w:val="00C12601"/>
    <w:rsid w:val="00C126E8"/>
    <w:rsid w:val="00C128D8"/>
    <w:rsid w:val="00C1290F"/>
    <w:rsid w:val="00C12936"/>
    <w:rsid w:val="00C129A5"/>
    <w:rsid w:val="00C12A0A"/>
    <w:rsid w:val="00C12A4E"/>
    <w:rsid w:val="00C12D95"/>
    <w:rsid w:val="00C12DDD"/>
    <w:rsid w:val="00C12EE3"/>
    <w:rsid w:val="00C13192"/>
    <w:rsid w:val="00C131B1"/>
    <w:rsid w:val="00C13777"/>
    <w:rsid w:val="00C13CF1"/>
    <w:rsid w:val="00C13D27"/>
    <w:rsid w:val="00C13D36"/>
    <w:rsid w:val="00C13D64"/>
    <w:rsid w:val="00C13E1A"/>
    <w:rsid w:val="00C13F98"/>
    <w:rsid w:val="00C142FE"/>
    <w:rsid w:val="00C14340"/>
    <w:rsid w:val="00C14371"/>
    <w:rsid w:val="00C14708"/>
    <w:rsid w:val="00C14956"/>
    <w:rsid w:val="00C14B6E"/>
    <w:rsid w:val="00C14E1D"/>
    <w:rsid w:val="00C14EF2"/>
    <w:rsid w:val="00C1505E"/>
    <w:rsid w:val="00C150C2"/>
    <w:rsid w:val="00C15114"/>
    <w:rsid w:val="00C152A1"/>
    <w:rsid w:val="00C1531A"/>
    <w:rsid w:val="00C1577E"/>
    <w:rsid w:val="00C1581E"/>
    <w:rsid w:val="00C158B9"/>
    <w:rsid w:val="00C15904"/>
    <w:rsid w:val="00C15BFD"/>
    <w:rsid w:val="00C15C4E"/>
    <w:rsid w:val="00C15D7C"/>
    <w:rsid w:val="00C1614D"/>
    <w:rsid w:val="00C1644D"/>
    <w:rsid w:val="00C16623"/>
    <w:rsid w:val="00C169F2"/>
    <w:rsid w:val="00C16B5B"/>
    <w:rsid w:val="00C171D3"/>
    <w:rsid w:val="00C17363"/>
    <w:rsid w:val="00C17449"/>
    <w:rsid w:val="00C17A55"/>
    <w:rsid w:val="00C17B45"/>
    <w:rsid w:val="00C17D58"/>
    <w:rsid w:val="00C201EE"/>
    <w:rsid w:val="00C20310"/>
    <w:rsid w:val="00C2045F"/>
    <w:rsid w:val="00C204F8"/>
    <w:rsid w:val="00C206F9"/>
    <w:rsid w:val="00C20758"/>
    <w:rsid w:val="00C2075D"/>
    <w:rsid w:val="00C208FD"/>
    <w:rsid w:val="00C20C8A"/>
    <w:rsid w:val="00C21360"/>
    <w:rsid w:val="00C21417"/>
    <w:rsid w:val="00C21880"/>
    <w:rsid w:val="00C21BC7"/>
    <w:rsid w:val="00C21EE7"/>
    <w:rsid w:val="00C220C9"/>
    <w:rsid w:val="00C22146"/>
    <w:rsid w:val="00C222E1"/>
    <w:rsid w:val="00C2267E"/>
    <w:rsid w:val="00C22AFA"/>
    <w:rsid w:val="00C22E13"/>
    <w:rsid w:val="00C2304B"/>
    <w:rsid w:val="00C2309C"/>
    <w:rsid w:val="00C2316A"/>
    <w:rsid w:val="00C2331A"/>
    <w:rsid w:val="00C2362F"/>
    <w:rsid w:val="00C23ACC"/>
    <w:rsid w:val="00C247EA"/>
    <w:rsid w:val="00C24D91"/>
    <w:rsid w:val="00C250E1"/>
    <w:rsid w:val="00C25376"/>
    <w:rsid w:val="00C25433"/>
    <w:rsid w:val="00C254E2"/>
    <w:rsid w:val="00C256DA"/>
    <w:rsid w:val="00C25838"/>
    <w:rsid w:val="00C258AB"/>
    <w:rsid w:val="00C25B28"/>
    <w:rsid w:val="00C25F3C"/>
    <w:rsid w:val="00C25FC3"/>
    <w:rsid w:val="00C26223"/>
    <w:rsid w:val="00C263C9"/>
    <w:rsid w:val="00C26500"/>
    <w:rsid w:val="00C26933"/>
    <w:rsid w:val="00C2699E"/>
    <w:rsid w:val="00C26AC7"/>
    <w:rsid w:val="00C26D72"/>
    <w:rsid w:val="00C26DA7"/>
    <w:rsid w:val="00C27204"/>
    <w:rsid w:val="00C2752F"/>
    <w:rsid w:val="00C2788E"/>
    <w:rsid w:val="00C278BA"/>
    <w:rsid w:val="00C27B16"/>
    <w:rsid w:val="00C27ED0"/>
    <w:rsid w:val="00C27F2D"/>
    <w:rsid w:val="00C27F2E"/>
    <w:rsid w:val="00C30025"/>
    <w:rsid w:val="00C3010D"/>
    <w:rsid w:val="00C301C6"/>
    <w:rsid w:val="00C301DB"/>
    <w:rsid w:val="00C3074D"/>
    <w:rsid w:val="00C30883"/>
    <w:rsid w:val="00C309FA"/>
    <w:rsid w:val="00C30B02"/>
    <w:rsid w:val="00C30BA7"/>
    <w:rsid w:val="00C30CE8"/>
    <w:rsid w:val="00C30D81"/>
    <w:rsid w:val="00C30D85"/>
    <w:rsid w:val="00C30E69"/>
    <w:rsid w:val="00C3107C"/>
    <w:rsid w:val="00C31251"/>
    <w:rsid w:val="00C312F7"/>
    <w:rsid w:val="00C3147D"/>
    <w:rsid w:val="00C31655"/>
    <w:rsid w:val="00C316B9"/>
    <w:rsid w:val="00C31877"/>
    <w:rsid w:val="00C31D3E"/>
    <w:rsid w:val="00C32046"/>
    <w:rsid w:val="00C3252F"/>
    <w:rsid w:val="00C325A6"/>
    <w:rsid w:val="00C32649"/>
    <w:rsid w:val="00C32D25"/>
    <w:rsid w:val="00C32EEA"/>
    <w:rsid w:val="00C33098"/>
    <w:rsid w:val="00C338A2"/>
    <w:rsid w:val="00C33B69"/>
    <w:rsid w:val="00C33C07"/>
    <w:rsid w:val="00C33D5C"/>
    <w:rsid w:val="00C342B2"/>
    <w:rsid w:val="00C34575"/>
    <w:rsid w:val="00C34619"/>
    <w:rsid w:val="00C3464C"/>
    <w:rsid w:val="00C3487D"/>
    <w:rsid w:val="00C34AA6"/>
    <w:rsid w:val="00C34AFC"/>
    <w:rsid w:val="00C34C43"/>
    <w:rsid w:val="00C34D7C"/>
    <w:rsid w:val="00C34EBF"/>
    <w:rsid w:val="00C34EDB"/>
    <w:rsid w:val="00C34FE3"/>
    <w:rsid w:val="00C35004"/>
    <w:rsid w:val="00C350D0"/>
    <w:rsid w:val="00C35207"/>
    <w:rsid w:val="00C35618"/>
    <w:rsid w:val="00C359CF"/>
    <w:rsid w:val="00C35A23"/>
    <w:rsid w:val="00C35DBC"/>
    <w:rsid w:val="00C35DE9"/>
    <w:rsid w:val="00C35E83"/>
    <w:rsid w:val="00C3608E"/>
    <w:rsid w:val="00C36332"/>
    <w:rsid w:val="00C36781"/>
    <w:rsid w:val="00C36868"/>
    <w:rsid w:val="00C369DB"/>
    <w:rsid w:val="00C36E00"/>
    <w:rsid w:val="00C36F27"/>
    <w:rsid w:val="00C371B4"/>
    <w:rsid w:val="00C375E7"/>
    <w:rsid w:val="00C37885"/>
    <w:rsid w:val="00C37AF4"/>
    <w:rsid w:val="00C37CCB"/>
    <w:rsid w:val="00C37DDE"/>
    <w:rsid w:val="00C4026C"/>
    <w:rsid w:val="00C4031F"/>
    <w:rsid w:val="00C4048D"/>
    <w:rsid w:val="00C406BE"/>
    <w:rsid w:val="00C40723"/>
    <w:rsid w:val="00C40730"/>
    <w:rsid w:val="00C4082B"/>
    <w:rsid w:val="00C40907"/>
    <w:rsid w:val="00C4097F"/>
    <w:rsid w:val="00C409A8"/>
    <w:rsid w:val="00C40D2F"/>
    <w:rsid w:val="00C41097"/>
    <w:rsid w:val="00C41A7C"/>
    <w:rsid w:val="00C41DD3"/>
    <w:rsid w:val="00C41FEA"/>
    <w:rsid w:val="00C420BB"/>
    <w:rsid w:val="00C422E0"/>
    <w:rsid w:val="00C42358"/>
    <w:rsid w:val="00C4249F"/>
    <w:rsid w:val="00C429AD"/>
    <w:rsid w:val="00C42A3B"/>
    <w:rsid w:val="00C42B1F"/>
    <w:rsid w:val="00C42D07"/>
    <w:rsid w:val="00C42DAE"/>
    <w:rsid w:val="00C43242"/>
    <w:rsid w:val="00C43407"/>
    <w:rsid w:val="00C43447"/>
    <w:rsid w:val="00C43487"/>
    <w:rsid w:val="00C435AC"/>
    <w:rsid w:val="00C43B40"/>
    <w:rsid w:val="00C43DF6"/>
    <w:rsid w:val="00C43EED"/>
    <w:rsid w:val="00C44509"/>
    <w:rsid w:val="00C4463F"/>
    <w:rsid w:val="00C4473E"/>
    <w:rsid w:val="00C449B7"/>
    <w:rsid w:val="00C44C14"/>
    <w:rsid w:val="00C44D5C"/>
    <w:rsid w:val="00C45160"/>
    <w:rsid w:val="00C45584"/>
    <w:rsid w:val="00C4566B"/>
    <w:rsid w:val="00C45A43"/>
    <w:rsid w:val="00C45B8D"/>
    <w:rsid w:val="00C45E75"/>
    <w:rsid w:val="00C46561"/>
    <w:rsid w:val="00C468C1"/>
    <w:rsid w:val="00C46980"/>
    <w:rsid w:val="00C46AC9"/>
    <w:rsid w:val="00C46C15"/>
    <w:rsid w:val="00C46D8D"/>
    <w:rsid w:val="00C46F6C"/>
    <w:rsid w:val="00C46F7D"/>
    <w:rsid w:val="00C47375"/>
    <w:rsid w:val="00C47376"/>
    <w:rsid w:val="00C473C0"/>
    <w:rsid w:val="00C474FC"/>
    <w:rsid w:val="00C47529"/>
    <w:rsid w:val="00C47A14"/>
    <w:rsid w:val="00C50165"/>
    <w:rsid w:val="00C506FB"/>
    <w:rsid w:val="00C50BD8"/>
    <w:rsid w:val="00C50C7B"/>
    <w:rsid w:val="00C50D21"/>
    <w:rsid w:val="00C50E65"/>
    <w:rsid w:val="00C51027"/>
    <w:rsid w:val="00C5107D"/>
    <w:rsid w:val="00C5119C"/>
    <w:rsid w:val="00C512E8"/>
    <w:rsid w:val="00C51644"/>
    <w:rsid w:val="00C516D8"/>
    <w:rsid w:val="00C516F3"/>
    <w:rsid w:val="00C519AA"/>
    <w:rsid w:val="00C519C4"/>
    <w:rsid w:val="00C51A9C"/>
    <w:rsid w:val="00C51AC0"/>
    <w:rsid w:val="00C51DB3"/>
    <w:rsid w:val="00C51FA0"/>
    <w:rsid w:val="00C51FCA"/>
    <w:rsid w:val="00C5218C"/>
    <w:rsid w:val="00C52AF6"/>
    <w:rsid w:val="00C52B04"/>
    <w:rsid w:val="00C52C0E"/>
    <w:rsid w:val="00C52C7F"/>
    <w:rsid w:val="00C532C4"/>
    <w:rsid w:val="00C5332A"/>
    <w:rsid w:val="00C5342A"/>
    <w:rsid w:val="00C53798"/>
    <w:rsid w:val="00C539B4"/>
    <w:rsid w:val="00C53AA5"/>
    <w:rsid w:val="00C53AF5"/>
    <w:rsid w:val="00C53B84"/>
    <w:rsid w:val="00C53DB5"/>
    <w:rsid w:val="00C53E32"/>
    <w:rsid w:val="00C54079"/>
    <w:rsid w:val="00C541C1"/>
    <w:rsid w:val="00C54219"/>
    <w:rsid w:val="00C54604"/>
    <w:rsid w:val="00C550CD"/>
    <w:rsid w:val="00C5536D"/>
    <w:rsid w:val="00C5539C"/>
    <w:rsid w:val="00C553C5"/>
    <w:rsid w:val="00C55411"/>
    <w:rsid w:val="00C557CB"/>
    <w:rsid w:val="00C55B6D"/>
    <w:rsid w:val="00C5627E"/>
    <w:rsid w:val="00C563C6"/>
    <w:rsid w:val="00C56619"/>
    <w:rsid w:val="00C567A5"/>
    <w:rsid w:val="00C56FB2"/>
    <w:rsid w:val="00C5713F"/>
    <w:rsid w:val="00C5773A"/>
    <w:rsid w:val="00C57ACE"/>
    <w:rsid w:val="00C60260"/>
    <w:rsid w:val="00C6048C"/>
    <w:rsid w:val="00C60797"/>
    <w:rsid w:val="00C60A66"/>
    <w:rsid w:val="00C60CD2"/>
    <w:rsid w:val="00C61028"/>
    <w:rsid w:val="00C61066"/>
    <w:rsid w:val="00C61311"/>
    <w:rsid w:val="00C6139B"/>
    <w:rsid w:val="00C616F5"/>
    <w:rsid w:val="00C618A1"/>
    <w:rsid w:val="00C618EB"/>
    <w:rsid w:val="00C61CE5"/>
    <w:rsid w:val="00C62075"/>
    <w:rsid w:val="00C624B0"/>
    <w:rsid w:val="00C626BF"/>
    <w:rsid w:val="00C628F5"/>
    <w:rsid w:val="00C62980"/>
    <w:rsid w:val="00C629F5"/>
    <w:rsid w:val="00C62A4B"/>
    <w:rsid w:val="00C62B87"/>
    <w:rsid w:val="00C62E26"/>
    <w:rsid w:val="00C62F05"/>
    <w:rsid w:val="00C6310F"/>
    <w:rsid w:val="00C63504"/>
    <w:rsid w:val="00C63514"/>
    <w:rsid w:val="00C63741"/>
    <w:rsid w:val="00C639F7"/>
    <w:rsid w:val="00C63C33"/>
    <w:rsid w:val="00C63EFA"/>
    <w:rsid w:val="00C64082"/>
    <w:rsid w:val="00C64188"/>
    <w:rsid w:val="00C64419"/>
    <w:rsid w:val="00C64A70"/>
    <w:rsid w:val="00C64DF6"/>
    <w:rsid w:val="00C64F9A"/>
    <w:rsid w:val="00C64FA7"/>
    <w:rsid w:val="00C65377"/>
    <w:rsid w:val="00C65428"/>
    <w:rsid w:val="00C65431"/>
    <w:rsid w:val="00C65500"/>
    <w:rsid w:val="00C65615"/>
    <w:rsid w:val="00C65636"/>
    <w:rsid w:val="00C6580B"/>
    <w:rsid w:val="00C659E3"/>
    <w:rsid w:val="00C65BB7"/>
    <w:rsid w:val="00C65F3C"/>
    <w:rsid w:val="00C6603A"/>
    <w:rsid w:val="00C66167"/>
    <w:rsid w:val="00C66281"/>
    <w:rsid w:val="00C66305"/>
    <w:rsid w:val="00C66886"/>
    <w:rsid w:val="00C66E7E"/>
    <w:rsid w:val="00C66FC9"/>
    <w:rsid w:val="00C672D2"/>
    <w:rsid w:val="00C6766F"/>
    <w:rsid w:val="00C6778E"/>
    <w:rsid w:val="00C67924"/>
    <w:rsid w:val="00C67AE8"/>
    <w:rsid w:val="00C67CD3"/>
    <w:rsid w:val="00C70378"/>
    <w:rsid w:val="00C705BA"/>
    <w:rsid w:val="00C7089F"/>
    <w:rsid w:val="00C7092C"/>
    <w:rsid w:val="00C7093A"/>
    <w:rsid w:val="00C70B8F"/>
    <w:rsid w:val="00C70E49"/>
    <w:rsid w:val="00C712A7"/>
    <w:rsid w:val="00C71398"/>
    <w:rsid w:val="00C715C4"/>
    <w:rsid w:val="00C715E2"/>
    <w:rsid w:val="00C717DD"/>
    <w:rsid w:val="00C7190C"/>
    <w:rsid w:val="00C71912"/>
    <w:rsid w:val="00C719B0"/>
    <w:rsid w:val="00C71AB4"/>
    <w:rsid w:val="00C71E7F"/>
    <w:rsid w:val="00C7202C"/>
    <w:rsid w:val="00C7208E"/>
    <w:rsid w:val="00C72528"/>
    <w:rsid w:val="00C72647"/>
    <w:rsid w:val="00C72742"/>
    <w:rsid w:val="00C7310F"/>
    <w:rsid w:val="00C73222"/>
    <w:rsid w:val="00C73518"/>
    <w:rsid w:val="00C735B1"/>
    <w:rsid w:val="00C73D24"/>
    <w:rsid w:val="00C740F5"/>
    <w:rsid w:val="00C74188"/>
    <w:rsid w:val="00C74456"/>
    <w:rsid w:val="00C744E4"/>
    <w:rsid w:val="00C746D4"/>
    <w:rsid w:val="00C74848"/>
    <w:rsid w:val="00C74B4E"/>
    <w:rsid w:val="00C74C18"/>
    <w:rsid w:val="00C74C3E"/>
    <w:rsid w:val="00C74FEE"/>
    <w:rsid w:val="00C7500C"/>
    <w:rsid w:val="00C753FE"/>
    <w:rsid w:val="00C754FB"/>
    <w:rsid w:val="00C755D0"/>
    <w:rsid w:val="00C7571D"/>
    <w:rsid w:val="00C7591B"/>
    <w:rsid w:val="00C75947"/>
    <w:rsid w:val="00C759C7"/>
    <w:rsid w:val="00C759E8"/>
    <w:rsid w:val="00C75A9C"/>
    <w:rsid w:val="00C75B48"/>
    <w:rsid w:val="00C75ECA"/>
    <w:rsid w:val="00C75F59"/>
    <w:rsid w:val="00C75F61"/>
    <w:rsid w:val="00C7620A"/>
    <w:rsid w:val="00C764A2"/>
    <w:rsid w:val="00C764B7"/>
    <w:rsid w:val="00C7651C"/>
    <w:rsid w:val="00C766BE"/>
    <w:rsid w:val="00C769B9"/>
    <w:rsid w:val="00C76A03"/>
    <w:rsid w:val="00C76A16"/>
    <w:rsid w:val="00C773B3"/>
    <w:rsid w:val="00C774EA"/>
    <w:rsid w:val="00C77771"/>
    <w:rsid w:val="00C777B9"/>
    <w:rsid w:val="00C77871"/>
    <w:rsid w:val="00C8001C"/>
    <w:rsid w:val="00C80128"/>
    <w:rsid w:val="00C801C3"/>
    <w:rsid w:val="00C80394"/>
    <w:rsid w:val="00C80546"/>
    <w:rsid w:val="00C80A47"/>
    <w:rsid w:val="00C80D52"/>
    <w:rsid w:val="00C80E07"/>
    <w:rsid w:val="00C80EBE"/>
    <w:rsid w:val="00C80F36"/>
    <w:rsid w:val="00C810F5"/>
    <w:rsid w:val="00C812A6"/>
    <w:rsid w:val="00C81321"/>
    <w:rsid w:val="00C81430"/>
    <w:rsid w:val="00C81CF4"/>
    <w:rsid w:val="00C81EDD"/>
    <w:rsid w:val="00C82173"/>
    <w:rsid w:val="00C8223C"/>
    <w:rsid w:val="00C82280"/>
    <w:rsid w:val="00C82366"/>
    <w:rsid w:val="00C8263F"/>
    <w:rsid w:val="00C8265C"/>
    <w:rsid w:val="00C82BC7"/>
    <w:rsid w:val="00C82BE1"/>
    <w:rsid w:val="00C82D7E"/>
    <w:rsid w:val="00C8300C"/>
    <w:rsid w:val="00C83015"/>
    <w:rsid w:val="00C83032"/>
    <w:rsid w:val="00C8309F"/>
    <w:rsid w:val="00C8310F"/>
    <w:rsid w:val="00C8320E"/>
    <w:rsid w:val="00C83743"/>
    <w:rsid w:val="00C83B66"/>
    <w:rsid w:val="00C8409C"/>
    <w:rsid w:val="00C846DB"/>
    <w:rsid w:val="00C84C02"/>
    <w:rsid w:val="00C84D67"/>
    <w:rsid w:val="00C851BB"/>
    <w:rsid w:val="00C854F0"/>
    <w:rsid w:val="00C85587"/>
    <w:rsid w:val="00C8588F"/>
    <w:rsid w:val="00C85FE9"/>
    <w:rsid w:val="00C861CA"/>
    <w:rsid w:val="00C86254"/>
    <w:rsid w:val="00C862A1"/>
    <w:rsid w:val="00C862ED"/>
    <w:rsid w:val="00C86498"/>
    <w:rsid w:val="00C866C3"/>
    <w:rsid w:val="00C86990"/>
    <w:rsid w:val="00C86A1D"/>
    <w:rsid w:val="00C86B79"/>
    <w:rsid w:val="00C86F94"/>
    <w:rsid w:val="00C87676"/>
    <w:rsid w:val="00C87D41"/>
    <w:rsid w:val="00C87DA0"/>
    <w:rsid w:val="00C90196"/>
    <w:rsid w:val="00C90282"/>
    <w:rsid w:val="00C902FD"/>
    <w:rsid w:val="00C90493"/>
    <w:rsid w:val="00C906FB"/>
    <w:rsid w:val="00C90C50"/>
    <w:rsid w:val="00C90D8D"/>
    <w:rsid w:val="00C90E17"/>
    <w:rsid w:val="00C911E3"/>
    <w:rsid w:val="00C911F2"/>
    <w:rsid w:val="00C9145D"/>
    <w:rsid w:val="00C914AC"/>
    <w:rsid w:val="00C9155A"/>
    <w:rsid w:val="00C919C9"/>
    <w:rsid w:val="00C91A00"/>
    <w:rsid w:val="00C91B49"/>
    <w:rsid w:val="00C91D09"/>
    <w:rsid w:val="00C91D10"/>
    <w:rsid w:val="00C91D2D"/>
    <w:rsid w:val="00C91DE5"/>
    <w:rsid w:val="00C92077"/>
    <w:rsid w:val="00C923C9"/>
    <w:rsid w:val="00C924BE"/>
    <w:rsid w:val="00C9265C"/>
    <w:rsid w:val="00C9267E"/>
    <w:rsid w:val="00C926E1"/>
    <w:rsid w:val="00C928BB"/>
    <w:rsid w:val="00C92AD8"/>
    <w:rsid w:val="00C92FBB"/>
    <w:rsid w:val="00C9366D"/>
    <w:rsid w:val="00C936D9"/>
    <w:rsid w:val="00C937B7"/>
    <w:rsid w:val="00C93862"/>
    <w:rsid w:val="00C93AAE"/>
    <w:rsid w:val="00C93DC5"/>
    <w:rsid w:val="00C93F87"/>
    <w:rsid w:val="00C942D2"/>
    <w:rsid w:val="00C94377"/>
    <w:rsid w:val="00C944E2"/>
    <w:rsid w:val="00C945C4"/>
    <w:rsid w:val="00C94C71"/>
    <w:rsid w:val="00C94C75"/>
    <w:rsid w:val="00C94DBC"/>
    <w:rsid w:val="00C95086"/>
    <w:rsid w:val="00C95246"/>
    <w:rsid w:val="00C954C1"/>
    <w:rsid w:val="00C95519"/>
    <w:rsid w:val="00C95B25"/>
    <w:rsid w:val="00C95D2C"/>
    <w:rsid w:val="00C95D43"/>
    <w:rsid w:val="00C95D57"/>
    <w:rsid w:val="00C95DCF"/>
    <w:rsid w:val="00C965F3"/>
    <w:rsid w:val="00C966BA"/>
    <w:rsid w:val="00C967CF"/>
    <w:rsid w:val="00C96860"/>
    <w:rsid w:val="00C968B3"/>
    <w:rsid w:val="00C96C2B"/>
    <w:rsid w:val="00C96CED"/>
    <w:rsid w:val="00C96E66"/>
    <w:rsid w:val="00C9716C"/>
    <w:rsid w:val="00C97278"/>
    <w:rsid w:val="00C978CE"/>
    <w:rsid w:val="00C97B51"/>
    <w:rsid w:val="00C97E08"/>
    <w:rsid w:val="00C97EC9"/>
    <w:rsid w:val="00CA004E"/>
    <w:rsid w:val="00CA0114"/>
    <w:rsid w:val="00CA0239"/>
    <w:rsid w:val="00CA0309"/>
    <w:rsid w:val="00CA0510"/>
    <w:rsid w:val="00CA09E8"/>
    <w:rsid w:val="00CA0C93"/>
    <w:rsid w:val="00CA0FAB"/>
    <w:rsid w:val="00CA119D"/>
    <w:rsid w:val="00CA1396"/>
    <w:rsid w:val="00CA1447"/>
    <w:rsid w:val="00CA156B"/>
    <w:rsid w:val="00CA1A63"/>
    <w:rsid w:val="00CA1B12"/>
    <w:rsid w:val="00CA1C30"/>
    <w:rsid w:val="00CA1C92"/>
    <w:rsid w:val="00CA1D6E"/>
    <w:rsid w:val="00CA1E72"/>
    <w:rsid w:val="00CA1E9C"/>
    <w:rsid w:val="00CA1EAA"/>
    <w:rsid w:val="00CA2183"/>
    <w:rsid w:val="00CA225A"/>
    <w:rsid w:val="00CA2775"/>
    <w:rsid w:val="00CA2906"/>
    <w:rsid w:val="00CA2DEA"/>
    <w:rsid w:val="00CA2F32"/>
    <w:rsid w:val="00CA309A"/>
    <w:rsid w:val="00CA3197"/>
    <w:rsid w:val="00CA31D1"/>
    <w:rsid w:val="00CA3236"/>
    <w:rsid w:val="00CA3364"/>
    <w:rsid w:val="00CA3489"/>
    <w:rsid w:val="00CA3623"/>
    <w:rsid w:val="00CA36D7"/>
    <w:rsid w:val="00CA3749"/>
    <w:rsid w:val="00CA37E5"/>
    <w:rsid w:val="00CA3BD7"/>
    <w:rsid w:val="00CA3E0F"/>
    <w:rsid w:val="00CA402D"/>
    <w:rsid w:val="00CA4675"/>
    <w:rsid w:val="00CA4A1D"/>
    <w:rsid w:val="00CA4BB8"/>
    <w:rsid w:val="00CA4BC0"/>
    <w:rsid w:val="00CA52AD"/>
    <w:rsid w:val="00CA5351"/>
    <w:rsid w:val="00CA54BC"/>
    <w:rsid w:val="00CA5755"/>
    <w:rsid w:val="00CA5EA7"/>
    <w:rsid w:val="00CA5FBD"/>
    <w:rsid w:val="00CA6028"/>
    <w:rsid w:val="00CA6078"/>
    <w:rsid w:val="00CA60D5"/>
    <w:rsid w:val="00CA629B"/>
    <w:rsid w:val="00CA642C"/>
    <w:rsid w:val="00CA64D4"/>
    <w:rsid w:val="00CA64F8"/>
    <w:rsid w:val="00CA6693"/>
    <w:rsid w:val="00CA68CA"/>
    <w:rsid w:val="00CA6B77"/>
    <w:rsid w:val="00CA6F35"/>
    <w:rsid w:val="00CA6F55"/>
    <w:rsid w:val="00CA711D"/>
    <w:rsid w:val="00CA7635"/>
    <w:rsid w:val="00CA769B"/>
    <w:rsid w:val="00CA76BC"/>
    <w:rsid w:val="00CA7938"/>
    <w:rsid w:val="00CA79B1"/>
    <w:rsid w:val="00CB08A2"/>
    <w:rsid w:val="00CB08EB"/>
    <w:rsid w:val="00CB0B84"/>
    <w:rsid w:val="00CB100D"/>
    <w:rsid w:val="00CB14BA"/>
    <w:rsid w:val="00CB153A"/>
    <w:rsid w:val="00CB15F5"/>
    <w:rsid w:val="00CB1877"/>
    <w:rsid w:val="00CB1C41"/>
    <w:rsid w:val="00CB1E30"/>
    <w:rsid w:val="00CB1F1A"/>
    <w:rsid w:val="00CB1F1E"/>
    <w:rsid w:val="00CB2228"/>
    <w:rsid w:val="00CB22F5"/>
    <w:rsid w:val="00CB2504"/>
    <w:rsid w:val="00CB2534"/>
    <w:rsid w:val="00CB25FD"/>
    <w:rsid w:val="00CB26B3"/>
    <w:rsid w:val="00CB26F8"/>
    <w:rsid w:val="00CB27CE"/>
    <w:rsid w:val="00CB299B"/>
    <w:rsid w:val="00CB2F37"/>
    <w:rsid w:val="00CB2FCB"/>
    <w:rsid w:val="00CB3102"/>
    <w:rsid w:val="00CB3175"/>
    <w:rsid w:val="00CB3470"/>
    <w:rsid w:val="00CB3554"/>
    <w:rsid w:val="00CB3736"/>
    <w:rsid w:val="00CB37BB"/>
    <w:rsid w:val="00CB3964"/>
    <w:rsid w:val="00CB3A67"/>
    <w:rsid w:val="00CB3E1C"/>
    <w:rsid w:val="00CB3FAC"/>
    <w:rsid w:val="00CB428F"/>
    <w:rsid w:val="00CB4460"/>
    <w:rsid w:val="00CB4538"/>
    <w:rsid w:val="00CB47DC"/>
    <w:rsid w:val="00CB4E1F"/>
    <w:rsid w:val="00CB4EFC"/>
    <w:rsid w:val="00CB5153"/>
    <w:rsid w:val="00CB5360"/>
    <w:rsid w:val="00CB544D"/>
    <w:rsid w:val="00CB567E"/>
    <w:rsid w:val="00CB598C"/>
    <w:rsid w:val="00CB5B18"/>
    <w:rsid w:val="00CB5CD1"/>
    <w:rsid w:val="00CB5F2D"/>
    <w:rsid w:val="00CB5F77"/>
    <w:rsid w:val="00CB5FAE"/>
    <w:rsid w:val="00CB624E"/>
    <w:rsid w:val="00CB627C"/>
    <w:rsid w:val="00CB6441"/>
    <w:rsid w:val="00CB6767"/>
    <w:rsid w:val="00CB6822"/>
    <w:rsid w:val="00CB6BBA"/>
    <w:rsid w:val="00CB6CA3"/>
    <w:rsid w:val="00CB70AA"/>
    <w:rsid w:val="00CB710A"/>
    <w:rsid w:val="00CB71E8"/>
    <w:rsid w:val="00CB73CB"/>
    <w:rsid w:val="00CB7684"/>
    <w:rsid w:val="00CB7A95"/>
    <w:rsid w:val="00CB7CDB"/>
    <w:rsid w:val="00CB7E63"/>
    <w:rsid w:val="00CC012C"/>
    <w:rsid w:val="00CC025C"/>
    <w:rsid w:val="00CC02D5"/>
    <w:rsid w:val="00CC047B"/>
    <w:rsid w:val="00CC04E3"/>
    <w:rsid w:val="00CC0563"/>
    <w:rsid w:val="00CC0A4F"/>
    <w:rsid w:val="00CC0A92"/>
    <w:rsid w:val="00CC0BD8"/>
    <w:rsid w:val="00CC0E1E"/>
    <w:rsid w:val="00CC10E7"/>
    <w:rsid w:val="00CC13A6"/>
    <w:rsid w:val="00CC13AA"/>
    <w:rsid w:val="00CC14CA"/>
    <w:rsid w:val="00CC15D9"/>
    <w:rsid w:val="00CC1955"/>
    <w:rsid w:val="00CC19E1"/>
    <w:rsid w:val="00CC1A42"/>
    <w:rsid w:val="00CC1BFD"/>
    <w:rsid w:val="00CC1C9C"/>
    <w:rsid w:val="00CC1D99"/>
    <w:rsid w:val="00CC22F5"/>
    <w:rsid w:val="00CC28B2"/>
    <w:rsid w:val="00CC3238"/>
    <w:rsid w:val="00CC32C7"/>
    <w:rsid w:val="00CC3387"/>
    <w:rsid w:val="00CC35AB"/>
    <w:rsid w:val="00CC3B25"/>
    <w:rsid w:val="00CC3EAE"/>
    <w:rsid w:val="00CC4118"/>
    <w:rsid w:val="00CC430A"/>
    <w:rsid w:val="00CC4636"/>
    <w:rsid w:val="00CC4D9E"/>
    <w:rsid w:val="00CC4DD4"/>
    <w:rsid w:val="00CC4DE1"/>
    <w:rsid w:val="00CC4E31"/>
    <w:rsid w:val="00CC5041"/>
    <w:rsid w:val="00CC50C2"/>
    <w:rsid w:val="00CC52C8"/>
    <w:rsid w:val="00CC5301"/>
    <w:rsid w:val="00CC57F9"/>
    <w:rsid w:val="00CC58C9"/>
    <w:rsid w:val="00CC597B"/>
    <w:rsid w:val="00CC59D2"/>
    <w:rsid w:val="00CC65B6"/>
    <w:rsid w:val="00CC6636"/>
    <w:rsid w:val="00CC686F"/>
    <w:rsid w:val="00CC6B9B"/>
    <w:rsid w:val="00CC6DEB"/>
    <w:rsid w:val="00CC70B6"/>
    <w:rsid w:val="00CC724E"/>
    <w:rsid w:val="00CC7BA9"/>
    <w:rsid w:val="00CC7CB6"/>
    <w:rsid w:val="00CC7CCA"/>
    <w:rsid w:val="00CC7CD2"/>
    <w:rsid w:val="00CC7E11"/>
    <w:rsid w:val="00CD04C8"/>
    <w:rsid w:val="00CD05B8"/>
    <w:rsid w:val="00CD0700"/>
    <w:rsid w:val="00CD076C"/>
    <w:rsid w:val="00CD09BA"/>
    <w:rsid w:val="00CD0B31"/>
    <w:rsid w:val="00CD0B55"/>
    <w:rsid w:val="00CD0D9C"/>
    <w:rsid w:val="00CD0DA4"/>
    <w:rsid w:val="00CD0EA6"/>
    <w:rsid w:val="00CD15A3"/>
    <w:rsid w:val="00CD17DF"/>
    <w:rsid w:val="00CD1B25"/>
    <w:rsid w:val="00CD1BC5"/>
    <w:rsid w:val="00CD1D65"/>
    <w:rsid w:val="00CD1DB7"/>
    <w:rsid w:val="00CD21B6"/>
    <w:rsid w:val="00CD22B5"/>
    <w:rsid w:val="00CD2A18"/>
    <w:rsid w:val="00CD2A34"/>
    <w:rsid w:val="00CD2A87"/>
    <w:rsid w:val="00CD2AA2"/>
    <w:rsid w:val="00CD2CEC"/>
    <w:rsid w:val="00CD2E65"/>
    <w:rsid w:val="00CD31BC"/>
    <w:rsid w:val="00CD335E"/>
    <w:rsid w:val="00CD33DC"/>
    <w:rsid w:val="00CD3748"/>
    <w:rsid w:val="00CD3AB3"/>
    <w:rsid w:val="00CD3AD6"/>
    <w:rsid w:val="00CD3DFF"/>
    <w:rsid w:val="00CD3E9E"/>
    <w:rsid w:val="00CD3EE5"/>
    <w:rsid w:val="00CD47C0"/>
    <w:rsid w:val="00CD47F5"/>
    <w:rsid w:val="00CD4D35"/>
    <w:rsid w:val="00CD4F28"/>
    <w:rsid w:val="00CD52F3"/>
    <w:rsid w:val="00CD5369"/>
    <w:rsid w:val="00CD580D"/>
    <w:rsid w:val="00CD5C0C"/>
    <w:rsid w:val="00CD5E0A"/>
    <w:rsid w:val="00CD5F40"/>
    <w:rsid w:val="00CD5FDE"/>
    <w:rsid w:val="00CD6A33"/>
    <w:rsid w:val="00CD6C00"/>
    <w:rsid w:val="00CD6EE9"/>
    <w:rsid w:val="00CD7182"/>
    <w:rsid w:val="00CD748A"/>
    <w:rsid w:val="00CD75EC"/>
    <w:rsid w:val="00CD7A79"/>
    <w:rsid w:val="00CD7A92"/>
    <w:rsid w:val="00CD7C61"/>
    <w:rsid w:val="00CD7E39"/>
    <w:rsid w:val="00CD7EE4"/>
    <w:rsid w:val="00CE00EF"/>
    <w:rsid w:val="00CE0346"/>
    <w:rsid w:val="00CE0875"/>
    <w:rsid w:val="00CE0B0C"/>
    <w:rsid w:val="00CE12E6"/>
    <w:rsid w:val="00CE15B2"/>
    <w:rsid w:val="00CE1911"/>
    <w:rsid w:val="00CE19C4"/>
    <w:rsid w:val="00CE1A16"/>
    <w:rsid w:val="00CE1C34"/>
    <w:rsid w:val="00CE1CC0"/>
    <w:rsid w:val="00CE1E0B"/>
    <w:rsid w:val="00CE22DC"/>
    <w:rsid w:val="00CE2504"/>
    <w:rsid w:val="00CE2693"/>
    <w:rsid w:val="00CE28E2"/>
    <w:rsid w:val="00CE2954"/>
    <w:rsid w:val="00CE2B4A"/>
    <w:rsid w:val="00CE3180"/>
    <w:rsid w:val="00CE32CE"/>
    <w:rsid w:val="00CE3300"/>
    <w:rsid w:val="00CE337F"/>
    <w:rsid w:val="00CE350B"/>
    <w:rsid w:val="00CE3B2B"/>
    <w:rsid w:val="00CE3DAA"/>
    <w:rsid w:val="00CE3DDC"/>
    <w:rsid w:val="00CE3FB9"/>
    <w:rsid w:val="00CE3FDF"/>
    <w:rsid w:val="00CE4057"/>
    <w:rsid w:val="00CE434D"/>
    <w:rsid w:val="00CE43E8"/>
    <w:rsid w:val="00CE453C"/>
    <w:rsid w:val="00CE4926"/>
    <w:rsid w:val="00CE4AA8"/>
    <w:rsid w:val="00CE4EB1"/>
    <w:rsid w:val="00CE4F2C"/>
    <w:rsid w:val="00CE57F9"/>
    <w:rsid w:val="00CE585B"/>
    <w:rsid w:val="00CE5A70"/>
    <w:rsid w:val="00CE5AD5"/>
    <w:rsid w:val="00CE5B9C"/>
    <w:rsid w:val="00CE5C23"/>
    <w:rsid w:val="00CE60F5"/>
    <w:rsid w:val="00CE6643"/>
    <w:rsid w:val="00CE6855"/>
    <w:rsid w:val="00CE6858"/>
    <w:rsid w:val="00CE685E"/>
    <w:rsid w:val="00CE6A7D"/>
    <w:rsid w:val="00CE6B11"/>
    <w:rsid w:val="00CE6BCE"/>
    <w:rsid w:val="00CE6C9F"/>
    <w:rsid w:val="00CE6D3A"/>
    <w:rsid w:val="00CE71D0"/>
    <w:rsid w:val="00CE7274"/>
    <w:rsid w:val="00CE756F"/>
    <w:rsid w:val="00CE759A"/>
    <w:rsid w:val="00CF00DA"/>
    <w:rsid w:val="00CF0409"/>
    <w:rsid w:val="00CF0C8F"/>
    <w:rsid w:val="00CF10CE"/>
    <w:rsid w:val="00CF1567"/>
    <w:rsid w:val="00CF1686"/>
    <w:rsid w:val="00CF17F7"/>
    <w:rsid w:val="00CF187F"/>
    <w:rsid w:val="00CF1981"/>
    <w:rsid w:val="00CF19A8"/>
    <w:rsid w:val="00CF1B15"/>
    <w:rsid w:val="00CF1DD2"/>
    <w:rsid w:val="00CF2329"/>
    <w:rsid w:val="00CF232B"/>
    <w:rsid w:val="00CF255D"/>
    <w:rsid w:val="00CF278B"/>
    <w:rsid w:val="00CF2BE6"/>
    <w:rsid w:val="00CF2BE7"/>
    <w:rsid w:val="00CF2C53"/>
    <w:rsid w:val="00CF2CCE"/>
    <w:rsid w:val="00CF2D2D"/>
    <w:rsid w:val="00CF2E5E"/>
    <w:rsid w:val="00CF2FA7"/>
    <w:rsid w:val="00CF3025"/>
    <w:rsid w:val="00CF3059"/>
    <w:rsid w:val="00CF3112"/>
    <w:rsid w:val="00CF357E"/>
    <w:rsid w:val="00CF3588"/>
    <w:rsid w:val="00CF375A"/>
    <w:rsid w:val="00CF39B9"/>
    <w:rsid w:val="00CF3A9D"/>
    <w:rsid w:val="00CF3AC8"/>
    <w:rsid w:val="00CF3B0D"/>
    <w:rsid w:val="00CF3D3A"/>
    <w:rsid w:val="00CF3E67"/>
    <w:rsid w:val="00CF3E6D"/>
    <w:rsid w:val="00CF4413"/>
    <w:rsid w:val="00CF469E"/>
    <w:rsid w:val="00CF4B06"/>
    <w:rsid w:val="00CF4BAD"/>
    <w:rsid w:val="00CF4BCE"/>
    <w:rsid w:val="00CF4D9B"/>
    <w:rsid w:val="00CF4E14"/>
    <w:rsid w:val="00CF4E8F"/>
    <w:rsid w:val="00CF50DA"/>
    <w:rsid w:val="00CF544A"/>
    <w:rsid w:val="00CF55F1"/>
    <w:rsid w:val="00CF569B"/>
    <w:rsid w:val="00CF58CC"/>
    <w:rsid w:val="00CF58F2"/>
    <w:rsid w:val="00CF5B25"/>
    <w:rsid w:val="00CF6024"/>
    <w:rsid w:val="00CF67C4"/>
    <w:rsid w:val="00CF6F32"/>
    <w:rsid w:val="00CF7C1D"/>
    <w:rsid w:val="00CF7E87"/>
    <w:rsid w:val="00CF7FC9"/>
    <w:rsid w:val="00D00209"/>
    <w:rsid w:val="00D00212"/>
    <w:rsid w:val="00D00362"/>
    <w:rsid w:val="00D00426"/>
    <w:rsid w:val="00D006E3"/>
    <w:rsid w:val="00D007B8"/>
    <w:rsid w:val="00D009E3"/>
    <w:rsid w:val="00D00AFC"/>
    <w:rsid w:val="00D00BCB"/>
    <w:rsid w:val="00D00C9A"/>
    <w:rsid w:val="00D00D7A"/>
    <w:rsid w:val="00D00FE1"/>
    <w:rsid w:val="00D0118A"/>
    <w:rsid w:val="00D012E1"/>
    <w:rsid w:val="00D0189D"/>
    <w:rsid w:val="00D018D8"/>
    <w:rsid w:val="00D01AF7"/>
    <w:rsid w:val="00D01D91"/>
    <w:rsid w:val="00D01DD1"/>
    <w:rsid w:val="00D023A2"/>
    <w:rsid w:val="00D023CF"/>
    <w:rsid w:val="00D025F2"/>
    <w:rsid w:val="00D02696"/>
    <w:rsid w:val="00D02AC9"/>
    <w:rsid w:val="00D02C06"/>
    <w:rsid w:val="00D02C21"/>
    <w:rsid w:val="00D02E28"/>
    <w:rsid w:val="00D03256"/>
    <w:rsid w:val="00D0342C"/>
    <w:rsid w:val="00D037C5"/>
    <w:rsid w:val="00D03CA3"/>
    <w:rsid w:val="00D03EDF"/>
    <w:rsid w:val="00D03F06"/>
    <w:rsid w:val="00D03F36"/>
    <w:rsid w:val="00D040A4"/>
    <w:rsid w:val="00D04167"/>
    <w:rsid w:val="00D0422E"/>
    <w:rsid w:val="00D04333"/>
    <w:rsid w:val="00D04410"/>
    <w:rsid w:val="00D04629"/>
    <w:rsid w:val="00D04797"/>
    <w:rsid w:val="00D049CF"/>
    <w:rsid w:val="00D04A1A"/>
    <w:rsid w:val="00D04CEC"/>
    <w:rsid w:val="00D04D30"/>
    <w:rsid w:val="00D04D3D"/>
    <w:rsid w:val="00D04D92"/>
    <w:rsid w:val="00D04E26"/>
    <w:rsid w:val="00D05078"/>
    <w:rsid w:val="00D05319"/>
    <w:rsid w:val="00D05567"/>
    <w:rsid w:val="00D0575F"/>
    <w:rsid w:val="00D05791"/>
    <w:rsid w:val="00D05B72"/>
    <w:rsid w:val="00D05D06"/>
    <w:rsid w:val="00D05DA2"/>
    <w:rsid w:val="00D060F8"/>
    <w:rsid w:val="00D0613B"/>
    <w:rsid w:val="00D062E1"/>
    <w:rsid w:val="00D06461"/>
    <w:rsid w:val="00D066C7"/>
    <w:rsid w:val="00D06DAA"/>
    <w:rsid w:val="00D07012"/>
    <w:rsid w:val="00D0711F"/>
    <w:rsid w:val="00D0757E"/>
    <w:rsid w:val="00D075E1"/>
    <w:rsid w:val="00D078EE"/>
    <w:rsid w:val="00D07B13"/>
    <w:rsid w:val="00D07BD5"/>
    <w:rsid w:val="00D07D6C"/>
    <w:rsid w:val="00D10136"/>
    <w:rsid w:val="00D104B5"/>
    <w:rsid w:val="00D105E8"/>
    <w:rsid w:val="00D10830"/>
    <w:rsid w:val="00D108BA"/>
    <w:rsid w:val="00D10996"/>
    <w:rsid w:val="00D10D0E"/>
    <w:rsid w:val="00D10DF0"/>
    <w:rsid w:val="00D10F1A"/>
    <w:rsid w:val="00D11317"/>
    <w:rsid w:val="00D1147E"/>
    <w:rsid w:val="00D11520"/>
    <w:rsid w:val="00D1157A"/>
    <w:rsid w:val="00D11770"/>
    <w:rsid w:val="00D11815"/>
    <w:rsid w:val="00D11BD6"/>
    <w:rsid w:val="00D11FD1"/>
    <w:rsid w:val="00D12405"/>
    <w:rsid w:val="00D124A5"/>
    <w:rsid w:val="00D125A8"/>
    <w:rsid w:val="00D1264E"/>
    <w:rsid w:val="00D12D27"/>
    <w:rsid w:val="00D12D6A"/>
    <w:rsid w:val="00D12DD3"/>
    <w:rsid w:val="00D1309C"/>
    <w:rsid w:val="00D13506"/>
    <w:rsid w:val="00D139E4"/>
    <w:rsid w:val="00D13A33"/>
    <w:rsid w:val="00D13F15"/>
    <w:rsid w:val="00D13F2F"/>
    <w:rsid w:val="00D1403D"/>
    <w:rsid w:val="00D140FA"/>
    <w:rsid w:val="00D1437C"/>
    <w:rsid w:val="00D14563"/>
    <w:rsid w:val="00D14584"/>
    <w:rsid w:val="00D14CF6"/>
    <w:rsid w:val="00D14D8F"/>
    <w:rsid w:val="00D14DD1"/>
    <w:rsid w:val="00D14F37"/>
    <w:rsid w:val="00D1503B"/>
    <w:rsid w:val="00D150E1"/>
    <w:rsid w:val="00D15131"/>
    <w:rsid w:val="00D15252"/>
    <w:rsid w:val="00D1536F"/>
    <w:rsid w:val="00D1540D"/>
    <w:rsid w:val="00D15497"/>
    <w:rsid w:val="00D15539"/>
    <w:rsid w:val="00D15642"/>
    <w:rsid w:val="00D15DBC"/>
    <w:rsid w:val="00D15E21"/>
    <w:rsid w:val="00D15EE4"/>
    <w:rsid w:val="00D15F8D"/>
    <w:rsid w:val="00D15F9F"/>
    <w:rsid w:val="00D16022"/>
    <w:rsid w:val="00D16047"/>
    <w:rsid w:val="00D1636C"/>
    <w:rsid w:val="00D16474"/>
    <w:rsid w:val="00D16CD2"/>
    <w:rsid w:val="00D16D92"/>
    <w:rsid w:val="00D16F70"/>
    <w:rsid w:val="00D1738B"/>
    <w:rsid w:val="00D173DF"/>
    <w:rsid w:val="00D173E6"/>
    <w:rsid w:val="00D174C2"/>
    <w:rsid w:val="00D175B7"/>
    <w:rsid w:val="00D17622"/>
    <w:rsid w:val="00D17748"/>
    <w:rsid w:val="00D17956"/>
    <w:rsid w:val="00D17BDC"/>
    <w:rsid w:val="00D17C4A"/>
    <w:rsid w:val="00D17D44"/>
    <w:rsid w:val="00D17E69"/>
    <w:rsid w:val="00D2004E"/>
    <w:rsid w:val="00D20187"/>
    <w:rsid w:val="00D20289"/>
    <w:rsid w:val="00D20478"/>
    <w:rsid w:val="00D20864"/>
    <w:rsid w:val="00D20ADF"/>
    <w:rsid w:val="00D20BC7"/>
    <w:rsid w:val="00D20FCD"/>
    <w:rsid w:val="00D2124C"/>
    <w:rsid w:val="00D213F4"/>
    <w:rsid w:val="00D21458"/>
    <w:rsid w:val="00D21B71"/>
    <w:rsid w:val="00D21B9F"/>
    <w:rsid w:val="00D21CAB"/>
    <w:rsid w:val="00D22070"/>
    <w:rsid w:val="00D2211C"/>
    <w:rsid w:val="00D22411"/>
    <w:rsid w:val="00D22462"/>
    <w:rsid w:val="00D22464"/>
    <w:rsid w:val="00D224C1"/>
    <w:rsid w:val="00D228E9"/>
    <w:rsid w:val="00D22A21"/>
    <w:rsid w:val="00D22A4F"/>
    <w:rsid w:val="00D22BB7"/>
    <w:rsid w:val="00D22BEC"/>
    <w:rsid w:val="00D22D02"/>
    <w:rsid w:val="00D23194"/>
    <w:rsid w:val="00D232CC"/>
    <w:rsid w:val="00D233C5"/>
    <w:rsid w:val="00D23490"/>
    <w:rsid w:val="00D239E6"/>
    <w:rsid w:val="00D23A8B"/>
    <w:rsid w:val="00D23CE4"/>
    <w:rsid w:val="00D23DD8"/>
    <w:rsid w:val="00D23E8E"/>
    <w:rsid w:val="00D24667"/>
    <w:rsid w:val="00D24793"/>
    <w:rsid w:val="00D247DB"/>
    <w:rsid w:val="00D24DD9"/>
    <w:rsid w:val="00D24FB5"/>
    <w:rsid w:val="00D25451"/>
    <w:rsid w:val="00D2566B"/>
    <w:rsid w:val="00D257C2"/>
    <w:rsid w:val="00D257F0"/>
    <w:rsid w:val="00D25A4E"/>
    <w:rsid w:val="00D25D22"/>
    <w:rsid w:val="00D263C7"/>
    <w:rsid w:val="00D264FF"/>
    <w:rsid w:val="00D2681E"/>
    <w:rsid w:val="00D268A1"/>
    <w:rsid w:val="00D26B20"/>
    <w:rsid w:val="00D26BEB"/>
    <w:rsid w:val="00D26ED2"/>
    <w:rsid w:val="00D2722E"/>
    <w:rsid w:val="00D27411"/>
    <w:rsid w:val="00D274C2"/>
    <w:rsid w:val="00D27587"/>
    <w:rsid w:val="00D27C4D"/>
    <w:rsid w:val="00D27C54"/>
    <w:rsid w:val="00D27D77"/>
    <w:rsid w:val="00D300B7"/>
    <w:rsid w:val="00D301A8"/>
    <w:rsid w:val="00D30271"/>
    <w:rsid w:val="00D3038B"/>
    <w:rsid w:val="00D306CA"/>
    <w:rsid w:val="00D306F5"/>
    <w:rsid w:val="00D30997"/>
    <w:rsid w:val="00D30AE0"/>
    <w:rsid w:val="00D30B91"/>
    <w:rsid w:val="00D31494"/>
    <w:rsid w:val="00D314AB"/>
    <w:rsid w:val="00D3169A"/>
    <w:rsid w:val="00D317B3"/>
    <w:rsid w:val="00D31C7E"/>
    <w:rsid w:val="00D31E74"/>
    <w:rsid w:val="00D32080"/>
    <w:rsid w:val="00D322AA"/>
    <w:rsid w:val="00D32396"/>
    <w:rsid w:val="00D3243D"/>
    <w:rsid w:val="00D32830"/>
    <w:rsid w:val="00D32AAE"/>
    <w:rsid w:val="00D32CCE"/>
    <w:rsid w:val="00D32D5F"/>
    <w:rsid w:val="00D331A5"/>
    <w:rsid w:val="00D3351C"/>
    <w:rsid w:val="00D3399E"/>
    <w:rsid w:val="00D33C2A"/>
    <w:rsid w:val="00D33DD1"/>
    <w:rsid w:val="00D33E49"/>
    <w:rsid w:val="00D340D2"/>
    <w:rsid w:val="00D342D1"/>
    <w:rsid w:val="00D34473"/>
    <w:rsid w:val="00D34675"/>
    <w:rsid w:val="00D3469B"/>
    <w:rsid w:val="00D3498F"/>
    <w:rsid w:val="00D34A62"/>
    <w:rsid w:val="00D34BFC"/>
    <w:rsid w:val="00D35032"/>
    <w:rsid w:val="00D3572B"/>
    <w:rsid w:val="00D358C2"/>
    <w:rsid w:val="00D358F3"/>
    <w:rsid w:val="00D35A2F"/>
    <w:rsid w:val="00D35B0C"/>
    <w:rsid w:val="00D36046"/>
    <w:rsid w:val="00D364AA"/>
    <w:rsid w:val="00D36D30"/>
    <w:rsid w:val="00D36D6D"/>
    <w:rsid w:val="00D370D3"/>
    <w:rsid w:val="00D37374"/>
    <w:rsid w:val="00D373E0"/>
    <w:rsid w:val="00D379A7"/>
    <w:rsid w:val="00D37B19"/>
    <w:rsid w:val="00D402AD"/>
    <w:rsid w:val="00D40365"/>
    <w:rsid w:val="00D4071D"/>
    <w:rsid w:val="00D40726"/>
    <w:rsid w:val="00D40818"/>
    <w:rsid w:val="00D40A3D"/>
    <w:rsid w:val="00D40AA0"/>
    <w:rsid w:val="00D40AFD"/>
    <w:rsid w:val="00D40B5C"/>
    <w:rsid w:val="00D40BD0"/>
    <w:rsid w:val="00D40CD7"/>
    <w:rsid w:val="00D4108A"/>
    <w:rsid w:val="00D41098"/>
    <w:rsid w:val="00D411A9"/>
    <w:rsid w:val="00D41223"/>
    <w:rsid w:val="00D415A2"/>
    <w:rsid w:val="00D41983"/>
    <w:rsid w:val="00D41B6B"/>
    <w:rsid w:val="00D41B83"/>
    <w:rsid w:val="00D41C8A"/>
    <w:rsid w:val="00D41E89"/>
    <w:rsid w:val="00D41F8A"/>
    <w:rsid w:val="00D423A0"/>
    <w:rsid w:val="00D423F4"/>
    <w:rsid w:val="00D4265D"/>
    <w:rsid w:val="00D4284C"/>
    <w:rsid w:val="00D42E3E"/>
    <w:rsid w:val="00D42ED9"/>
    <w:rsid w:val="00D42F25"/>
    <w:rsid w:val="00D43241"/>
    <w:rsid w:val="00D43252"/>
    <w:rsid w:val="00D4331B"/>
    <w:rsid w:val="00D4335A"/>
    <w:rsid w:val="00D43795"/>
    <w:rsid w:val="00D43928"/>
    <w:rsid w:val="00D441FD"/>
    <w:rsid w:val="00D4465D"/>
    <w:rsid w:val="00D446C7"/>
    <w:rsid w:val="00D44706"/>
    <w:rsid w:val="00D44772"/>
    <w:rsid w:val="00D44AEF"/>
    <w:rsid w:val="00D44B83"/>
    <w:rsid w:val="00D450A0"/>
    <w:rsid w:val="00D45442"/>
    <w:rsid w:val="00D45862"/>
    <w:rsid w:val="00D458DE"/>
    <w:rsid w:val="00D45930"/>
    <w:rsid w:val="00D45BDA"/>
    <w:rsid w:val="00D45E3F"/>
    <w:rsid w:val="00D46013"/>
    <w:rsid w:val="00D4623B"/>
    <w:rsid w:val="00D463F0"/>
    <w:rsid w:val="00D463F1"/>
    <w:rsid w:val="00D46464"/>
    <w:rsid w:val="00D46491"/>
    <w:rsid w:val="00D4698D"/>
    <w:rsid w:val="00D46F52"/>
    <w:rsid w:val="00D473EE"/>
    <w:rsid w:val="00D477B0"/>
    <w:rsid w:val="00D4793A"/>
    <w:rsid w:val="00D47C8D"/>
    <w:rsid w:val="00D47D8B"/>
    <w:rsid w:val="00D47DDA"/>
    <w:rsid w:val="00D5016F"/>
    <w:rsid w:val="00D50643"/>
    <w:rsid w:val="00D50A57"/>
    <w:rsid w:val="00D5169A"/>
    <w:rsid w:val="00D518E7"/>
    <w:rsid w:val="00D51941"/>
    <w:rsid w:val="00D5194A"/>
    <w:rsid w:val="00D51AC9"/>
    <w:rsid w:val="00D51AE0"/>
    <w:rsid w:val="00D51B1A"/>
    <w:rsid w:val="00D51B67"/>
    <w:rsid w:val="00D51D90"/>
    <w:rsid w:val="00D51E51"/>
    <w:rsid w:val="00D51E53"/>
    <w:rsid w:val="00D51F3E"/>
    <w:rsid w:val="00D5231D"/>
    <w:rsid w:val="00D525F0"/>
    <w:rsid w:val="00D527E6"/>
    <w:rsid w:val="00D52F81"/>
    <w:rsid w:val="00D530B4"/>
    <w:rsid w:val="00D530CE"/>
    <w:rsid w:val="00D53617"/>
    <w:rsid w:val="00D53829"/>
    <w:rsid w:val="00D5394F"/>
    <w:rsid w:val="00D53A11"/>
    <w:rsid w:val="00D53C51"/>
    <w:rsid w:val="00D5401E"/>
    <w:rsid w:val="00D5415D"/>
    <w:rsid w:val="00D54245"/>
    <w:rsid w:val="00D5460D"/>
    <w:rsid w:val="00D54867"/>
    <w:rsid w:val="00D54975"/>
    <w:rsid w:val="00D54A36"/>
    <w:rsid w:val="00D550FA"/>
    <w:rsid w:val="00D552F4"/>
    <w:rsid w:val="00D55497"/>
    <w:rsid w:val="00D555D4"/>
    <w:rsid w:val="00D55B00"/>
    <w:rsid w:val="00D55C04"/>
    <w:rsid w:val="00D55F80"/>
    <w:rsid w:val="00D55FA1"/>
    <w:rsid w:val="00D56198"/>
    <w:rsid w:val="00D562A2"/>
    <w:rsid w:val="00D5634B"/>
    <w:rsid w:val="00D56459"/>
    <w:rsid w:val="00D56526"/>
    <w:rsid w:val="00D56547"/>
    <w:rsid w:val="00D56939"/>
    <w:rsid w:val="00D569EE"/>
    <w:rsid w:val="00D56BF6"/>
    <w:rsid w:val="00D56C56"/>
    <w:rsid w:val="00D56CAC"/>
    <w:rsid w:val="00D56D3E"/>
    <w:rsid w:val="00D56DDF"/>
    <w:rsid w:val="00D57051"/>
    <w:rsid w:val="00D5721F"/>
    <w:rsid w:val="00D57446"/>
    <w:rsid w:val="00D574AC"/>
    <w:rsid w:val="00D575E4"/>
    <w:rsid w:val="00D57831"/>
    <w:rsid w:val="00D57BE0"/>
    <w:rsid w:val="00D57E0C"/>
    <w:rsid w:val="00D57EDB"/>
    <w:rsid w:val="00D601C4"/>
    <w:rsid w:val="00D6050B"/>
    <w:rsid w:val="00D6053A"/>
    <w:rsid w:val="00D60929"/>
    <w:rsid w:val="00D6095B"/>
    <w:rsid w:val="00D60BD1"/>
    <w:rsid w:val="00D60D5E"/>
    <w:rsid w:val="00D60F85"/>
    <w:rsid w:val="00D61696"/>
    <w:rsid w:val="00D61DB9"/>
    <w:rsid w:val="00D61DBD"/>
    <w:rsid w:val="00D62097"/>
    <w:rsid w:val="00D6210C"/>
    <w:rsid w:val="00D6214B"/>
    <w:rsid w:val="00D6249E"/>
    <w:rsid w:val="00D627CA"/>
    <w:rsid w:val="00D6282D"/>
    <w:rsid w:val="00D62B12"/>
    <w:rsid w:val="00D62C6B"/>
    <w:rsid w:val="00D62CA4"/>
    <w:rsid w:val="00D62D85"/>
    <w:rsid w:val="00D62E3B"/>
    <w:rsid w:val="00D62F4E"/>
    <w:rsid w:val="00D630C0"/>
    <w:rsid w:val="00D6317F"/>
    <w:rsid w:val="00D63504"/>
    <w:rsid w:val="00D635E1"/>
    <w:rsid w:val="00D63906"/>
    <w:rsid w:val="00D63EC3"/>
    <w:rsid w:val="00D643A8"/>
    <w:rsid w:val="00D64666"/>
    <w:rsid w:val="00D64C81"/>
    <w:rsid w:val="00D64ECF"/>
    <w:rsid w:val="00D65082"/>
    <w:rsid w:val="00D650F1"/>
    <w:rsid w:val="00D6593F"/>
    <w:rsid w:val="00D65A45"/>
    <w:rsid w:val="00D65CE7"/>
    <w:rsid w:val="00D65FB6"/>
    <w:rsid w:val="00D6685A"/>
    <w:rsid w:val="00D66901"/>
    <w:rsid w:val="00D669F2"/>
    <w:rsid w:val="00D66BD9"/>
    <w:rsid w:val="00D66CFE"/>
    <w:rsid w:val="00D66F89"/>
    <w:rsid w:val="00D670A6"/>
    <w:rsid w:val="00D670C1"/>
    <w:rsid w:val="00D670FD"/>
    <w:rsid w:val="00D672C5"/>
    <w:rsid w:val="00D673FB"/>
    <w:rsid w:val="00D6745C"/>
    <w:rsid w:val="00D6779D"/>
    <w:rsid w:val="00D67A9E"/>
    <w:rsid w:val="00D67C1E"/>
    <w:rsid w:val="00D67C26"/>
    <w:rsid w:val="00D67EE9"/>
    <w:rsid w:val="00D70015"/>
    <w:rsid w:val="00D704F5"/>
    <w:rsid w:val="00D7064E"/>
    <w:rsid w:val="00D7069E"/>
    <w:rsid w:val="00D7073A"/>
    <w:rsid w:val="00D707A7"/>
    <w:rsid w:val="00D70993"/>
    <w:rsid w:val="00D70AE2"/>
    <w:rsid w:val="00D70E6C"/>
    <w:rsid w:val="00D70E9E"/>
    <w:rsid w:val="00D71230"/>
    <w:rsid w:val="00D713F3"/>
    <w:rsid w:val="00D71760"/>
    <w:rsid w:val="00D718C9"/>
    <w:rsid w:val="00D71A7F"/>
    <w:rsid w:val="00D7222A"/>
    <w:rsid w:val="00D7236B"/>
    <w:rsid w:val="00D723A2"/>
    <w:rsid w:val="00D72903"/>
    <w:rsid w:val="00D72955"/>
    <w:rsid w:val="00D72A7C"/>
    <w:rsid w:val="00D72B20"/>
    <w:rsid w:val="00D72BF1"/>
    <w:rsid w:val="00D72D69"/>
    <w:rsid w:val="00D72DBA"/>
    <w:rsid w:val="00D73139"/>
    <w:rsid w:val="00D73335"/>
    <w:rsid w:val="00D739C6"/>
    <w:rsid w:val="00D74307"/>
    <w:rsid w:val="00D74349"/>
    <w:rsid w:val="00D7476C"/>
    <w:rsid w:val="00D748A8"/>
    <w:rsid w:val="00D749F4"/>
    <w:rsid w:val="00D74A48"/>
    <w:rsid w:val="00D74B89"/>
    <w:rsid w:val="00D7533C"/>
    <w:rsid w:val="00D75535"/>
    <w:rsid w:val="00D75AAE"/>
    <w:rsid w:val="00D75AF8"/>
    <w:rsid w:val="00D75F22"/>
    <w:rsid w:val="00D75F23"/>
    <w:rsid w:val="00D75FFF"/>
    <w:rsid w:val="00D7606A"/>
    <w:rsid w:val="00D76145"/>
    <w:rsid w:val="00D761F4"/>
    <w:rsid w:val="00D76360"/>
    <w:rsid w:val="00D764AA"/>
    <w:rsid w:val="00D764BB"/>
    <w:rsid w:val="00D764DF"/>
    <w:rsid w:val="00D76538"/>
    <w:rsid w:val="00D766ED"/>
    <w:rsid w:val="00D767E5"/>
    <w:rsid w:val="00D76936"/>
    <w:rsid w:val="00D76CCE"/>
    <w:rsid w:val="00D76E8D"/>
    <w:rsid w:val="00D76F24"/>
    <w:rsid w:val="00D773F0"/>
    <w:rsid w:val="00D77409"/>
    <w:rsid w:val="00D774A6"/>
    <w:rsid w:val="00D777F7"/>
    <w:rsid w:val="00D77ADA"/>
    <w:rsid w:val="00D77EBD"/>
    <w:rsid w:val="00D80274"/>
    <w:rsid w:val="00D80472"/>
    <w:rsid w:val="00D805A5"/>
    <w:rsid w:val="00D8096E"/>
    <w:rsid w:val="00D80A51"/>
    <w:rsid w:val="00D80A72"/>
    <w:rsid w:val="00D80AEB"/>
    <w:rsid w:val="00D80BB2"/>
    <w:rsid w:val="00D80D5C"/>
    <w:rsid w:val="00D80FCD"/>
    <w:rsid w:val="00D8102C"/>
    <w:rsid w:val="00D810D9"/>
    <w:rsid w:val="00D8152C"/>
    <w:rsid w:val="00D816DB"/>
    <w:rsid w:val="00D81DC8"/>
    <w:rsid w:val="00D81F33"/>
    <w:rsid w:val="00D8212D"/>
    <w:rsid w:val="00D82311"/>
    <w:rsid w:val="00D82A9A"/>
    <w:rsid w:val="00D82B96"/>
    <w:rsid w:val="00D82C7A"/>
    <w:rsid w:val="00D830D5"/>
    <w:rsid w:val="00D830DE"/>
    <w:rsid w:val="00D8332C"/>
    <w:rsid w:val="00D83892"/>
    <w:rsid w:val="00D83931"/>
    <w:rsid w:val="00D83E3E"/>
    <w:rsid w:val="00D840EC"/>
    <w:rsid w:val="00D84122"/>
    <w:rsid w:val="00D8446A"/>
    <w:rsid w:val="00D845AA"/>
    <w:rsid w:val="00D84604"/>
    <w:rsid w:val="00D8463E"/>
    <w:rsid w:val="00D8482F"/>
    <w:rsid w:val="00D84B21"/>
    <w:rsid w:val="00D84C00"/>
    <w:rsid w:val="00D84D19"/>
    <w:rsid w:val="00D84DE7"/>
    <w:rsid w:val="00D850D8"/>
    <w:rsid w:val="00D85159"/>
    <w:rsid w:val="00D855FF"/>
    <w:rsid w:val="00D85873"/>
    <w:rsid w:val="00D85B75"/>
    <w:rsid w:val="00D85BEA"/>
    <w:rsid w:val="00D85C89"/>
    <w:rsid w:val="00D85E08"/>
    <w:rsid w:val="00D85ED4"/>
    <w:rsid w:val="00D865BA"/>
    <w:rsid w:val="00D8672A"/>
    <w:rsid w:val="00D86AE9"/>
    <w:rsid w:val="00D86C31"/>
    <w:rsid w:val="00D86DD7"/>
    <w:rsid w:val="00D86DE0"/>
    <w:rsid w:val="00D8753D"/>
    <w:rsid w:val="00D875FA"/>
    <w:rsid w:val="00D87715"/>
    <w:rsid w:val="00D879B9"/>
    <w:rsid w:val="00D87FB0"/>
    <w:rsid w:val="00D902DE"/>
    <w:rsid w:val="00D90639"/>
    <w:rsid w:val="00D909F8"/>
    <w:rsid w:val="00D90B36"/>
    <w:rsid w:val="00D90ECE"/>
    <w:rsid w:val="00D90F8B"/>
    <w:rsid w:val="00D91011"/>
    <w:rsid w:val="00D91138"/>
    <w:rsid w:val="00D91690"/>
    <w:rsid w:val="00D91A0D"/>
    <w:rsid w:val="00D91CE4"/>
    <w:rsid w:val="00D91F73"/>
    <w:rsid w:val="00D92087"/>
    <w:rsid w:val="00D920CB"/>
    <w:rsid w:val="00D920D2"/>
    <w:rsid w:val="00D923ED"/>
    <w:rsid w:val="00D92646"/>
    <w:rsid w:val="00D928A3"/>
    <w:rsid w:val="00D92ABD"/>
    <w:rsid w:val="00D92AF1"/>
    <w:rsid w:val="00D92F03"/>
    <w:rsid w:val="00D932AE"/>
    <w:rsid w:val="00D93374"/>
    <w:rsid w:val="00D934DC"/>
    <w:rsid w:val="00D93623"/>
    <w:rsid w:val="00D9381D"/>
    <w:rsid w:val="00D939B8"/>
    <w:rsid w:val="00D93B65"/>
    <w:rsid w:val="00D93C6C"/>
    <w:rsid w:val="00D93CDE"/>
    <w:rsid w:val="00D93FC2"/>
    <w:rsid w:val="00D941EA"/>
    <w:rsid w:val="00D9428E"/>
    <w:rsid w:val="00D944BC"/>
    <w:rsid w:val="00D94C19"/>
    <w:rsid w:val="00D94CB7"/>
    <w:rsid w:val="00D94FD6"/>
    <w:rsid w:val="00D95052"/>
    <w:rsid w:val="00D9505D"/>
    <w:rsid w:val="00D95618"/>
    <w:rsid w:val="00D95B3A"/>
    <w:rsid w:val="00D95EA2"/>
    <w:rsid w:val="00D95EB4"/>
    <w:rsid w:val="00D95F66"/>
    <w:rsid w:val="00D95F90"/>
    <w:rsid w:val="00D960DD"/>
    <w:rsid w:val="00D9610D"/>
    <w:rsid w:val="00D961B4"/>
    <w:rsid w:val="00D96236"/>
    <w:rsid w:val="00D9648E"/>
    <w:rsid w:val="00D965FF"/>
    <w:rsid w:val="00D968AA"/>
    <w:rsid w:val="00D96BD7"/>
    <w:rsid w:val="00D97295"/>
    <w:rsid w:val="00D973BE"/>
    <w:rsid w:val="00D97552"/>
    <w:rsid w:val="00D977E3"/>
    <w:rsid w:val="00D97B73"/>
    <w:rsid w:val="00D97CAD"/>
    <w:rsid w:val="00DA003B"/>
    <w:rsid w:val="00DA0111"/>
    <w:rsid w:val="00DA0431"/>
    <w:rsid w:val="00DA051C"/>
    <w:rsid w:val="00DA0561"/>
    <w:rsid w:val="00DA0DAB"/>
    <w:rsid w:val="00DA1157"/>
    <w:rsid w:val="00DA1299"/>
    <w:rsid w:val="00DA12B4"/>
    <w:rsid w:val="00DA15FD"/>
    <w:rsid w:val="00DA1852"/>
    <w:rsid w:val="00DA1A44"/>
    <w:rsid w:val="00DA1D08"/>
    <w:rsid w:val="00DA2105"/>
    <w:rsid w:val="00DA2267"/>
    <w:rsid w:val="00DA2572"/>
    <w:rsid w:val="00DA263F"/>
    <w:rsid w:val="00DA2751"/>
    <w:rsid w:val="00DA2771"/>
    <w:rsid w:val="00DA2C84"/>
    <w:rsid w:val="00DA3324"/>
    <w:rsid w:val="00DA37B8"/>
    <w:rsid w:val="00DA383C"/>
    <w:rsid w:val="00DA38B9"/>
    <w:rsid w:val="00DA3A45"/>
    <w:rsid w:val="00DA3A5E"/>
    <w:rsid w:val="00DA3AE3"/>
    <w:rsid w:val="00DA3AF9"/>
    <w:rsid w:val="00DA3DC8"/>
    <w:rsid w:val="00DA4033"/>
    <w:rsid w:val="00DA40AD"/>
    <w:rsid w:val="00DA415B"/>
    <w:rsid w:val="00DA41E0"/>
    <w:rsid w:val="00DA465D"/>
    <w:rsid w:val="00DA48B6"/>
    <w:rsid w:val="00DA4994"/>
    <w:rsid w:val="00DA4A26"/>
    <w:rsid w:val="00DA4B23"/>
    <w:rsid w:val="00DA4DAA"/>
    <w:rsid w:val="00DA502A"/>
    <w:rsid w:val="00DA54B6"/>
    <w:rsid w:val="00DA5559"/>
    <w:rsid w:val="00DA55C4"/>
    <w:rsid w:val="00DA593D"/>
    <w:rsid w:val="00DA5D43"/>
    <w:rsid w:val="00DA632D"/>
    <w:rsid w:val="00DA639D"/>
    <w:rsid w:val="00DA66B5"/>
    <w:rsid w:val="00DA6885"/>
    <w:rsid w:val="00DA6CF3"/>
    <w:rsid w:val="00DA6E4F"/>
    <w:rsid w:val="00DA6E9D"/>
    <w:rsid w:val="00DA720F"/>
    <w:rsid w:val="00DA722F"/>
    <w:rsid w:val="00DA7243"/>
    <w:rsid w:val="00DA731B"/>
    <w:rsid w:val="00DA74F3"/>
    <w:rsid w:val="00DA7708"/>
    <w:rsid w:val="00DA77D0"/>
    <w:rsid w:val="00DA7AAF"/>
    <w:rsid w:val="00DA7AD8"/>
    <w:rsid w:val="00DB06F4"/>
    <w:rsid w:val="00DB07CE"/>
    <w:rsid w:val="00DB0960"/>
    <w:rsid w:val="00DB0976"/>
    <w:rsid w:val="00DB097D"/>
    <w:rsid w:val="00DB0BC6"/>
    <w:rsid w:val="00DB0D79"/>
    <w:rsid w:val="00DB0DCB"/>
    <w:rsid w:val="00DB0E82"/>
    <w:rsid w:val="00DB11F6"/>
    <w:rsid w:val="00DB1491"/>
    <w:rsid w:val="00DB1726"/>
    <w:rsid w:val="00DB1A72"/>
    <w:rsid w:val="00DB1C1C"/>
    <w:rsid w:val="00DB1C89"/>
    <w:rsid w:val="00DB20EA"/>
    <w:rsid w:val="00DB2306"/>
    <w:rsid w:val="00DB232C"/>
    <w:rsid w:val="00DB23B4"/>
    <w:rsid w:val="00DB2724"/>
    <w:rsid w:val="00DB2A3A"/>
    <w:rsid w:val="00DB2B28"/>
    <w:rsid w:val="00DB2D0F"/>
    <w:rsid w:val="00DB2EC4"/>
    <w:rsid w:val="00DB2F49"/>
    <w:rsid w:val="00DB319D"/>
    <w:rsid w:val="00DB31A1"/>
    <w:rsid w:val="00DB3670"/>
    <w:rsid w:val="00DB3835"/>
    <w:rsid w:val="00DB3A4D"/>
    <w:rsid w:val="00DB3AF8"/>
    <w:rsid w:val="00DB3BBD"/>
    <w:rsid w:val="00DB3D3E"/>
    <w:rsid w:val="00DB3D9F"/>
    <w:rsid w:val="00DB4014"/>
    <w:rsid w:val="00DB413B"/>
    <w:rsid w:val="00DB429A"/>
    <w:rsid w:val="00DB42E0"/>
    <w:rsid w:val="00DB43EE"/>
    <w:rsid w:val="00DB446E"/>
    <w:rsid w:val="00DB44A9"/>
    <w:rsid w:val="00DB48AB"/>
    <w:rsid w:val="00DB490D"/>
    <w:rsid w:val="00DB49AA"/>
    <w:rsid w:val="00DB4B54"/>
    <w:rsid w:val="00DB4E12"/>
    <w:rsid w:val="00DB4EFF"/>
    <w:rsid w:val="00DB510D"/>
    <w:rsid w:val="00DB5720"/>
    <w:rsid w:val="00DB5755"/>
    <w:rsid w:val="00DB58BA"/>
    <w:rsid w:val="00DB5B5D"/>
    <w:rsid w:val="00DB5CA8"/>
    <w:rsid w:val="00DB5E7D"/>
    <w:rsid w:val="00DB5FAC"/>
    <w:rsid w:val="00DB606A"/>
    <w:rsid w:val="00DB618F"/>
    <w:rsid w:val="00DB61A6"/>
    <w:rsid w:val="00DB6248"/>
    <w:rsid w:val="00DB63E6"/>
    <w:rsid w:val="00DB66D4"/>
    <w:rsid w:val="00DB67EA"/>
    <w:rsid w:val="00DB6A22"/>
    <w:rsid w:val="00DB6A29"/>
    <w:rsid w:val="00DB6A81"/>
    <w:rsid w:val="00DB7288"/>
    <w:rsid w:val="00DB7376"/>
    <w:rsid w:val="00DB7647"/>
    <w:rsid w:val="00DB7693"/>
    <w:rsid w:val="00DB7C4C"/>
    <w:rsid w:val="00DB7D88"/>
    <w:rsid w:val="00DB7E7F"/>
    <w:rsid w:val="00DC000C"/>
    <w:rsid w:val="00DC0168"/>
    <w:rsid w:val="00DC0432"/>
    <w:rsid w:val="00DC05F0"/>
    <w:rsid w:val="00DC0BD7"/>
    <w:rsid w:val="00DC0D52"/>
    <w:rsid w:val="00DC0D84"/>
    <w:rsid w:val="00DC0E5A"/>
    <w:rsid w:val="00DC10EF"/>
    <w:rsid w:val="00DC153C"/>
    <w:rsid w:val="00DC154A"/>
    <w:rsid w:val="00DC1737"/>
    <w:rsid w:val="00DC1B58"/>
    <w:rsid w:val="00DC1BE3"/>
    <w:rsid w:val="00DC1CD9"/>
    <w:rsid w:val="00DC1CE0"/>
    <w:rsid w:val="00DC1DCA"/>
    <w:rsid w:val="00DC261C"/>
    <w:rsid w:val="00DC273A"/>
    <w:rsid w:val="00DC2BB5"/>
    <w:rsid w:val="00DC30AC"/>
    <w:rsid w:val="00DC3215"/>
    <w:rsid w:val="00DC3528"/>
    <w:rsid w:val="00DC36B0"/>
    <w:rsid w:val="00DC384A"/>
    <w:rsid w:val="00DC38AC"/>
    <w:rsid w:val="00DC3C5E"/>
    <w:rsid w:val="00DC3F65"/>
    <w:rsid w:val="00DC43E4"/>
    <w:rsid w:val="00DC4463"/>
    <w:rsid w:val="00DC4720"/>
    <w:rsid w:val="00DC4AE2"/>
    <w:rsid w:val="00DC4B51"/>
    <w:rsid w:val="00DC4CDD"/>
    <w:rsid w:val="00DC500B"/>
    <w:rsid w:val="00DC5455"/>
    <w:rsid w:val="00DC549E"/>
    <w:rsid w:val="00DC564B"/>
    <w:rsid w:val="00DC5AAD"/>
    <w:rsid w:val="00DC5D1B"/>
    <w:rsid w:val="00DC5ECB"/>
    <w:rsid w:val="00DC5EF1"/>
    <w:rsid w:val="00DC615F"/>
    <w:rsid w:val="00DC6453"/>
    <w:rsid w:val="00DC65F5"/>
    <w:rsid w:val="00DC67A7"/>
    <w:rsid w:val="00DC68B4"/>
    <w:rsid w:val="00DC6B5B"/>
    <w:rsid w:val="00DC6BCF"/>
    <w:rsid w:val="00DC6C59"/>
    <w:rsid w:val="00DC6DBF"/>
    <w:rsid w:val="00DC7244"/>
    <w:rsid w:val="00DC7572"/>
    <w:rsid w:val="00DC7784"/>
    <w:rsid w:val="00DC789D"/>
    <w:rsid w:val="00DC7A64"/>
    <w:rsid w:val="00DC7AC9"/>
    <w:rsid w:val="00DC7B9A"/>
    <w:rsid w:val="00DC7BFB"/>
    <w:rsid w:val="00DC7F57"/>
    <w:rsid w:val="00DC7FC4"/>
    <w:rsid w:val="00DD00C7"/>
    <w:rsid w:val="00DD0179"/>
    <w:rsid w:val="00DD0A57"/>
    <w:rsid w:val="00DD0C23"/>
    <w:rsid w:val="00DD0C3F"/>
    <w:rsid w:val="00DD10A7"/>
    <w:rsid w:val="00DD14C6"/>
    <w:rsid w:val="00DD1704"/>
    <w:rsid w:val="00DD1795"/>
    <w:rsid w:val="00DD1F1B"/>
    <w:rsid w:val="00DD2365"/>
    <w:rsid w:val="00DD2366"/>
    <w:rsid w:val="00DD274F"/>
    <w:rsid w:val="00DD2798"/>
    <w:rsid w:val="00DD287C"/>
    <w:rsid w:val="00DD2A19"/>
    <w:rsid w:val="00DD2A25"/>
    <w:rsid w:val="00DD2B54"/>
    <w:rsid w:val="00DD2F33"/>
    <w:rsid w:val="00DD2FEE"/>
    <w:rsid w:val="00DD3586"/>
    <w:rsid w:val="00DD3956"/>
    <w:rsid w:val="00DD3A0F"/>
    <w:rsid w:val="00DD3AF6"/>
    <w:rsid w:val="00DD3CEC"/>
    <w:rsid w:val="00DD3D69"/>
    <w:rsid w:val="00DD3E3D"/>
    <w:rsid w:val="00DD415D"/>
    <w:rsid w:val="00DD43C4"/>
    <w:rsid w:val="00DD47C3"/>
    <w:rsid w:val="00DD48DC"/>
    <w:rsid w:val="00DD48F9"/>
    <w:rsid w:val="00DD4B1C"/>
    <w:rsid w:val="00DD4BF2"/>
    <w:rsid w:val="00DD4FAC"/>
    <w:rsid w:val="00DD507D"/>
    <w:rsid w:val="00DD52EE"/>
    <w:rsid w:val="00DD5966"/>
    <w:rsid w:val="00DD59D3"/>
    <w:rsid w:val="00DD5BB6"/>
    <w:rsid w:val="00DD5D18"/>
    <w:rsid w:val="00DD5DD8"/>
    <w:rsid w:val="00DD5F0B"/>
    <w:rsid w:val="00DD5F2A"/>
    <w:rsid w:val="00DD5FC8"/>
    <w:rsid w:val="00DD60C5"/>
    <w:rsid w:val="00DD621A"/>
    <w:rsid w:val="00DD6610"/>
    <w:rsid w:val="00DD6752"/>
    <w:rsid w:val="00DD6D94"/>
    <w:rsid w:val="00DD6D95"/>
    <w:rsid w:val="00DD7087"/>
    <w:rsid w:val="00DD7138"/>
    <w:rsid w:val="00DD7178"/>
    <w:rsid w:val="00DD71BA"/>
    <w:rsid w:val="00DD71DB"/>
    <w:rsid w:val="00DD721D"/>
    <w:rsid w:val="00DD74E9"/>
    <w:rsid w:val="00DD787A"/>
    <w:rsid w:val="00DD78DE"/>
    <w:rsid w:val="00DD7981"/>
    <w:rsid w:val="00DD7B1E"/>
    <w:rsid w:val="00DD7C33"/>
    <w:rsid w:val="00DE0059"/>
    <w:rsid w:val="00DE00D6"/>
    <w:rsid w:val="00DE0287"/>
    <w:rsid w:val="00DE04DB"/>
    <w:rsid w:val="00DE06CD"/>
    <w:rsid w:val="00DE0738"/>
    <w:rsid w:val="00DE0739"/>
    <w:rsid w:val="00DE08D4"/>
    <w:rsid w:val="00DE0B5C"/>
    <w:rsid w:val="00DE0F5A"/>
    <w:rsid w:val="00DE1077"/>
    <w:rsid w:val="00DE132E"/>
    <w:rsid w:val="00DE165E"/>
    <w:rsid w:val="00DE16BB"/>
    <w:rsid w:val="00DE1722"/>
    <w:rsid w:val="00DE1775"/>
    <w:rsid w:val="00DE1827"/>
    <w:rsid w:val="00DE19DC"/>
    <w:rsid w:val="00DE1A61"/>
    <w:rsid w:val="00DE1B23"/>
    <w:rsid w:val="00DE1BDF"/>
    <w:rsid w:val="00DE1C75"/>
    <w:rsid w:val="00DE27E9"/>
    <w:rsid w:val="00DE280A"/>
    <w:rsid w:val="00DE2936"/>
    <w:rsid w:val="00DE2D44"/>
    <w:rsid w:val="00DE3068"/>
    <w:rsid w:val="00DE3080"/>
    <w:rsid w:val="00DE3089"/>
    <w:rsid w:val="00DE30A1"/>
    <w:rsid w:val="00DE30ED"/>
    <w:rsid w:val="00DE3598"/>
    <w:rsid w:val="00DE392E"/>
    <w:rsid w:val="00DE3D48"/>
    <w:rsid w:val="00DE3DB3"/>
    <w:rsid w:val="00DE4285"/>
    <w:rsid w:val="00DE42AE"/>
    <w:rsid w:val="00DE4892"/>
    <w:rsid w:val="00DE4A8F"/>
    <w:rsid w:val="00DE4D18"/>
    <w:rsid w:val="00DE4FA9"/>
    <w:rsid w:val="00DE4FC8"/>
    <w:rsid w:val="00DE501C"/>
    <w:rsid w:val="00DE52E9"/>
    <w:rsid w:val="00DE59A1"/>
    <w:rsid w:val="00DE5A6F"/>
    <w:rsid w:val="00DE5A8B"/>
    <w:rsid w:val="00DE5A9D"/>
    <w:rsid w:val="00DE5B0D"/>
    <w:rsid w:val="00DE5FA8"/>
    <w:rsid w:val="00DE6035"/>
    <w:rsid w:val="00DE6137"/>
    <w:rsid w:val="00DE6240"/>
    <w:rsid w:val="00DE641C"/>
    <w:rsid w:val="00DE657A"/>
    <w:rsid w:val="00DE6833"/>
    <w:rsid w:val="00DE6ADA"/>
    <w:rsid w:val="00DE6D74"/>
    <w:rsid w:val="00DE6F41"/>
    <w:rsid w:val="00DE6FC9"/>
    <w:rsid w:val="00DE7162"/>
    <w:rsid w:val="00DE71EF"/>
    <w:rsid w:val="00DE745B"/>
    <w:rsid w:val="00DE7488"/>
    <w:rsid w:val="00DE75CF"/>
    <w:rsid w:val="00DE787C"/>
    <w:rsid w:val="00DE78D7"/>
    <w:rsid w:val="00DE79DA"/>
    <w:rsid w:val="00DE7A09"/>
    <w:rsid w:val="00DE7BB6"/>
    <w:rsid w:val="00DF00E4"/>
    <w:rsid w:val="00DF00FF"/>
    <w:rsid w:val="00DF0225"/>
    <w:rsid w:val="00DF037A"/>
    <w:rsid w:val="00DF0422"/>
    <w:rsid w:val="00DF046A"/>
    <w:rsid w:val="00DF0577"/>
    <w:rsid w:val="00DF05E6"/>
    <w:rsid w:val="00DF069A"/>
    <w:rsid w:val="00DF0717"/>
    <w:rsid w:val="00DF07B6"/>
    <w:rsid w:val="00DF08E3"/>
    <w:rsid w:val="00DF0A61"/>
    <w:rsid w:val="00DF0A6F"/>
    <w:rsid w:val="00DF0E8D"/>
    <w:rsid w:val="00DF0F96"/>
    <w:rsid w:val="00DF108A"/>
    <w:rsid w:val="00DF10FE"/>
    <w:rsid w:val="00DF1108"/>
    <w:rsid w:val="00DF1605"/>
    <w:rsid w:val="00DF168E"/>
    <w:rsid w:val="00DF16A5"/>
    <w:rsid w:val="00DF1750"/>
    <w:rsid w:val="00DF1802"/>
    <w:rsid w:val="00DF19F1"/>
    <w:rsid w:val="00DF1C8A"/>
    <w:rsid w:val="00DF1D8F"/>
    <w:rsid w:val="00DF1E83"/>
    <w:rsid w:val="00DF1F2A"/>
    <w:rsid w:val="00DF1F97"/>
    <w:rsid w:val="00DF1F9B"/>
    <w:rsid w:val="00DF204B"/>
    <w:rsid w:val="00DF259B"/>
    <w:rsid w:val="00DF274A"/>
    <w:rsid w:val="00DF284F"/>
    <w:rsid w:val="00DF28CC"/>
    <w:rsid w:val="00DF33A1"/>
    <w:rsid w:val="00DF3B77"/>
    <w:rsid w:val="00DF3C0A"/>
    <w:rsid w:val="00DF3FA6"/>
    <w:rsid w:val="00DF4049"/>
    <w:rsid w:val="00DF4078"/>
    <w:rsid w:val="00DF4240"/>
    <w:rsid w:val="00DF45C3"/>
    <w:rsid w:val="00DF479B"/>
    <w:rsid w:val="00DF4BAD"/>
    <w:rsid w:val="00DF4D1C"/>
    <w:rsid w:val="00DF518E"/>
    <w:rsid w:val="00DF52DF"/>
    <w:rsid w:val="00DF537F"/>
    <w:rsid w:val="00DF5419"/>
    <w:rsid w:val="00DF57D5"/>
    <w:rsid w:val="00DF5824"/>
    <w:rsid w:val="00DF59C5"/>
    <w:rsid w:val="00DF5AAD"/>
    <w:rsid w:val="00DF5B1D"/>
    <w:rsid w:val="00DF5E8E"/>
    <w:rsid w:val="00DF5EDA"/>
    <w:rsid w:val="00DF6307"/>
    <w:rsid w:val="00DF6356"/>
    <w:rsid w:val="00DF6E53"/>
    <w:rsid w:val="00DF6E6E"/>
    <w:rsid w:val="00DF7133"/>
    <w:rsid w:val="00DF7202"/>
    <w:rsid w:val="00DF7514"/>
    <w:rsid w:val="00DF7D14"/>
    <w:rsid w:val="00DF7D6A"/>
    <w:rsid w:val="00DF7DF3"/>
    <w:rsid w:val="00DF7E6A"/>
    <w:rsid w:val="00E001A3"/>
    <w:rsid w:val="00E0030C"/>
    <w:rsid w:val="00E005AB"/>
    <w:rsid w:val="00E00666"/>
    <w:rsid w:val="00E007E4"/>
    <w:rsid w:val="00E00820"/>
    <w:rsid w:val="00E00872"/>
    <w:rsid w:val="00E0087F"/>
    <w:rsid w:val="00E0089D"/>
    <w:rsid w:val="00E009A8"/>
    <w:rsid w:val="00E00B09"/>
    <w:rsid w:val="00E00C32"/>
    <w:rsid w:val="00E01409"/>
    <w:rsid w:val="00E01576"/>
    <w:rsid w:val="00E01B0C"/>
    <w:rsid w:val="00E01B87"/>
    <w:rsid w:val="00E01DD0"/>
    <w:rsid w:val="00E02126"/>
    <w:rsid w:val="00E022D7"/>
    <w:rsid w:val="00E023CF"/>
    <w:rsid w:val="00E02419"/>
    <w:rsid w:val="00E02464"/>
    <w:rsid w:val="00E02574"/>
    <w:rsid w:val="00E026AD"/>
    <w:rsid w:val="00E026B0"/>
    <w:rsid w:val="00E028A4"/>
    <w:rsid w:val="00E0293C"/>
    <w:rsid w:val="00E02CB7"/>
    <w:rsid w:val="00E02D7F"/>
    <w:rsid w:val="00E0363B"/>
    <w:rsid w:val="00E036E9"/>
    <w:rsid w:val="00E03CB5"/>
    <w:rsid w:val="00E03DFA"/>
    <w:rsid w:val="00E04013"/>
    <w:rsid w:val="00E045D0"/>
    <w:rsid w:val="00E046FB"/>
    <w:rsid w:val="00E04990"/>
    <w:rsid w:val="00E04C62"/>
    <w:rsid w:val="00E04D87"/>
    <w:rsid w:val="00E04E0C"/>
    <w:rsid w:val="00E0513F"/>
    <w:rsid w:val="00E05443"/>
    <w:rsid w:val="00E054DF"/>
    <w:rsid w:val="00E056D0"/>
    <w:rsid w:val="00E05724"/>
    <w:rsid w:val="00E0585D"/>
    <w:rsid w:val="00E05992"/>
    <w:rsid w:val="00E05A8E"/>
    <w:rsid w:val="00E05CC7"/>
    <w:rsid w:val="00E05F63"/>
    <w:rsid w:val="00E05FC6"/>
    <w:rsid w:val="00E06366"/>
    <w:rsid w:val="00E065E7"/>
    <w:rsid w:val="00E066C6"/>
    <w:rsid w:val="00E069AE"/>
    <w:rsid w:val="00E06FE9"/>
    <w:rsid w:val="00E07181"/>
    <w:rsid w:val="00E0720B"/>
    <w:rsid w:val="00E075B6"/>
    <w:rsid w:val="00E077C3"/>
    <w:rsid w:val="00E077D2"/>
    <w:rsid w:val="00E07924"/>
    <w:rsid w:val="00E079A6"/>
    <w:rsid w:val="00E07A31"/>
    <w:rsid w:val="00E07A68"/>
    <w:rsid w:val="00E07E77"/>
    <w:rsid w:val="00E07E7B"/>
    <w:rsid w:val="00E07FF8"/>
    <w:rsid w:val="00E1014D"/>
    <w:rsid w:val="00E10326"/>
    <w:rsid w:val="00E1035E"/>
    <w:rsid w:val="00E104B7"/>
    <w:rsid w:val="00E105DA"/>
    <w:rsid w:val="00E10812"/>
    <w:rsid w:val="00E10885"/>
    <w:rsid w:val="00E10B75"/>
    <w:rsid w:val="00E10BC2"/>
    <w:rsid w:val="00E10EA0"/>
    <w:rsid w:val="00E10F5D"/>
    <w:rsid w:val="00E10FBA"/>
    <w:rsid w:val="00E1117B"/>
    <w:rsid w:val="00E11307"/>
    <w:rsid w:val="00E11667"/>
    <w:rsid w:val="00E11AA5"/>
    <w:rsid w:val="00E11D47"/>
    <w:rsid w:val="00E120DC"/>
    <w:rsid w:val="00E121F4"/>
    <w:rsid w:val="00E12423"/>
    <w:rsid w:val="00E1243D"/>
    <w:rsid w:val="00E125FE"/>
    <w:rsid w:val="00E1270B"/>
    <w:rsid w:val="00E128F5"/>
    <w:rsid w:val="00E12C3D"/>
    <w:rsid w:val="00E12D8C"/>
    <w:rsid w:val="00E130AE"/>
    <w:rsid w:val="00E131EC"/>
    <w:rsid w:val="00E13329"/>
    <w:rsid w:val="00E13485"/>
    <w:rsid w:val="00E135CE"/>
    <w:rsid w:val="00E1373C"/>
    <w:rsid w:val="00E13813"/>
    <w:rsid w:val="00E1383C"/>
    <w:rsid w:val="00E1399B"/>
    <w:rsid w:val="00E13A07"/>
    <w:rsid w:val="00E13A27"/>
    <w:rsid w:val="00E13B01"/>
    <w:rsid w:val="00E13C34"/>
    <w:rsid w:val="00E13C81"/>
    <w:rsid w:val="00E140A3"/>
    <w:rsid w:val="00E14220"/>
    <w:rsid w:val="00E146E5"/>
    <w:rsid w:val="00E14913"/>
    <w:rsid w:val="00E1492B"/>
    <w:rsid w:val="00E14B10"/>
    <w:rsid w:val="00E14CF6"/>
    <w:rsid w:val="00E14DD6"/>
    <w:rsid w:val="00E14EFB"/>
    <w:rsid w:val="00E15437"/>
    <w:rsid w:val="00E1553F"/>
    <w:rsid w:val="00E15688"/>
    <w:rsid w:val="00E1581C"/>
    <w:rsid w:val="00E15915"/>
    <w:rsid w:val="00E15D9D"/>
    <w:rsid w:val="00E16215"/>
    <w:rsid w:val="00E1647A"/>
    <w:rsid w:val="00E167F6"/>
    <w:rsid w:val="00E1699A"/>
    <w:rsid w:val="00E16A4D"/>
    <w:rsid w:val="00E16AC6"/>
    <w:rsid w:val="00E16B90"/>
    <w:rsid w:val="00E16D34"/>
    <w:rsid w:val="00E16D41"/>
    <w:rsid w:val="00E16DBD"/>
    <w:rsid w:val="00E1745B"/>
    <w:rsid w:val="00E17824"/>
    <w:rsid w:val="00E178A7"/>
    <w:rsid w:val="00E17A30"/>
    <w:rsid w:val="00E17CD6"/>
    <w:rsid w:val="00E17EC3"/>
    <w:rsid w:val="00E2018B"/>
    <w:rsid w:val="00E201C2"/>
    <w:rsid w:val="00E20521"/>
    <w:rsid w:val="00E20659"/>
    <w:rsid w:val="00E2075F"/>
    <w:rsid w:val="00E20935"/>
    <w:rsid w:val="00E2095A"/>
    <w:rsid w:val="00E20AFC"/>
    <w:rsid w:val="00E20BBB"/>
    <w:rsid w:val="00E20E32"/>
    <w:rsid w:val="00E20EB0"/>
    <w:rsid w:val="00E2117C"/>
    <w:rsid w:val="00E21495"/>
    <w:rsid w:val="00E217B7"/>
    <w:rsid w:val="00E21843"/>
    <w:rsid w:val="00E21A1E"/>
    <w:rsid w:val="00E21B2C"/>
    <w:rsid w:val="00E21BBC"/>
    <w:rsid w:val="00E2209C"/>
    <w:rsid w:val="00E223CE"/>
    <w:rsid w:val="00E22420"/>
    <w:rsid w:val="00E22A2D"/>
    <w:rsid w:val="00E22A39"/>
    <w:rsid w:val="00E22B8C"/>
    <w:rsid w:val="00E22E68"/>
    <w:rsid w:val="00E23047"/>
    <w:rsid w:val="00E23060"/>
    <w:rsid w:val="00E232D7"/>
    <w:rsid w:val="00E23480"/>
    <w:rsid w:val="00E234EE"/>
    <w:rsid w:val="00E23537"/>
    <w:rsid w:val="00E23880"/>
    <w:rsid w:val="00E23AB5"/>
    <w:rsid w:val="00E23B08"/>
    <w:rsid w:val="00E23FCA"/>
    <w:rsid w:val="00E24007"/>
    <w:rsid w:val="00E242CA"/>
    <w:rsid w:val="00E242E1"/>
    <w:rsid w:val="00E244E6"/>
    <w:rsid w:val="00E24507"/>
    <w:rsid w:val="00E245B1"/>
    <w:rsid w:val="00E24798"/>
    <w:rsid w:val="00E24D82"/>
    <w:rsid w:val="00E251F0"/>
    <w:rsid w:val="00E252B8"/>
    <w:rsid w:val="00E25329"/>
    <w:rsid w:val="00E254C9"/>
    <w:rsid w:val="00E254E2"/>
    <w:rsid w:val="00E255AD"/>
    <w:rsid w:val="00E25759"/>
    <w:rsid w:val="00E257C2"/>
    <w:rsid w:val="00E25982"/>
    <w:rsid w:val="00E25C6A"/>
    <w:rsid w:val="00E25E0F"/>
    <w:rsid w:val="00E25F98"/>
    <w:rsid w:val="00E265B4"/>
    <w:rsid w:val="00E265BA"/>
    <w:rsid w:val="00E265FD"/>
    <w:rsid w:val="00E266F8"/>
    <w:rsid w:val="00E26733"/>
    <w:rsid w:val="00E267BF"/>
    <w:rsid w:val="00E268E5"/>
    <w:rsid w:val="00E26991"/>
    <w:rsid w:val="00E26E07"/>
    <w:rsid w:val="00E26EEC"/>
    <w:rsid w:val="00E27190"/>
    <w:rsid w:val="00E272CA"/>
    <w:rsid w:val="00E27327"/>
    <w:rsid w:val="00E27388"/>
    <w:rsid w:val="00E273EB"/>
    <w:rsid w:val="00E27A40"/>
    <w:rsid w:val="00E27BF5"/>
    <w:rsid w:val="00E27C6F"/>
    <w:rsid w:val="00E27DE0"/>
    <w:rsid w:val="00E27EAB"/>
    <w:rsid w:val="00E30504"/>
    <w:rsid w:val="00E30724"/>
    <w:rsid w:val="00E30988"/>
    <w:rsid w:val="00E30AD5"/>
    <w:rsid w:val="00E30C1E"/>
    <w:rsid w:val="00E30E3C"/>
    <w:rsid w:val="00E30F65"/>
    <w:rsid w:val="00E31009"/>
    <w:rsid w:val="00E31028"/>
    <w:rsid w:val="00E3149B"/>
    <w:rsid w:val="00E314FA"/>
    <w:rsid w:val="00E31547"/>
    <w:rsid w:val="00E31656"/>
    <w:rsid w:val="00E3172D"/>
    <w:rsid w:val="00E31878"/>
    <w:rsid w:val="00E31961"/>
    <w:rsid w:val="00E31B6F"/>
    <w:rsid w:val="00E31C97"/>
    <w:rsid w:val="00E31EDD"/>
    <w:rsid w:val="00E3200C"/>
    <w:rsid w:val="00E320D0"/>
    <w:rsid w:val="00E3220D"/>
    <w:rsid w:val="00E32229"/>
    <w:rsid w:val="00E323D3"/>
    <w:rsid w:val="00E325A0"/>
    <w:rsid w:val="00E3270A"/>
    <w:rsid w:val="00E32F0E"/>
    <w:rsid w:val="00E33367"/>
    <w:rsid w:val="00E33376"/>
    <w:rsid w:val="00E333A1"/>
    <w:rsid w:val="00E33401"/>
    <w:rsid w:val="00E337C8"/>
    <w:rsid w:val="00E33B44"/>
    <w:rsid w:val="00E33BF8"/>
    <w:rsid w:val="00E33CBF"/>
    <w:rsid w:val="00E33CCC"/>
    <w:rsid w:val="00E340E8"/>
    <w:rsid w:val="00E343C2"/>
    <w:rsid w:val="00E344DE"/>
    <w:rsid w:val="00E34ACD"/>
    <w:rsid w:val="00E34E1E"/>
    <w:rsid w:val="00E35141"/>
    <w:rsid w:val="00E3527E"/>
    <w:rsid w:val="00E3536A"/>
    <w:rsid w:val="00E3542C"/>
    <w:rsid w:val="00E354D6"/>
    <w:rsid w:val="00E35517"/>
    <w:rsid w:val="00E35754"/>
    <w:rsid w:val="00E359D2"/>
    <w:rsid w:val="00E359F1"/>
    <w:rsid w:val="00E35ADC"/>
    <w:rsid w:val="00E35B33"/>
    <w:rsid w:val="00E35EA9"/>
    <w:rsid w:val="00E35F1F"/>
    <w:rsid w:val="00E361F4"/>
    <w:rsid w:val="00E363A7"/>
    <w:rsid w:val="00E36703"/>
    <w:rsid w:val="00E368CD"/>
    <w:rsid w:val="00E36903"/>
    <w:rsid w:val="00E36ADA"/>
    <w:rsid w:val="00E36B47"/>
    <w:rsid w:val="00E36CBF"/>
    <w:rsid w:val="00E36D2B"/>
    <w:rsid w:val="00E36DFE"/>
    <w:rsid w:val="00E370F8"/>
    <w:rsid w:val="00E37569"/>
    <w:rsid w:val="00E3756A"/>
    <w:rsid w:val="00E37682"/>
    <w:rsid w:val="00E37B99"/>
    <w:rsid w:val="00E37C00"/>
    <w:rsid w:val="00E37CBA"/>
    <w:rsid w:val="00E37E59"/>
    <w:rsid w:val="00E37FA0"/>
    <w:rsid w:val="00E40052"/>
    <w:rsid w:val="00E40106"/>
    <w:rsid w:val="00E402BC"/>
    <w:rsid w:val="00E40389"/>
    <w:rsid w:val="00E403A5"/>
    <w:rsid w:val="00E40523"/>
    <w:rsid w:val="00E40887"/>
    <w:rsid w:val="00E4088A"/>
    <w:rsid w:val="00E40E8F"/>
    <w:rsid w:val="00E4111D"/>
    <w:rsid w:val="00E41270"/>
    <w:rsid w:val="00E412BD"/>
    <w:rsid w:val="00E413E4"/>
    <w:rsid w:val="00E4142C"/>
    <w:rsid w:val="00E415EC"/>
    <w:rsid w:val="00E419C3"/>
    <w:rsid w:val="00E41A59"/>
    <w:rsid w:val="00E41A84"/>
    <w:rsid w:val="00E41DD1"/>
    <w:rsid w:val="00E41DE6"/>
    <w:rsid w:val="00E420FD"/>
    <w:rsid w:val="00E4252F"/>
    <w:rsid w:val="00E42581"/>
    <w:rsid w:val="00E42657"/>
    <w:rsid w:val="00E42750"/>
    <w:rsid w:val="00E42822"/>
    <w:rsid w:val="00E42850"/>
    <w:rsid w:val="00E42BB1"/>
    <w:rsid w:val="00E42D1B"/>
    <w:rsid w:val="00E42EE1"/>
    <w:rsid w:val="00E42EF0"/>
    <w:rsid w:val="00E43684"/>
    <w:rsid w:val="00E4378E"/>
    <w:rsid w:val="00E437F5"/>
    <w:rsid w:val="00E437FE"/>
    <w:rsid w:val="00E438E4"/>
    <w:rsid w:val="00E43A1B"/>
    <w:rsid w:val="00E43B6E"/>
    <w:rsid w:val="00E43CB2"/>
    <w:rsid w:val="00E43CEC"/>
    <w:rsid w:val="00E43F87"/>
    <w:rsid w:val="00E44245"/>
    <w:rsid w:val="00E444C7"/>
    <w:rsid w:val="00E44BE2"/>
    <w:rsid w:val="00E44CEF"/>
    <w:rsid w:val="00E44E5C"/>
    <w:rsid w:val="00E452F9"/>
    <w:rsid w:val="00E4568D"/>
    <w:rsid w:val="00E4596F"/>
    <w:rsid w:val="00E45A89"/>
    <w:rsid w:val="00E45AD7"/>
    <w:rsid w:val="00E45B7D"/>
    <w:rsid w:val="00E45BC8"/>
    <w:rsid w:val="00E45D4B"/>
    <w:rsid w:val="00E45E2F"/>
    <w:rsid w:val="00E46030"/>
    <w:rsid w:val="00E46094"/>
    <w:rsid w:val="00E460A2"/>
    <w:rsid w:val="00E46250"/>
    <w:rsid w:val="00E4632A"/>
    <w:rsid w:val="00E46635"/>
    <w:rsid w:val="00E467A4"/>
    <w:rsid w:val="00E469F1"/>
    <w:rsid w:val="00E46A61"/>
    <w:rsid w:val="00E46AC1"/>
    <w:rsid w:val="00E46D4D"/>
    <w:rsid w:val="00E46E8E"/>
    <w:rsid w:val="00E46FBC"/>
    <w:rsid w:val="00E47047"/>
    <w:rsid w:val="00E470BF"/>
    <w:rsid w:val="00E47362"/>
    <w:rsid w:val="00E47548"/>
    <w:rsid w:val="00E478AC"/>
    <w:rsid w:val="00E479F6"/>
    <w:rsid w:val="00E47A7D"/>
    <w:rsid w:val="00E47BF0"/>
    <w:rsid w:val="00E47EEF"/>
    <w:rsid w:val="00E47FA5"/>
    <w:rsid w:val="00E5005F"/>
    <w:rsid w:val="00E506FB"/>
    <w:rsid w:val="00E507B2"/>
    <w:rsid w:val="00E50A9C"/>
    <w:rsid w:val="00E50B43"/>
    <w:rsid w:val="00E50D47"/>
    <w:rsid w:val="00E50D93"/>
    <w:rsid w:val="00E51071"/>
    <w:rsid w:val="00E510C7"/>
    <w:rsid w:val="00E5172E"/>
    <w:rsid w:val="00E51941"/>
    <w:rsid w:val="00E519D8"/>
    <w:rsid w:val="00E51E18"/>
    <w:rsid w:val="00E51F1F"/>
    <w:rsid w:val="00E522F1"/>
    <w:rsid w:val="00E525E5"/>
    <w:rsid w:val="00E52A69"/>
    <w:rsid w:val="00E52ABE"/>
    <w:rsid w:val="00E52C48"/>
    <w:rsid w:val="00E52C69"/>
    <w:rsid w:val="00E52CE6"/>
    <w:rsid w:val="00E52D3A"/>
    <w:rsid w:val="00E52FC2"/>
    <w:rsid w:val="00E53CD8"/>
    <w:rsid w:val="00E53D04"/>
    <w:rsid w:val="00E53DF6"/>
    <w:rsid w:val="00E53E61"/>
    <w:rsid w:val="00E53E9B"/>
    <w:rsid w:val="00E53FA2"/>
    <w:rsid w:val="00E54012"/>
    <w:rsid w:val="00E54295"/>
    <w:rsid w:val="00E54426"/>
    <w:rsid w:val="00E54506"/>
    <w:rsid w:val="00E54764"/>
    <w:rsid w:val="00E549CB"/>
    <w:rsid w:val="00E54A1A"/>
    <w:rsid w:val="00E54A91"/>
    <w:rsid w:val="00E54CA0"/>
    <w:rsid w:val="00E54E96"/>
    <w:rsid w:val="00E551E1"/>
    <w:rsid w:val="00E55692"/>
    <w:rsid w:val="00E55BAA"/>
    <w:rsid w:val="00E55CA9"/>
    <w:rsid w:val="00E55DDA"/>
    <w:rsid w:val="00E565ED"/>
    <w:rsid w:val="00E56654"/>
    <w:rsid w:val="00E5694A"/>
    <w:rsid w:val="00E56B01"/>
    <w:rsid w:val="00E56B2D"/>
    <w:rsid w:val="00E56B50"/>
    <w:rsid w:val="00E56C91"/>
    <w:rsid w:val="00E56CD0"/>
    <w:rsid w:val="00E56E6C"/>
    <w:rsid w:val="00E57062"/>
    <w:rsid w:val="00E57191"/>
    <w:rsid w:val="00E577E0"/>
    <w:rsid w:val="00E57887"/>
    <w:rsid w:val="00E57A24"/>
    <w:rsid w:val="00E57B37"/>
    <w:rsid w:val="00E57B59"/>
    <w:rsid w:val="00E57C00"/>
    <w:rsid w:val="00E57D95"/>
    <w:rsid w:val="00E6044A"/>
    <w:rsid w:val="00E60838"/>
    <w:rsid w:val="00E60F7C"/>
    <w:rsid w:val="00E61272"/>
    <w:rsid w:val="00E6134C"/>
    <w:rsid w:val="00E613E5"/>
    <w:rsid w:val="00E613F0"/>
    <w:rsid w:val="00E61EE3"/>
    <w:rsid w:val="00E620C8"/>
    <w:rsid w:val="00E621CF"/>
    <w:rsid w:val="00E6247F"/>
    <w:rsid w:val="00E62772"/>
    <w:rsid w:val="00E62CD0"/>
    <w:rsid w:val="00E62F92"/>
    <w:rsid w:val="00E62F9D"/>
    <w:rsid w:val="00E62FB7"/>
    <w:rsid w:val="00E631AC"/>
    <w:rsid w:val="00E631CC"/>
    <w:rsid w:val="00E635D1"/>
    <w:rsid w:val="00E639EB"/>
    <w:rsid w:val="00E63A42"/>
    <w:rsid w:val="00E63F75"/>
    <w:rsid w:val="00E6423F"/>
    <w:rsid w:val="00E64436"/>
    <w:rsid w:val="00E645E6"/>
    <w:rsid w:val="00E64977"/>
    <w:rsid w:val="00E649BF"/>
    <w:rsid w:val="00E64C8B"/>
    <w:rsid w:val="00E6546C"/>
    <w:rsid w:val="00E655C2"/>
    <w:rsid w:val="00E65883"/>
    <w:rsid w:val="00E65B15"/>
    <w:rsid w:val="00E65D29"/>
    <w:rsid w:val="00E65EE9"/>
    <w:rsid w:val="00E6601F"/>
    <w:rsid w:val="00E6608C"/>
    <w:rsid w:val="00E66118"/>
    <w:rsid w:val="00E66162"/>
    <w:rsid w:val="00E66199"/>
    <w:rsid w:val="00E662A5"/>
    <w:rsid w:val="00E66320"/>
    <w:rsid w:val="00E664A9"/>
    <w:rsid w:val="00E6682E"/>
    <w:rsid w:val="00E66946"/>
    <w:rsid w:val="00E66BF7"/>
    <w:rsid w:val="00E66C15"/>
    <w:rsid w:val="00E66C59"/>
    <w:rsid w:val="00E66E01"/>
    <w:rsid w:val="00E66E60"/>
    <w:rsid w:val="00E66EB2"/>
    <w:rsid w:val="00E672B0"/>
    <w:rsid w:val="00E679ED"/>
    <w:rsid w:val="00E67EFF"/>
    <w:rsid w:val="00E67F27"/>
    <w:rsid w:val="00E70061"/>
    <w:rsid w:val="00E704A6"/>
    <w:rsid w:val="00E7081F"/>
    <w:rsid w:val="00E70BDE"/>
    <w:rsid w:val="00E70C37"/>
    <w:rsid w:val="00E7104E"/>
    <w:rsid w:val="00E710BB"/>
    <w:rsid w:val="00E7166C"/>
    <w:rsid w:val="00E717DF"/>
    <w:rsid w:val="00E718A9"/>
    <w:rsid w:val="00E7196E"/>
    <w:rsid w:val="00E71EC0"/>
    <w:rsid w:val="00E7205A"/>
    <w:rsid w:val="00E7215B"/>
    <w:rsid w:val="00E72C9F"/>
    <w:rsid w:val="00E72D5A"/>
    <w:rsid w:val="00E73007"/>
    <w:rsid w:val="00E730E0"/>
    <w:rsid w:val="00E73168"/>
    <w:rsid w:val="00E733B1"/>
    <w:rsid w:val="00E733BD"/>
    <w:rsid w:val="00E736AC"/>
    <w:rsid w:val="00E736C2"/>
    <w:rsid w:val="00E736F7"/>
    <w:rsid w:val="00E73A88"/>
    <w:rsid w:val="00E73C5D"/>
    <w:rsid w:val="00E73D83"/>
    <w:rsid w:val="00E73F65"/>
    <w:rsid w:val="00E74178"/>
    <w:rsid w:val="00E7420F"/>
    <w:rsid w:val="00E74222"/>
    <w:rsid w:val="00E745E1"/>
    <w:rsid w:val="00E745F6"/>
    <w:rsid w:val="00E74688"/>
    <w:rsid w:val="00E74A1C"/>
    <w:rsid w:val="00E74B31"/>
    <w:rsid w:val="00E74C8A"/>
    <w:rsid w:val="00E74D4E"/>
    <w:rsid w:val="00E74D72"/>
    <w:rsid w:val="00E74FA3"/>
    <w:rsid w:val="00E7502D"/>
    <w:rsid w:val="00E7511E"/>
    <w:rsid w:val="00E752A3"/>
    <w:rsid w:val="00E754BE"/>
    <w:rsid w:val="00E754D0"/>
    <w:rsid w:val="00E75864"/>
    <w:rsid w:val="00E759E2"/>
    <w:rsid w:val="00E75B7F"/>
    <w:rsid w:val="00E75DDE"/>
    <w:rsid w:val="00E76009"/>
    <w:rsid w:val="00E76033"/>
    <w:rsid w:val="00E7604C"/>
    <w:rsid w:val="00E76164"/>
    <w:rsid w:val="00E76580"/>
    <w:rsid w:val="00E766CA"/>
    <w:rsid w:val="00E766F1"/>
    <w:rsid w:val="00E76CA6"/>
    <w:rsid w:val="00E76F06"/>
    <w:rsid w:val="00E77110"/>
    <w:rsid w:val="00E7732E"/>
    <w:rsid w:val="00E773EE"/>
    <w:rsid w:val="00E7767D"/>
    <w:rsid w:val="00E777E0"/>
    <w:rsid w:val="00E77957"/>
    <w:rsid w:val="00E77CB8"/>
    <w:rsid w:val="00E77EFF"/>
    <w:rsid w:val="00E77F47"/>
    <w:rsid w:val="00E800AB"/>
    <w:rsid w:val="00E801A2"/>
    <w:rsid w:val="00E8034C"/>
    <w:rsid w:val="00E803AB"/>
    <w:rsid w:val="00E80410"/>
    <w:rsid w:val="00E8056F"/>
    <w:rsid w:val="00E8087A"/>
    <w:rsid w:val="00E80B1A"/>
    <w:rsid w:val="00E80E35"/>
    <w:rsid w:val="00E81087"/>
    <w:rsid w:val="00E8110F"/>
    <w:rsid w:val="00E811AE"/>
    <w:rsid w:val="00E8128D"/>
    <w:rsid w:val="00E8164A"/>
    <w:rsid w:val="00E8198A"/>
    <w:rsid w:val="00E81BB3"/>
    <w:rsid w:val="00E81D29"/>
    <w:rsid w:val="00E82173"/>
    <w:rsid w:val="00E82220"/>
    <w:rsid w:val="00E8263B"/>
    <w:rsid w:val="00E829F3"/>
    <w:rsid w:val="00E82ADD"/>
    <w:rsid w:val="00E83099"/>
    <w:rsid w:val="00E830B0"/>
    <w:rsid w:val="00E83502"/>
    <w:rsid w:val="00E837D2"/>
    <w:rsid w:val="00E83B40"/>
    <w:rsid w:val="00E84220"/>
    <w:rsid w:val="00E8477C"/>
    <w:rsid w:val="00E84891"/>
    <w:rsid w:val="00E8492B"/>
    <w:rsid w:val="00E84B29"/>
    <w:rsid w:val="00E84C8A"/>
    <w:rsid w:val="00E84D64"/>
    <w:rsid w:val="00E852A5"/>
    <w:rsid w:val="00E85722"/>
    <w:rsid w:val="00E8578E"/>
    <w:rsid w:val="00E85C35"/>
    <w:rsid w:val="00E85E0E"/>
    <w:rsid w:val="00E85E5E"/>
    <w:rsid w:val="00E8604E"/>
    <w:rsid w:val="00E8631D"/>
    <w:rsid w:val="00E86330"/>
    <w:rsid w:val="00E86337"/>
    <w:rsid w:val="00E864DB"/>
    <w:rsid w:val="00E865D4"/>
    <w:rsid w:val="00E86812"/>
    <w:rsid w:val="00E86816"/>
    <w:rsid w:val="00E869AD"/>
    <w:rsid w:val="00E86B8B"/>
    <w:rsid w:val="00E86D54"/>
    <w:rsid w:val="00E87327"/>
    <w:rsid w:val="00E879ED"/>
    <w:rsid w:val="00E87AEE"/>
    <w:rsid w:val="00E87B85"/>
    <w:rsid w:val="00E87C39"/>
    <w:rsid w:val="00E87C4A"/>
    <w:rsid w:val="00E87E0F"/>
    <w:rsid w:val="00E87EC3"/>
    <w:rsid w:val="00E87F21"/>
    <w:rsid w:val="00E87F70"/>
    <w:rsid w:val="00E87FE4"/>
    <w:rsid w:val="00E901CC"/>
    <w:rsid w:val="00E90463"/>
    <w:rsid w:val="00E906B7"/>
    <w:rsid w:val="00E90865"/>
    <w:rsid w:val="00E908FD"/>
    <w:rsid w:val="00E90A52"/>
    <w:rsid w:val="00E90AF8"/>
    <w:rsid w:val="00E90EE9"/>
    <w:rsid w:val="00E912FC"/>
    <w:rsid w:val="00E9133A"/>
    <w:rsid w:val="00E91404"/>
    <w:rsid w:val="00E9157F"/>
    <w:rsid w:val="00E91811"/>
    <w:rsid w:val="00E918A1"/>
    <w:rsid w:val="00E91ADD"/>
    <w:rsid w:val="00E91DC1"/>
    <w:rsid w:val="00E91F95"/>
    <w:rsid w:val="00E92177"/>
    <w:rsid w:val="00E9245B"/>
    <w:rsid w:val="00E92778"/>
    <w:rsid w:val="00E92879"/>
    <w:rsid w:val="00E92896"/>
    <w:rsid w:val="00E928CF"/>
    <w:rsid w:val="00E92A0B"/>
    <w:rsid w:val="00E92B0E"/>
    <w:rsid w:val="00E92F6F"/>
    <w:rsid w:val="00E92FED"/>
    <w:rsid w:val="00E9302C"/>
    <w:rsid w:val="00E9304D"/>
    <w:rsid w:val="00E93158"/>
    <w:rsid w:val="00E936EA"/>
    <w:rsid w:val="00E938F1"/>
    <w:rsid w:val="00E93BE3"/>
    <w:rsid w:val="00E93DFB"/>
    <w:rsid w:val="00E93F5B"/>
    <w:rsid w:val="00E93FEA"/>
    <w:rsid w:val="00E9423D"/>
    <w:rsid w:val="00E9444C"/>
    <w:rsid w:val="00E944EC"/>
    <w:rsid w:val="00E9476F"/>
    <w:rsid w:val="00E94817"/>
    <w:rsid w:val="00E9493E"/>
    <w:rsid w:val="00E94AE4"/>
    <w:rsid w:val="00E94EFD"/>
    <w:rsid w:val="00E94F62"/>
    <w:rsid w:val="00E95505"/>
    <w:rsid w:val="00E955C2"/>
    <w:rsid w:val="00E95664"/>
    <w:rsid w:val="00E957D5"/>
    <w:rsid w:val="00E95B95"/>
    <w:rsid w:val="00E95EB5"/>
    <w:rsid w:val="00E9607E"/>
    <w:rsid w:val="00E9624E"/>
    <w:rsid w:val="00E963DA"/>
    <w:rsid w:val="00E96469"/>
    <w:rsid w:val="00E96711"/>
    <w:rsid w:val="00E96747"/>
    <w:rsid w:val="00E96B76"/>
    <w:rsid w:val="00E9705D"/>
    <w:rsid w:val="00E97481"/>
    <w:rsid w:val="00E974D4"/>
    <w:rsid w:val="00E97527"/>
    <w:rsid w:val="00E97544"/>
    <w:rsid w:val="00E9787B"/>
    <w:rsid w:val="00E978E3"/>
    <w:rsid w:val="00E97948"/>
    <w:rsid w:val="00E97B6D"/>
    <w:rsid w:val="00E97FBF"/>
    <w:rsid w:val="00EA01B5"/>
    <w:rsid w:val="00EA0236"/>
    <w:rsid w:val="00EA0602"/>
    <w:rsid w:val="00EA06C6"/>
    <w:rsid w:val="00EA07D0"/>
    <w:rsid w:val="00EA09FC"/>
    <w:rsid w:val="00EA0B83"/>
    <w:rsid w:val="00EA0C97"/>
    <w:rsid w:val="00EA0D4C"/>
    <w:rsid w:val="00EA1003"/>
    <w:rsid w:val="00EA10D9"/>
    <w:rsid w:val="00EA11CC"/>
    <w:rsid w:val="00EA14B6"/>
    <w:rsid w:val="00EA15B6"/>
    <w:rsid w:val="00EA1BD3"/>
    <w:rsid w:val="00EA1CEB"/>
    <w:rsid w:val="00EA1E2D"/>
    <w:rsid w:val="00EA204B"/>
    <w:rsid w:val="00EA20C9"/>
    <w:rsid w:val="00EA23AF"/>
    <w:rsid w:val="00EA2504"/>
    <w:rsid w:val="00EA264B"/>
    <w:rsid w:val="00EA2741"/>
    <w:rsid w:val="00EA27D3"/>
    <w:rsid w:val="00EA2A10"/>
    <w:rsid w:val="00EA2AC9"/>
    <w:rsid w:val="00EA2DDB"/>
    <w:rsid w:val="00EA2E77"/>
    <w:rsid w:val="00EA2FFC"/>
    <w:rsid w:val="00EA3616"/>
    <w:rsid w:val="00EA4135"/>
    <w:rsid w:val="00EA41B6"/>
    <w:rsid w:val="00EA4583"/>
    <w:rsid w:val="00EA466C"/>
    <w:rsid w:val="00EA4864"/>
    <w:rsid w:val="00EA493D"/>
    <w:rsid w:val="00EA4973"/>
    <w:rsid w:val="00EA4A2C"/>
    <w:rsid w:val="00EA4BA3"/>
    <w:rsid w:val="00EA4C31"/>
    <w:rsid w:val="00EA4CF6"/>
    <w:rsid w:val="00EA4DBD"/>
    <w:rsid w:val="00EA4DE9"/>
    <w:rsid w:val="00EA4E19"/>
    <w:rsid w:val="00EA4F51"/>
    <w:rsid w:val="00EA556E"/>
    <w:rsid w:val="00EA587B"/>
    <w:rsid w:val="00EA58C7"/>
    <w:rsid w:val="00EA5DA9"/>
    <w:rsid w:val="00EA6094"/>
    <w:rsid w:val="00EA6342"/>
    <w:rsid w:val="00EA69CA"/>
    <w:rsid w:val="00EA6AEE"/>
    <w:rsid w:val="00EA6B09"/>
    <w:rsid w:val="00EA6C1F"/>
    <w:rsid w:val="00EA6E0E"/>
    <w:rsid w:val="00EA7443"/>
    <w:rsid w:val="00EA75BA"/>
    <w:rsid w:val="00EA7E82"/>
    <w:rsid w:val="00EA7F1C"/>
    <w:rsid w:val="00EB0136"/>
    <w:rsid w:val="00EB043C"/>
    <w:rsid w:val="00EB0834"/>
    <w:rsid w:val="00EB0A7E"/>
    <w:rsid w:val="00EB0B40"/>
    <w:rsid w:val="00EB0D7E"/>
    <w:rsid w:val="00EB0D88"/>
    <w:rsid w:val="00EB0E1E"/>
    <w:rsid w:val="00EB141F"/>
    <w:rsid w:val="00EB17B4"/>
    <w:rsid w:val="00EB1C51"/>
    <w:rsid w:val="00EB1DF4"/>
    <w:rsid w:val="00EB1EA8"/>
    <w:rsid w:val="00EB1F5D"/>
    <w:rsid w:val="00EB1FF9"/>
    <w:rsid w:val="00EB2429"/>
    <w:rsid w:val="00EB2577"/>
    <w:rsid w:val="00EB2DCC"/>
    <w:rsid w:val="00EB2F9E"/>
    <w:rsid w:val="00EB2FE2"/>
    <w:rsid w:val="00EB31FC"/>
    <w:rsid w:val="00EB327D"/>
    <w:rsid w:val="00EB35D0"/>
    <w:rsid w:val="00EB3885"/>
    <w:rsid w:val="00EB3986"/>
    <w:rsid w:val="00EB3CB6"/>
    <w:rsid w:val="00EB3E9A"/>
    <w:rsid w:val="00EB4527"/>
    <w:rsid w:val="00EB45C3"/>
    <w:rsid w:val="00EB46A9"/>
    <w:rsid w:val="00EB48AE"/>
    <w:rsid w:val="00EB4A6F"/>
    <w:rsid w:val="00EB4C83"/>
    <w:rsid w:val="00EB4C8C"/>
    <w:rsid w:val="00EB5321"/>
    <w:rsid w:val="00EB53E3"/>
    <w:rsid w:val="00EB5758"/>
    <w:rsid w:val="00EB5C87"/>
    <w:rsid w:val="00EB5DFB"/>
    <w:rsid w:val="00EB5E5F"/>
    <w:rsid w:val="00EB62E1"/>
    <w:rsid w:val="00EB6484"/>
    <w:rsid w:val="00EB6573"/>
    <w:rsid w:val="00EB66AE"/>
    <w:rsid w:val="00EB6774"/>
    <w:rsid w:val="00EB6854"/>
    <w:rsid w:val="00EB6CE1"/>
    <w:rsid w:val="00EB6E16"/>
    <w:rsid w:val="00EB6ECB"/>
    <w:rsid w:val="00EB7123"/>
    <w:rsid w:val="00EB72FD"/>
    <w:rsid w:val="00EB73F6"/>
    <w:rsid w:val="00EB74EC"/>
    <w:rsid w:val="00EB772D"/>
    <w:rsid w:val="00EB7799"/>
    <w:rsid w:val="00EB7916"/>
    <w:rsid w:val="00EB7AC9"/>
    <w:rsid w:val="00EB7B13"/>
    <w:rsid w:val="00EB7C05"/>
    <w:rsid w:val="00EB7E28"/>
    <w:rsid w:val="00EB7E5C"/>
    <w:rsid w:val="00EC0322"/>
    <w:rsid w:val="00EC0508"/>
    <w:rsid w:val="00EC061E"/>
    <w:rsid w:val="00EC0879"/>
    <w:rsid w:val="00EC12B5"/>
    <w:rsid w:val="00EC1348"/>
    <w:rsid w:val="00EC13FD"/>
    <w:rsid w:val="00EC1776"/>
    <w:rsid w:val="00EC1DDD"/>
    <w:rsid w:val="00EC1DFF"/>
    <w:rsid w:val="00EC1F2E"/>
    <w:rsid w:val="00EC1F6A"/>
    <w:rsid w:val="00EC1F73"/>
    <w:rsid w:val="00EC2217"/>
    <w:rsid w:val="00EC2330"/>
    <w:rsid w:val="00EC253B"/>
    <w:rsid w:val="00EC283D"/>
    <w:rsid w:val="00EC284A"/>
    <w:rsid w:val="00EC29EC"/>
    <w:rsid w:val="00EC2B0B"/>
    <w:rsid w:val="00EC2CDC"/>
    <w:rsid w:val="00EC307D"/>
    <w:rsid w:val="00EC3295"/>
    <w:rsid w:val="00EC353B"/>
    <w:rsid w:val="00EC38A9"/>
    <w:rsid w:val="00EC39C2"/>
    <w:rsid w:val="00EC3ACE"/>
    <w:rsid w:val="00EC4190"/>
    <w:rsid w:val="00EC4389"/>
    <w:rsid w:val="00EC4493"/>
    <w:rsid w:val="00EC44AB"/>
    <w:rsid w:val="00EC50BB"/>
    <w:rsid w:val="00EC527D"/>
    <w:rsid w:val="00EC528A"/>
    <w:rsid w:val="00EC559B"/>
    <w:rsid w:val="00EC56FC"/>
    <w:rsid w:val="00EC5988"/>
    <w:rsid w:val="00EC5A19"/>
    <w:rsid w:val="00EC5DA9"/>
    <w:rsid w:val="00EC5DD2"/>
    <w:rsid w:val="00EC6233"/>
    <w:rsid w:val="00EC640D"/>
    <w:rsid w:val="00EC641E"/>
    <w:rsid w:val="00EC64D1"/>
    <w:rsid w:val="00EC662B"/>
    <w:rsid w:val="00EC68DD"/>
    <w:rsid w:val="00EC693D"/>
    <w:rsid w:val="00EC69F7"/>
    <w:rsid w:val="00EC6D61"/>
    <w:rsid w:val="00EC6DAF"/>
    <w:rsid w:val="00EC72DA"/>
    <w:rsid w:val="00EC7335"/>
    <w:rsid w:val="00EC73F3"/>
    <w:rsid w:val="00EC74C1"/>
    <w:rsid w:val="00EC755B"/>
    <w:rsid w:val="00EC7642"/>
    <w:rsid w:val="00EC7811"/>
    <w:rsid w:val="00EC7B63"/>
    <w:rsid w:val="00EC7DAD"/>
    <w:rsid w:val="00EC7EE6"/>
    <w:rsid w:val="00EC7FFE"/>
    <w:rsid w:val="00ED0009"/>
    <w:rsid w:val="00ED021A"/>
    <w:rsid w:val="00ED08DB"/>
    <w:rsid w:val="00ED090A"/>
    <w:rsid w:val="00ED09C3"/>
    <w:rsid w:val="00ED0D1A"/>
    <w:rsid w:val="00ED0DD9"/>
    <w:rsid w:val="00ED0E0C"/>
    <w:rsid w:val="00ED0ED2"/>
    <w:rsid w:val="00ED0FA0"/>
    <w:rsid w:val="00ED10FA"/>
    <w:rsid w:val="00ED1211"/>
    <w:rsid w:val="00ED135B"/>
    <w:rsid w:val="00ED1553"/>
    <w:rsid w:val="00ED170B"/>
    <w:rsid w:val="00ED1734"/>
    <w:rsid w:val="00ED1A27"/>
    <w:rsid w:val="00ED22A3"/>
    <w:rsid w:val="00ED22CB"/>
    <w:rsid w:val="00ED2A19"/>
    <w:rsid w:val="00ED2CA0"/>
    <w:rsid w:val="00ED321C"/>
    <w:rsid w:val="00ED337A"/>
    <w:rsid w:val="00ED3431"/>
    <w:rsid w:val="00ED34F3"/>
    <w:rsid w:val="00ED35AC"/>
    <w:rsid w:val="00ED37C0"/>
    <w:rsid w:val="00ED3A21"/>
    <w:rsid w:val="00ED3B94"/>
    <w:rsid w:val="00ED3D6A"/>
    <w:rsid w:val="00ED3E2D"/>
    <w:rsid w:val="00ED4014"/>
    <w:rsid w:val="00ED40D5"/>
    <w:rsid w:val="00ED412B"/>
    <w:rsid w:val="00ED4333"/>
    <w:rsid w:val="00ED443F"/>
    <w:rsid w:val="00ED44EA"/>
    <w:rsid w:val="00ED483B"/>
    <w:rsid w:val="00ED4957"/>
    <w:rsid w:val="00ED4A79"/>
    <w:rsid w:val="00ED4BA9"/>
    <w:rsid w:val="00ED4C40"/>
    <w:rsid w:val="00ED5147"/>
    <w:rsid w:val="00ED51FD"/>
    <w:rsid w:val="00ED53D5"/>
    <w:rsid w:val="00ED5657"/>
    <w:rsid w:val="00ED58E9"/>
    <w:rsid w:val="00ED5DEB"/>
    <w:rsid w:val="00ED5EDC"/>
    <w:rsid w:val="00ED5FCC"/>
    <w:rsid w:val="00ED65D1"/>
    <w:rsid w:val="00ED66E2"/>
    <w:rsid w:val="00ED67A0"/>
    <w:rsid w:val="00ED6824"/>
    <w:rsid w:val="00ED695C"/>
    <w:rsid w:val="00ED69CA"/>
    <w:rsid w:val="00ED6C79"/>
    <w:rsid w:val="00ED6D3D"/>
    <w:rsid w:val="00ED723D"/>
    <w:rsid w:val="00ED734E"/>
    <w:rsid w:val="00ED742F"/>
    <w:rsid w:val="00ED77DE"/>
    <w:rsid w:val="00ED7885"/>
    <w:rsid w:val="00ED78C8"/>
    <w:rsid w:val="00ED7DD9"/>
    <w:rsid w:val="00EE007B"/>
    <w:rsid w:val="00EE0305"/>
    <w:rsid w:val="00EE0421"/>
    <w:rsid w:val="00EE06E1"/>
    <w:rsid w:val="00EE0AFD"/>
    <w:rsid w:val="00EE0D5D"/>
    <w:rsid w:val="00EE0E32"/>
    <w:rsid w:val="00EE0E63"/>
    <w:rsid w:val="00EE0EC8"/>
    <w:rsid w:val="00EE1152"/>
    <w:rsid w:val="00EE11D4"/>
    <w:rsid w:val="00EE134F"/>
    <w:rsid w:val="00EE13C5"/>
    <w:rsid w:val="00EE14BA"/>
    <w:rsid w:val="00EE1520"/>
    <w:rsid w:val="00EE1920"/>
    <w:rsid w:val="00EE1A2E"/>
    <w:rsid w:val="00EE1B20"/>
    <w:rsid w:val="00EE1D95"/>
    <w:rsid w:val="00EE2112"/>
    <w:rsid w:val="00EE218A"/>
    <w:rsid w:val="00EE2293"/>
    <w:rsid w:val="00EE231A"/>
    <w:rsid w:val="00EE27E2"/>
    <w:rsid w:val="00EE286E"/>
    <w:rsid w:val="00EE2B47"/>
    <w:rsid w:val="00EE3137"/>
    <w:rsid w:val="00EE3163"/>
    <w:rsid w:val="00EE3322"/>
    <w:rsid w:val="00EE37B9"/>
    <w:rsid w:val="00EE3C1A"/>
    <w:rsid w:val="00EE3D08"/>
    <w:rsid w:val="00EE4276"/>
    <w:rsid w:val="00EE45D8"/>
    <w:rsid w:val="00EE484A"/>
    <w:rsid w:val="00EE4917"/>
    <w:rsid w:val="00EE4A86"/>
    <w:rsid w:val="00EE4FCD"/>
    <w:rsid w:val="00EE51CB"/>
    <w:rsid w:val="00EE5323"/>
    <w:rsid w:val="00EE5571"/>
    <w:rsid w:val="00EE5651"/>
    <w:rsid w:val="00EE592B"/>
    <w:rsid w:val="00EE5A63"/>
    <w:rsid w:val="00EE5CB2"/>
    <w:rsid w:val="00EE5D4F"/>
    <w:rsid w:val="00EE5E9C"/>
    <w:rsid w:val="00EE6018"/>
    <w:rsid w:val="00EE63BD"/>
    <w:rsid w:val="00EE642B"/>
    <w:rsid w:val="00EE676D"/>
    <w:rsid w:val="00EE68B5"/>
    <w:rsid w:val="00EE6FEB"/>
    <w:rsid w:val="00EE7538"/>
    <w:rsid w:val="00EE76CE"/>
    <w:rsid w:val="00EE799F"/>
    <w:rsid w:val="00EE7C07"/>
    <w:rsid w:val="00EE7F59"/>
    <w:rsid w:val="00EF0378"/>
    <w:rsid w:val="00EF0552"/>
    <w:rsid w:val="00EF0718"/>
    <w:rsid w:val="00EF0729"/>
    <w:rsid w:val="00EF07A3"/>
    <w:rsid w:val="00EF08AC"/>
    <w:rsid w:val="00EF08EF"/>
    <w:rsid w:val="00EF0940"/>
    <w:rsid w:val="00EF0942"/>
    <w:rsid w:val="00EF097B"/>
    <w:rsid w:val="00EF0A6C"/>
    <w:rsid w:val="00EF0B93"/>
    <w:rsid w:val="00EF0C30"/>
    <w:rsid w:val="00EF1322"/>
    <w:rsid w:val="00EF1400"/>
    <w:rsid w:val="00EF15FE"/>
    <w:rsid w:val="00EF1ACF"/>
    <w:rsid w:val="00EF1AEF"/>
    <w:rsid w:val="00EF1E2F"/>
    <w:rsid w:val="00EF1FAC"/>
    <w:rsid w:val="00EF20F6"/>
    <w:rsid w:val="00EF22DB"/>
    <w:rsid w:val="00EF2547"/>
    <w:rsid w:val="00EF2591"/>
    <w:rsid w:val="00EF2630"/>
    <w:rsid w:val="00EF2768"/>
    <w:rsid w:val="00EF282A"/>
    <w:rsid w:val="00EF2EB6"/>
    <w:rsid w:val="00EF31D5"/>
    <w:rsid w:val="00EF31D6"/>
    <w:rsid w:val="00EF3211"/>
    <w:rsid w:val="00EF324E"/>
    <w:rsid w:val="00EF32BB"/>
    <w:rsid w:val="00EF3398"/>
    <w:rsid w:val="00EF3513"/>
    <w:rsid w:val="00EF362B"/>
    <w:rsid w:val="00EF3754"/>
    <w:rsid w:val="00EF3890"/>
    <w:rsid w:val="00EF399E"/>
    <w:rsid w:val="00EF3DF0"/>
    <w:rsid w:val="00EF3E24"/>
    <w:rsid w:val="00EF3E39"/>
    <w:rsid w:val="00EF3EEA"/>
    <w:rsid w:val="00EF3F34"/>
    <w:rsid w:val="00EF465F"/>
    <w:rsid w:val="00EF4950"/>
    <w:rsid w:val="00EF4C33"/>
    <w:rsid w:val="00EF57E4"/>
    <w:rsid w:val="00EF58CA"/>
    <w:rsid w:val="00EF5999"/>
    <w:rsid w:val="00EF5A88"/>
    <w:rsid w:val="00EF5ABC"/>
    <w:rsid w:val="00EF5B47"/>
    <w:rsid w:val="00EF5C18"/>
    <w:rsid w:val="00EF5C8C"/>
    <w:rsid w:val="00EF5D6A"/>
    <w:rsid w:val="00EF6531"/>
    <w:rsid w:val="00EF65D1"/>
    <w:rsid w:val="00EF672E"/>
    <w:rsid w:val="00EF689F"/>
    <w:rsid w:val="00EF6BC0"/>
    <w:rsid w:val="00EF6D03"/>
    <w:rsid w:val="00EF6E2D"/>
    <w:rsid w:val="00EF6F39"/>
    <w:rsid w:val="00EF73F9"/>
    <w:rsid w:val="00EF744E"/>
    <w:rsid w:val="00EF7740"/>
    <w:rsid w:val="00EF786D"/>
    <w:rsid w:val="00EF7964"/>
    <w:rsid w:val="00EF7A02"/>
    <w:rsid w:val="00EF7C27"/>
    <w:rsid w:val="00EF7C31"/>
    <w:rsid w:val="00EF7E3A"/>
    <w:rsid w:val="00F000D9"/>
    <w:rsid w:val="00F001F4"/>
    <w:rsid w:val="00F00364"/>
    <w:rsid w:val="00F0041C"/>
    <w:rsid w:val="00F004EB"/>
    <w:rsid w:val="00F005A0"/>
    <w:rsid w:val="00F00603"/>
    <w:rsid w:val="00F006EB"/>
    <w:rsid w:val="00F00AB5"/>
    <w:rsid w:val="00F00B7F"/>
    <w:rsid w:val="00F00B95"/>
    <w:rsid w:val="00F00E61"/>
    <w:rsid w:val="00F01002"/>
    <w:rsid w:val="00F012E1"/>
    <w:rsid w:val="00F015B6"/>
    <w:rsid w:val="00F015BD"/>
    <w:rsid w:val="00F0195A"/>
    <w:rsid w:val="00F01C04"/>
    <w:rsid w:val="00F0221A"/>
    <w:rsid w:val="00F022A9"/>
    <w:rsid w:val="00F02328"/>
    <w:rsid w:val="00F0264A"/>
    <w:rsid w:val="00F02791"/>
    <w:rsid w:val="00F027A7"/>
    <w:rsid w:val="00F02A95"/>
    <w:rsid w:val="00F02B7B"/>
    <w:rsid w:val="00F02C82"/>
    <w:rsid w:val="00F02D38"/>
    <w:rsid w:val="00F03044"/>
    <w:rsid w:val="00F03543"/>
    <w:rsid w:val="00F0382D"/>
    <w:rsid w:val="00F038D0"/>
    <w:rsid w:val="00F039E0"/>
    <w:rsid w:val="00F03BA7"/>
    <w:rsid w:val="00F03D5A"/>
    <w:rsid w:val="00F03D6D"/>
    <w:rsid w:val="00F03F27"/>
    <w:rsid w:val="00F04B7F"/>
    <w:rsid w:val="00F04CA4"/>
    <w:rsid w:val="00F04D15"/>
    <w:rsid w:val="00F04D20"/>
    <w:rsid w:val="00F05380"/>
    <w:rsid w:val="00F0543C"/>
    <w:rsid w:val="00F05498"/>
    <w:rsid w:val="00F05503"/>
    <w:rsid w:val="00F05611"/>
    <w:rsid w:val="00F0578F"/>
    <w:rsid w:val="00F058BE"/>
    <w:rsid w:val="00F05BB3"/>
    <w:rsid w:val="00F05CC1"/>
    <w:rsid w:val="00F05F46"/>
    <w:rsid w:val="00F05F94"/>
    <w:rsid w:val="00F06191"/>
    <w:rsid w:val="00F06244"/>
    <w:rsid w:val="00F06291"/>
    <w:rsid w:val="00F064A0"/>
    <w:rsid w:val="00F066D7"/>
    <w:rsid w:val="00F06706"/>
    <w:rsid w:val="00F0691B"/>
    <w:rsid w:val="00F06BA6"/>
    <w:rsid w:val="00F06BBA"/>
    <w:rsid w:val="00F06D48"/>
    <w:rsid w:val="00F06EB4"/>
    <w:rsid w:val="00F0716F"/>
    <w:rsid w:val="00F071E3"/>
    <w:rsid w:val="00F072EF"/>
    <w:rsid w:val="00F07529"/>
    <w:rsid w:val="00F0762E"/>
    <w:rsid w:val="00F07974"/>
    <w:rsid w:val="00F07A31"/>
    <w:rsid w:val="00F07B97"/>
    <w:rsid w:val="00F07E05"/>
    <w:rsid w:val="00F07EE5"/>
    <w:rsid w:val="00F07F22"/>
    <w:rsid w:val="00F10188"/>
    <w:rsid w:val="00F101D8"/>
    <w:rsid w:val="00F101EF"/>
    <w:rsid w:val="00F10382"/>
    <w:rsid w:val="00F10479"/>
    <w:rsid w:val="00F10626"/>
    <w:rsid w:val="00F1068B"/>
    <w:rsid w:val="00F10780"/>
    <w:rsid w:val="00F109FA"/>
    <w:rsid w:val="00F10B6B"/>
    <w:rsid w:val="00F10BD2"/>
    <w:rsid w:val="00F10F22"/>
    <w:rsid w:val="00F113DE"/>
    <w:rsid w:val="00F11583"/>
    <w:rsid w:val="00F115FB"/>
    <w:rsid w:val="00F1171F"/>
    <w:rsid w:val="00F118DF"/>
    <w:rsid w:val="00F12054"/>
    <w:rsid w:val="00F12175"/>
    <w:rsid w:val="00F12267"/>
    <w:rsid w:val="00F129FA"/>
    <w:rsid w:val="00F12A45"/>
    <w:rsid w:val="00F12E61"/>
    <w:rsid w:val="00F13399"/>
    <w:rsid w:val="00F13467"/>
    <w:rsid w:val="00F13B76"/>
    <w:rsid w:val="00F144F4"/>
    <w:rsid w:val="00F1452E"/>
    <w:rsid w:val="00F146F6"/>
    <w:rsid w:val="00F14823"/>
    <w:rsid w:val="00F1491E"/>
    <w:rsid w:val="00F14AB2"/>
    <w:rsid w:val="00F15171"/>
    <w:rsid w:val="00F1526C"/>
    <w:rsid w:val="00F15413"/>
    <w:rsid w:val="00F15415"/>
    <w:rsid w:val="00F1552A"/>
    <w:rsid w:val="00F156C3"/>
    <w:rsid w:val="00F15927"/>
    <w:rsid w:val="00F15B6A"/>
    <w:rsid w:val="00F15C50"/>
    <w:rsid w:val="00F15C96"/>
    <w:rsid w:val="00F15DF4"/>
    <w:rsid w:val="00F15F3F"/>
    <w:rsid w:val="00F15F52"/>
    <w:rsid w:val="00F15F59"/>
    <w:rsid w:val="00F15FD2"/>
    <w:rsid w:val="00F16837"/>
    <w:rsid w:val="00F16885"/>
    <w:rsid w:val="00F16CF9"/>
    <w:rsid w:val="00F16D12"/>
    <w:rsid w:val="00F170A5"/>
    <w:rsid w:val="00F17496"/>
    <w:rsid w:val="00F1768F"/>
    <w:rsid w:val="00F17691"/>
    <w:rsid w:val="00F176DA"/>
    <w:rsid w:val="00F17853"/>
    <w:rsid w:val="00F1787D"/>
    <w:rsid w:val="00F17954"/>
    <w:rsid w:val="00F17982"/>
    <w:rsid w:val="00F179D1"/>
    <w:rsid w:val="00F17A15"/>
    <w:rsid w:val="00F17E25"/>
    <w:rsid w:val="00F2001B"/>
    <w:rsid w:val="00F2011B"/>
    <w:rsid w:val="00F20204"/>
    <w:rsid w:val="00F20241"/>
    <w:rsid w:val="00F203FA"/>
    <w:rsid w:val="00F208CF"/>
    <w:rsid w:val="00F20B22"/>
    <w:rsid w:val="00F20CDA"/>
    <w:rsid w:val="00F20F94"/>
    <w:rsid w:val="00F210CD"/>
    <w:rsid w:val="00F21196"/>
    <w:rsid w:val="00F21490"/>
    <w:rsid w:val="00F2157B"/>
    <w:rsid w:val="00F2173D"/>
    <w:rsid w:val="00F2199C"/>
    <w:rsid w:val="00F21ADB"/>
    <w:rsid w:val="00F21DAA"/>
    <w:rsid w:val="00F224BF"/>
    <w:rsid w:val="00F22637"/>
    <w:rsid w:val="00F22BDD"/>
    <w:rsid w:val="00F22C10"/>
    <w:rsid w:val="00F22EC6"/>
    <w:rsid w:val="00F23016"/>
    <w:rsid w:val="00F230BB"/>
    <w:rsid w:val="00F234A7"/>
    <w:rsid w:val="00F235F2"/>
    <w:rsid w:val="00F2364D"/>
    <w:rsid w:val="00F2375D"/>
    <w:rsid w:val="00F23BDC"/>
    <w:rsid w:val="00F23C52"/>
    <w:rsid w:val="00F23CDF"/>
    <w:rsid w:val="00F23DB9"/>
    <w:rsid w:val="00F240E6"/>
    <w:rsid w:val="00F24380"/>
    <w:rsid w:val="00F243FB"/>
    <w:rsid w:val="00F246B8"/>
    <w:rsid w:val="00F24930"/>
    <w:rsid w:val="00F24C36"/>
    <w:rsid w:val="00F24EB7"/>
    <w:rsid w:val="00F24EF5"/>
    <w:rsid w:val="00F252FC"/>
    <w:rsid w:val="00F257A5"/>
    <w:rsid w:val="00F25A48"/>
    <w:rsid w:val="00F25D12"/>
    <w:rsid w:val="00F26E32"/>
    <w:rsid w:val="00F26EC7"/>
    <w:rsid w:val="00F26F1E"/>
    <w:rsid w:val="00F2741F"/>
    <w:rsid w:val="00F27520"/>
    <w:rsid w:val="00F276CB"/>
    <w:rsid w:val="00F27868"/>
    <w:rsid w:val="00F278FA"/>
    <w:rsid w:val="00F27F27"/>
    <w:rsid w:val="00F27FA0"/>
    <w:rsid w:val="00F30301"/>
    <w:rsid w:val="00F30497"/>
    <w:rsid w:val="00F307A7"/>
    <w:rsid w:val="00F3090F"/>
    <w:rsid w:val="00F30BFF"/>
    <w:rsid w:val="00F30D81"/>
    <w:rsid w:val="00F3102C"/>
    <w:rsid w:val="00F3114D"/>
    <w:rsid w:val="00F312F5"/>
    <w:rsid w:val="00F313DE"/>
    <w:rsid w:val="00F3148A"/>
    <w:rsid w:val="00F31B49"/>
    <w:rsid w:val="00F31B83"/>
    <w:rsid w:val="00F31DC9"/>
    <w:rsid w:val="00F31E69"/>
    <w:rsid w:val="00F32279"/>
    <w:rsid w:val="00F3238A"/>
    <w:rsid w:val="00F325A7"/>
    <w:rsid w:val="00F32615"/>
    <w:rsid w:val="00F32644"/>
    <w:rsid w:val="00F32E91"/>
    <w:rsid w:val="00F32EAE"/>
    <w:rsid w:val="00F3312C"/>
    <w:rsid w:val="00F33210"/>
    <w:rsid w:val="00F33395"/>
    <w:rsid w:val="00F333DD"/>
    <w:rsid w:val="00F3348A"/>
    <w:rsid w:val="00F334A9"/>
    <w:rsid w:val="00F33666"/>
    <w:rsid w:val="00F336B1"/>
    <w:rsid w:val="00F337FF"/>
    <w:rsid w:val="00F33A7B"/>
    <w:rsid w:val="00F33AD5"/>
    <w:rsid w:val="00F33CCD"/>
    <w:rsid w:val="00F33E8A"/>
    <w:rsid w:val="00F340E7"/>
    <w:rsid w:val="00F3492B"/>
    <w:rsid w:val="00F3518A"/>
    <w:rsid w:val="00F351DF"/>
    <w:rsid w:val="00F35239"/>
    <w:rsid w:val="00F35357"/>
    <w:rsid w:val="00F3549C"/>
    <w:rsid w:val="00F355CC"/>
    <w:rsid w:val="00F35EBD"/>
    <w:rsid w:val="00F36429"/>
    <w:rsid w:val="00F3654D"/>
    <w:rsid w:val="00F36729"/>
    <w:rsid w:val="00F368FD"/>
    <w:rsid w:val="00F36971"/>
    <w:rsid w:val="00F36B24"/>
    <w:rsid w:val="00F36B9D"/>
    <w:rsid w:val="00F36FC7"/>
    <w:rsid w:val="00F37148"/>
    <w:rsid w:val="00F372A8"/>
    <w:rsid w:val="00F3764D"/>
    <w:rsid w:val="00F378F4"/>
    <w:rsid w:val="00F37B63"/>
    <w:rsid w:val="00F40036"/>
    <w:rsid w:val="00F400A6"/>
    <w:rsid w:val="00F400DD"/>
    <w:rsid w:val="00F403E4"/>
    <w:rsid w:val="00F40620"/>
    <w:rsid w:val="00F408A1"/>
    <w:rsid w:val="00F408E9"/>
    <w:rsid w:val="00F4094F"/>
    <w:rsid w:val="00F40CAD"/>
    <w:rsid w:val="00F410BB"/>
    <w:rsid w:val="00F411C4"/>
    <w:rsid w:val="00F412BC"/>
    <w:rsid w:val="00F41653"/>
    <w:rsid w:val="00F4169D"/>
    <w:rsid w:val="00F41A4B"/>
    <w:rsid w:val="00F41C83"/>
    <w:rsid w:val="00F41D74"/>
    <w:rsid w:val="00F41E72"/>
    <w:rsid w:val="00F41E80"/>
    <w:rsid w:val="00F42544"/>
    <w:rsid w:val="00F425C7"/>
    <w:rsid w:val="00F426EC"/>
    <w:rsid w:val="00F42851"/>
    <w:rsid w:val="00F42AB9"/>
    <w:rsid w:val="00F42CAE"/>
    <w:rsid w:val="00F42E90"/>
    <w:rsid w:val="00F42F47"/>
    <w:rsid w:val="00F432A1"/>
    <w:rsid w:val="00F43469"/>
    <w:rsid w:val="00F4367C"/>
    <w:rsid w:val="00F43A85"/>
    <w:rsid w:val="00F43CE0"/>
    <w:rsid w:val="00F43D47"/>
    <w:rsid w:val="00F43EC2"/>
    <w:rsid w:val="00F44014"/>
    <w:rsid w:val="00F44027"/>
    <w:rsid w:val="00F4402E"/>
    <w:rsid w:val="00F4406A"/>
    <w:rsid w:val="00F440CB"/>
    <w:rsid w:val="00F44297"/>
    <w:rsid w:val="00F44555"/>
    <w:rsid w:val="00F445EA"/>
    <w:rsid w:val="00F44CE0"/>
    <w:rsid w:val="00F44D8E"/>
    <w:rsid w:val="00F44DE3"/>
    <w:rsid w:val="00F44F49"/>
    <w:rsid w:val="00F4500C"/>
    <w:rsid w:val="00F4505B"/>
    <w:rsid w:val="00F4514F"/>
    <w:rsid w:val="00F453F4"/>
    <w:rsid w:val="00F45505"/>
    <w:rsid w:val="00F458A6"/>
    <w:rsid w:val="00F45F36"/>
    <w:rsid w:val="00F45FD3"/>
    <w:rsid w:val="00F460F0"/>
    <w:rsid w:val="00F46437"/>
    <w:rsid w:val="00F46A9F"/>
    <w:rsid w:val="00F46B80"/>
    <w:rsid w:val="00F46F66"/>
    <w:rsid w:val="00F47338"/>
    <w:rsid w:val="00F47519"/>
    <w:rsid w:val="00F47818"/>
    <w:rsid w:val="00F47949"/>
    <w:rsid w:val="00F47DEA"/>
    <w:rsid w:val="00F47EB0"/>
    <w:rsid w:val="00F47ECA"/>
    <w:rsid w:val="00F50128"/>
    <w:rsid w:val="00F503B9"/>
    <w:rsid w:val="00F50458"/>
    <w:rsid w:val="00F504BC"/>
    <w:rsid w:val="00F508CA"/>
    <w:rsid w:val="00F50CA2"/>
    <w:rsid w:val="00F50D10"/>
    <w:rsid w:val="00F50D17"/>
    <w:rsid w:val="00F50D5B"/>
    <w:rsid w:val="00F50E11"/>
    <w:rsid w:val="00F50F39"/>
    <w:rsid w:val="00F50F3C"/>
    <w:rsid w:val="00F50F6C"/>
    <w:rsid w:val="00F51361"/>
    <w:rsid w:val="00F51B1D"/>
    <w:rsid w:val="00F51C9A"/>
    <w:rsid w:val="00F51FEB"/>
    <w:rsid w:val="00F51FED"/>
    <w:rsid w:val="00F521E7"/>
    <w:rsid w:val="00F5246A"/>
    <w:rsid w:val="00F52B8D"/>
    <w:rsid w:val="00F52C17"/>
    <w:rsid w:val="00F52E89"/>
    <w:rsid w:val="00F52EB9"/>
    <w:rsid w:val="00F52ED6"/>
    <w:rsid w:val="00F52F6E"/>
    <w:rsid w:val="00F5332B"/>
    <w:rsid w:val="00F533F5"/>
    <w:rsid w:val="00F5368E"/>
    <w:rsid w:val="00F536D8"/>
    <w:rsid w:val="00F5387B"/>
    <w:rsid w:val="00F53BB3"/>
    <w:rsid w:val="00F53CB5"/>
    <w:rsid w:val="00F53FFD"/>
    <w:rsid w:val="00F5415A"/>
    <w:rsid w:val="00F5444C"/>
    <w:rsid w:val="00F5447A"/>
    <w:rsid w:val="00F54540"/>
    <w:rsid w:val="00F5459D"/>
    <w:rsid w:val="00F54B42"/>
    <w:rsid w:val="00F54D2D"/>
    <w:rsid w:val="00F54E4D"/>
    <w:rsid w:val="00F550ED"/>
    <w:rsid w:val="00F55367"/>
    <w:rsid w:val="00F557B7"/>
    <w:rsid w:val="00F5595E"/>
    <w:rsid w:val="00F55973"/>
    <w:rsid w:val="00F559A0"/>
    <w:rsid w:val="00F55D03"/>
    <w:rsid w:val="00F55E2C"/>
    <w:rsid w:val="00F562AB"/>
    <w:rsid w:val="00F5640C"/>
    <w:rsid w:val="00F56549"/>
    <w:rsid w:val="00F5656C"/>
    <w:rsid w:val="00F568F2"/>
    <w:rsid w:val="00F56B34"/>
    <w:rsid w:val="00F56C6E"/>
    <w:rsid w:val="00F56D79"/>
    <w:rsid w:val="00F5711B"/>
    <w:rsid w:val="00F57682"/>
    <w:rsid w:val="00F57741"/>
    <w:rsid w:val="00F57A6E"/>
    <w:rsid w:val="00F57E1F"/>
    <w:rsid w:val="00F57E49"/>
    <w:rsid w:val="00F60035"/>
    <w:rsid w:val="00F600AA"/>
    <w:rsid w:val="00F60359"/>
    <w:rsid w:val="00F60428"/>
    <w:rsid w:val="00F605C0"/>
    <w:rsid w:val="00F605E1"/>
    <w:rsid w:val="00F60650"/>
    <w:rsid w:val="00F60A25"/>
    <w:rsid w:val="00F60B04"/>
    <w:rsid w:val="00F610CA"/>
    <w:rsid w:val="00F61173"/>
    <w:rsid w:val="00F612BE"/>
    <w:rsid w:val="00F61405"/>
    <w:rsid w:val="00F61681"/>
    <w:rsid w:val="00F616B1"/>
    <w:rsid w:val="00F617DB"/>
    <w:rsid w:val="00F6192B"/>
    <w:rsid w:val="00F62195"/>
    <w:rsid w:val="00F6235C"/>
    <w:rsid w:val="00F623CE"/>
    <w:rsid w:val="00F6256D"/>
    <w:rsid w:val="00F626A9"/>
    <w:rsid w:val="00F62AF3"/>
    <w:rsid w:val="00F63234"/>
    <w:rsid w:val="00F632A1"/>
    <w:rsid w:val="00F632FE"/>
    <w:rsid w:val="00F633FF"/>
    <w:rsid w:val="00F63741"/>
    <w:rsid w:val="00F63773"/>
    <w:rsid w:val="00F63B85"/>
    <w:rsid w:val="00F63CD0"/>
    <w:rsid w:val="00F63CEE"/>
    <w:rsid w:val="00F63E2B"/>
    <w:rsid w:val="00F63EE3"/>
    <w:rsid w:val="00F64265"/>
    <w:rsid w:val="00F64636"/>
    <w:rsid w:val="00F646CA"/>
    <w:rsid w:val="00F646F0"/>
    <w:rsid w:val="00F6482F"/>
    <w:rsid w:val="00F6488E"/>
    <w:rsid w:val="00F64BEB"/>
    <w:rsid w:val="00F651A3"/>
    <w:rsid w:val="00F652CA"/>
    <w:rsid w:val="00F658A2"/>
    <w:rsid w:val="00F65909"/>
    <w:rsid w:val="00F65A35"/>
    <w:rsid w:val="00F65C1E"/>
    <w:rsid w:val="00F65D1A"/>
    <w:rsid w:val="00F65FE5"/>
    <w:rsid w:val="00F66076"/>
    <w:rsid w:val="00F660B2"/>
    <w:rsid w:val="00F663B3"/>
    <w:rsid w:val="00F6640C"/>
    <w:rsid w:val="00F6668D"/>
    <w:rsid w:val="00F666B2"/>
    <w:rsid w:val="00F66871"/>
    <w:rsid w:val="00F669A3"/>
    <w:rsid w:val="00F66ADF"/>
    <w:rsid w:val="00F66D7B"/>
    <w:rsid w:val="00F66DBB"/>
    <w:rsid w:val="00F66EB8"/>
    <w:rsid w:val="00F6707B"/>
    <w:rsid w:val="00F6730D"/>
    <w:rsid w:val="00F67468"/>
    <w:rsid w:val="00F674FD"/>
    <w:rsid w:val="00F67528"/>
    <w:rsid w:val="00F676E0"/>
    <w:rsid w:val="00F67AD5"/>
    <w:rsid w:val="00F67BF0"/>
    <w:rsid w:val="00F7013F"/>
    <w:rsid w:val="00F706F8"/>
    <w:rsid w:val="00F70A3D"/>
    <w:rsid w:val="00F70B43"/>
    <w:rsid w:val="00F70B51"/>
    <w:rsid w:val="00F70F03"/>
    <w:rsid w:val="00F71015"/>
    <w:rsid w:val="00F71061"/>
    <w:rsid w:val="00F71110"/>
    <w:rsid w:val="00F711E9"/>
    <w:rsid w:val="00F712FD"/>
    <w:rsid w:val="00F71367"/>
    <w:rsid w:val="00F71575"/>
    <w:rsid w:val="00F717A5"/>
    <w:rsid w:val="00F717C6"/>
    <w:rsid w:val="00F71815"/>
    <w:rsid w:val="00F71962"/>
    <w:rsid w:val="00F71B0E"/>
    <w:rsid w:val="00F71B8B"/>
    <w:rsid w:val="00F72187"/>
    <w:rsid w:val="00F721A9"/>
    <w:rsid w:val="00F72200"/>
    <w:rsid w:val="00F723DB"/>
    <w:rsid w:val="00F72E6D"/>
    <w:rsid w:val="00F72ED7"/>
    <w:rsid w:val="00F7314F"/>
    <w:rsid w:val="00F7322F"/>
    <w:rsid w:val="00F732B0"/>
    <w:rsid w:val="00F734E2"/>
    <w:rsid w:val="00F735D5"/>
    <w:rsid w:val="00F73927"/>
    <w:rsid w:val="00F73C18"/>
    <w:rsid w:val="00F73F90"/>
    <w:rsid w:val="00F73FD5"/>
    <w:rsid w:val="00F746AC"/>
    <w:rsid w:val="00F74D69"/>
    <w:rsid w:val="00F74F98"/>
    <w:rsid w:val="00F74FB2"/>
    <w:rsid w:val="00F754C9"/>
    <w:rsid w:val="00F757C2"/>
    <w:rsid w:val="00F75934"/>
    <w:rsid w:val="00F75996"/>
    <w:rsid w:val="00F75D47"/>
    <w:rsid w:val="00F75F47"/>
    <w:rsid w:val="00F75F93"/>
    <w:rsid w:val="00F760A6"/>
    <w:rsid w:val="00F76495"/>
    <w:rsid w:val="00F766FA"/>
    <w:rsid w:val="00F76707"/>
    <w:rsid w:val="00F76908"/>
    <w:rsid w:val="00F769B7"/>
    <w:rsid w:val="00F76AC1"/>
    <w:rsid w:val="00F76BF6"/>
    <w:rsid w:val="00F77217"/>
    <w:rsid w:val="00F774B2"/>
    <w:rsid w:val="00F77622"/>
    <w:rsid w:val="00F77652"/>
    <w:rsid w:val="00F7765A"/>
    <w:rsid w:val="00F77766"/>
    <w:rsid w:val="00F77768"/>
    <w:rsid w:val="00F77C28"/>
    <w:rsid w:val="00F77DB9"/>
    <w:rsid w:val="00F77DD5"/>
    <w:rsid w:val="00F77EBF"/>
    <w:rsid w:val="00F80301"/>
    <w:rsid w:val="00F8064A"/>
    <w:rsid w:val="00F80702"/>
    <w:rsid w:val="00F8079A"/>
    <w:rsid w:val="00F80CE1"/>
    <w:rsid w:val="00F80CF9"/>
    <w:rsid w:val="00F80DBB"/>
    <w:rsid w:val="00F80E3D"/>
    <w:rsid w:val="00F81095"/>
    <w:rsid w:val="00F8119E"/>
    <w:rsid w:val="00F8127C"/>
    <w:rsid w:val="00F8128A"/>
    <w:rsid w:val="00F814B2"/>
    <w:rsid w:val="00F81534"/>
    <w:rsid w:val="00F81C99"/>
    <w:rsid w:val="00F81EB5"/>
    <w:rsid w:val="00F82484"/>
    <w:rsid w:val="00F825BB"/>
    <w:rsid w:val="00F825CA"/>
    <w:rsid w:val="00F82697"/>
    <w:rsid w:val="00F826F2"/>
    <w:rsid w:val="00F827B3"/>
    <w:rsid w:val="00F82ADE"/>
    <w:rsid w:val="00F82C21"/>
    <w:rsid w:val="00F83063"/>
    <w:rsid w:val="00F83438"/>
    <w:rsid w:val="00F83511"/>
    <w:rsid w:val="00F83AF0"/>
    <w:rsid w:val="00F83B28"/>
    <w:rsid w:val="00F83C05"/>
    <w:rsid w:val="00F83DA0"/>
    <w:rsid w:val="00F83F75"/>
    <w:rsid w:val="00F83F96"/>
    <w:rsid w:val="00F8459E"/>
    <w:rsid w:val="00F84D6A"/>
    <w:rsid w:val="00F850E9"/>
    <w:rsid w:val="00F85107"/>
    <w:rsid w:val="00F8522F"/>
    <w:rsid w:val="00F85472"/>
    <w:rsid w:val="00F85D02"/>
    <w:rsid w:val="00F85DEF"/>
    <w:rsid w:val="00F860B6"/>
    <w:rsid w:val="00F86212"/>
    <w:rsid w:val="00F8643F"/>
    <w:rsid w:val="00F86528"/>
    <w:rsid w:val="00F8658C"/>
    <w:rsid w:val="00F865EA"/>
    <w:rsid w:val="00F866A7"/>
    <w:rsid w:val="00F867A2"/>
    <w:rsid w:val="00F86B9F"/>
    <w:rsid w:val="00F86BCB"/>
    <w:rsid w:val="00F86D0B"/>
    <w:rsid w:val="00F86D5C"/>
    <w:rsid w:val="00F86EE0"/>
    <w:rsid w:val="00F8702D"/>
    <w:rsid w:val="00F8753A"/>
    <w:rsid w:val="00F87562"/>
    <w:rsid w:val="00F8778C"/>
    <w:rsid w:val="00F878AF"/>
    <w:rsid w:val="00F87D70"/>
    <w:rsid w:val="00F87DD3"/>
    <w:rsid w:val="00F87E4B"/>
    <w:rsid w:val="00F90247"/>
    <w:rsid w:val="00F90592"/>
    <w:rsid w:val="00F908AF"/>
    <w:rsid w:val="00F908F7"/>
    <w:rsid w:val="00F90BB3"/>
    <w:rsid w:val="00F90BCD"/>
    <w:rsid w:val="00F90FCA"/>
    <w:rsid w:val="00F91083"/>
    <w:rsid w:val="00F9118E"/>
    <w:rsid w:val="00F911D8"/>
    <w:rsid w:val="00F91328"/>
    <w:rsid w:val="00F9133F"/>
    <w:rsid w:val="00F914A4"/>
    <w:rsid w:val="00F91E1A"/>
    <w:rsid w:val="00F921A6"/>
    <w:rsid w:val="00F92394"/>
    <w:rsid w:val="00F9266D"/>
    <w:rsid w:val="00F9286A"/>
    <w:rsid w:val="00F9292A"/>
    <w:rsid w:val="00F92C59"/>
    <w:rsid w:val="00F92C92"/>
    <w:rsid w:val="00F92E84"/>
    <w:rsid w:val="00F93206"/>
    <w:rsid w:val="00F932C2"/>
    <w:rsid w:val="00F93370"/>
    <w:rsid w:val="00F9368E"/>
    <w:rsid w:val="00F9390D"/>
    <w:rsid w:val="00F93B3C"/>
    <w:rsid w:val="00F93C31"/>
    <w:rsid w:val="00F93CEA"/>
    <w:rsid w:val="00F93D12"/>
    <w:rsid w:val="00F93D96"/>
    <w:rsid w:val="00F93E62"/>
    <w:rsid w:val="00F94161"/>
    <w:rsid w:val="00F945A5"/>
    <w:rsid w:val="00F946F1"/>
    <w:rsid w:val="00F949E9"/>
    <w:rsid w:val="00F94B44"/>
    <w:rsid w:val="00F95030"/>
    <w:rsid w:val="00F953A0"/>
    <w:rsid w:val="00F954CB"/>
    <w:rsid w:val="00F95726"/>
    <w:rsid w:val="00F95743"/>
    <w:rsid w:val="00F95859"/>
    <w:rsid w:val="00F96378"/>
    <w:rsid w:val="00F96494"/>
    <w:rsid w:val="00F965EB"/>
    <w:rsid w:val="00F96962"/>
    <w:rsid w:val="00F96B21"/>
    <w:rsid w:val="00F96BA7"/>
    <w:rsid w:val="00F96E77"/>
    <w:rsid w:val="00F96E81"/>
    <w:rsid w:val="00F9706A"/>
    <w:rsid w:val="00F971E4"/>
    <w:rsid w:val="00F972A9"/>
    <w:rsid w:val="00F97833"/>
    <w:rsid w:val="00F97922"/>
    <w:rsid w:val="00F97ACE"/>
    <w:rsid w:val="00F97B45"/>
    <w:rsid w:val="00F97BF0"/>
    <w:rsid w:val="00F97DC1"/>
    <w:rsid w:val="00F97E7C"/>
    <w:rsid w:val="00FA034B"/>
    <w:rsid w:val="00FA059B"/>
    <w:rsid w:val="00FA08A1"/>
    <w:rsid w:val="00FA09DC"/>
    <w:rsid w:val="00FA0EE7"/>
    <w:rsid w:val="00FA12CB"/>
    <w:rsid w:val="00FA1303"/>
    <w:rsid w:val="00FA14FD"/>
    <w:rsid w:val="00FA1747"/>
    <w:rsid w:val="00FA1771"/>
    <w:rsid w:val="00FA179D"/>
    <w:rsid w:val="00FA18A0"/>
    <w:rsid w:val="00FA1924"/>
    <w:rsid w:val="00FA194D"/>
    <w:rsid w:val="00FA1A81"/>
    <w:rsid w:val="00FA1B91"/>
    <w:rsid w:val="00FA1D86"/>
    <w:rsid w:val="00FA1F68"/>
    <w:rsid w:val="00FA22B7"/>
    <w:rsid w:val="00FA240D"/>
    <w:rsid w:val="00FA2617"/>
    <w:rsid w:val="00FA264E"/>
    <w:rsid w:val="00FA26FE"/>
    <w:rsid w:val="00FA2A26"/>
    <w:rsid w:val="00FA2D21"/>
    <w:rsid w:val="00FA2F41"/>
    <w:rsid w:val="00FA3090"/>
    <w:rsid w:val="00FA30C6"/>
    <w:rsid w:val="00FA3202"/>
    <w:rsid w:val="00FA33D6"/>
    <w:rsid w:val="00FA36EC"/>
    <w:rsid w:val="00FA3957"/>
    <w:rsid w:val="00FA3A17"/>
    <w:rsid w:val="00FA3C64"/>
    <w:rsid w:val="00FA3DA1"/>
    <w:rsid w:val="00FA4162"/>
    <w:rsid w:val="00FA42B3"/>
    <w:rsid w:val="00FA4497"/>
    <w:rsid w:val="00FA451E"/>
    <w:rsid w:val="00FA48DF"/>
    <w:rsid w:val="00FA4902"/>
    <w:rsid w:val="00FA4982"/>
    <w:rsid w:val="00FA5799"/>
    <w:rsid w:val="00FA57E5"/>
    <w:rsid w:val="00FA57FA"/>
    <w:rsid w:val="00FA5AF9"/>
    <w:rsid w:val="00FA5B11"/>
    <w:rsid w:val="00FA5E34"/>
    <w:rsid w:val="00FA62FE"/>
    <w:rsid w:val="00FA67D6"/>
    <w:rsid w:val="00FA6854"/>
    <w:rsid w:val="00FA6920"/>
    <w:rsid w:val="00FA6F4B"/>
    <w:rsid w:val="00FA73B6"/>
    <w:rsid w:val="00FA762A"/>
    <w:rsid w:val="00FA787B"/>
    <w:rsid w:val="00FA7FA7"/>
    <w:rsid w:val="00FB0051"/>
    <w:rsid w:val="00FB03A7"/>
    <w:rsid w:val="00FB0601"/>
    <w:rsid w:val="00FB09F9"/>
    <w:rsid w:val="00FB0CB7"/>
    <w:rsid w:val="00FB108B"/>
    <w:rsid w:val="00FB1139"/>
    <w:rsid w:val="00FB15A2"/>
    <w:rsid w:val="00FB1795"/>
    <w:rsid w:val="00FB1A28"/>
    <w:rsid w:val="00FB1ACC"/>
    <w:rsid w:val="00FB1D89"/>
    <w:rsid w:val="00FB2138"/>
    <w:rsid w:val="00FB237D"/>
    <w:rsid w:val="00FB23EA"/>
    <w:rsid w:val="00FB2451"/>
    <w:rsid w:val="00FB26CE"/>
    <w:rsid w:val="00FB295C"/>
    <w:rsid w:val="00FB2B5A"/>
    <w:rsid w:val="00FB2D62"/>
    <w:rsid w:val="00FB32C6"/>
    <w:rsid w:val="00FB3888"/>
    <w:rsid w:val="00FB395D"/>
    <w:rsid w:val="00FB3A4A"/>
    <w:rsid w:val="00FB3BF0"/>
    <w:rsid w:val="00FB3C47"/>
    <w:rsid w:val="00FB3D65"/>
    <w:rsid w:val="00FB3E82"/>
    <w:rsid w:val="00FB3FD0"/>
    <w:rsid w:val="00FB4296"/>
    <w:rsid w:val="00FB4537"/>
    <w:rsid w:val="00FB468A"/>
    <w:rsid w:val="00FB4733"/>
    <w:rsid w:val="00FB493A"/>
    <w:rsid w:val="00FB4964"/>
    <w:rsid w:val="00FB4AC7"/>
    <w:rsid w:val="00FB4EF7"/>
    <w:rsid w:val="00FB50FD"/>
    <w:rsid w:val="00FB5156"/>
    <w:rsid w:val="00FB51F4"/>
    <w:rsid w:val="00FB579D"/>
    <w:rsid w:val="00FB5874"/>
    <w:rsid w:val="00FB5A36"/>
    <w:rsid w:val="00FB5A48"/>
    <w:rsid w:val="00FB5A8F"/>
    <w:rsid w:val="00FB5AB7"/>
    <w:rsid w:val="00FB5ABF"/>
    <w:rsid w:val="00FB5B53"/>
    <w:rsid w:val="00FB5F27"/>
    <w:rsid w:val="00FB61FB"/>
    <w:rsid w:val="00FB64E6"/>
    <w:rsid w:val="00FB65E8"/>
    <w:rsid w:val="00FB6A4F"/>
    <w:rsid w:val="00FB6AC1"/>
    <w:rsid w:val="00FB6B27"/>
    <w:rsid w:val="00FB74FC"/>
    <w:rsid w:val="00FB7546"/>
    <w:rsid w:val="00FB775B"/>
    <w:rsid w:val="00FB77A2"/>
    <w:rsid w:val="00FB795C"/>
    <w:rsid w:val="00FB7A57"/>
    <w:rsid w:val="00FB7DF5"/>
    <w:rsid w:val="00FB7E09"/>
    <w:rsid w:val="00FB7FA0"/>
    <w:rsid w:val="00FB7FAC"/>
    <w:rsid w:val="00FB7FE0"/>
    <w:rsid w:val="00FC014C"/>
    <w:rsid w:val="00FC0466"/>
    <w:rsid w:val="00FC04A0"/>
    <w:rsid w:val="00FC0596"/>
    <w:rsid w:val="00FC05D7"/>
    <w:rsid w:val="00FC06AA"/>
    <w:rsid w:val="00FC0814"/>
    <w:rsid w:val="00FC0C01"/>
    <w:rsid w:val="00FC1062"/>
    <w:rsid w:val="00FC1083"/>
    <w:rsid w:val="00FC112F"/>
    <w:rsid w:val="00FC11AD"/>
    <w:rsid w:val="00FC127A"/>
    <w:rsid w:val="00FC128B"/>
    <w:rsid w:val="00FC1641"/>
    <w:rsid w:val="00FC18D4"/>
    <w:rsid w:val="00FC1B33"/>
    <w:rsid w:val="00FC1C90"/>
    <w:rsid w:val="00FC262A"/>
    <w:rsid w:val="00FC2894"/>
    <w:rsid w:val="00FC2935"/>
    <w:rsid w:val="00FC2942"/>
    <w:rsid w:val="00FC2A2A"/>
    <w:rsid w:val="00FC2DB9"/>
    <w:rsid w:val="00FC2E38"/>
    <w:rsid w:val="00FC3285"/>
    <w:rsid w:val="00FC33CA"/>
    <w:rsid w:val="00FC354C"/>
    <w:rsid w:val="00FC35E9"/>
    <w:rsid w:val="00FC392A"/>
    <w:rsid w:val="00FC3A57"/>
    <w:rsid w:val="00FC3DB6"/>
    <w:rsid w:val="00FC413E"/>
    <w:rsid w:val="00FC4195"/>
    <w:rsid w:val="00FC4232"/>
    <w:rsid w:val="00FC42BC"/>
    <w:rsid w:val="00FC4348"/>
    <w:rsid w:val="00FC43A0"/>
    <w:rsid w:val="00FC4669"/>
    <w:rsid w:val="00FC4942"/>
    <w:rsid w:val="00FC494C"/>
    <w:rsid w:val="00FC54F3"/>
    <w:rsid w:val="00FC55F1"/>
    <w:rsid w:val="00FC5961"/>
    <w:rsid w:val="00FC5AE8"/>
    <w:rsid w:val="00FC5EB1"/>
    <w:rsid w:val="00FC5EBC"/>
    <w:rsid w:val="00FC608E"/>
    <w:rsid w:val="00FC63DA"/>
    <w:rsid w:val="00FC6459"/>
    <w:rsid w:val="00FC66C0"/>
    <w:rsid w:val="00FC67F8"/>
    <w:rsid w:val="00FC68D7"/>
    <w:rsid w:val="00FC6BDF"/>
    <w:rsid w:val="00FC6C23"/>
    <w:rsid w:val="00FC6F8D"/>
    <w:rsid w:val="00FC72F6"/>
    <w:rsid w:val="00FC75A7"/>
    <w:rsid w:val="00FC76BA"/>
    <w:rsid w:val="00FC76D5"/>
    <w:rsid w:val="00FC773B"/>
    <w:rsid w:val="00FC77C7"/>
    <w:rsid w:val="00FC7B87"/>
    <w:rsid w:val="00FC7BBF"/>
    <w:rsid w:val="00FC7C47"/>
    <w:rsid w:val="00FC7D50"/>
    <w:rsid w:val="00FD015E"/>
    <w:rsid w:val="00FD0555"/>
    <w:rsid w:val="00FD05D6"/>
    <w:rsid w:val="00FD062F"/>
    <w:rsid w:val="00FD071F"/>
    <w:rsid w:val="00FD08D9"/>
    <w:rsid w:val="00FD0B68"/>
    <w:rsid w:val="00FD0D5F"/>
    <w:rsid w:val="00FD0EFF"/>
    <w:rsid w:val="00FD0F17"/>
    <w:rsid w:val="00FD1043"/>
    <w:rsid w:val="00FD13B6"/>
    <w:rsid w:val="00FD1655"/>
    <w:rsid w:val="00FD1ADA"/>
    <w:rsid w:val="00FD1BCE"/>
    <w:rsid w:val="00FD1BE3"/>
    <w:rsid w:val="00FD1C11"/>
    <w:rsid w:val="00FD1C5C"/>
    <w:rsid w:val="00FD1D50"/>
    <w:rsid w:val="00FD1F79"/>
    <w:rsid w:val="00FD208F"/>
    <w:rsid w:val="00FD20EC"/>
    <w:rsid w:val="00FD228C"/>
    <w:rsid w:val="00FD2378"/>
    <w:rsid w:val="00FD25D0"/>
    <w:rsid w:val="00FD2767"/>
    <w:rsid w:val="00FD27A7"/>
    <w:rsid w:val="00FD27AA"/>
    <w:rsid w:val="00FD293E"/>
    <w:rsid w:val="00FD2B62"/>
    <w:rsid w:val="00FD2BF5"/>
    <w:rsid w:val="00FD2C3A"/>
    <w:rsid w:val="00FD2C61"/>
    <w:rsid w:val="00FD2CD0"/>
    <w:rsid w:val="00FD2E11"/>
    <w:rsid w:val="00FD2E8A"/>
    <w:rsid w:val="00FD3390"/>
    <w:rsid w:val="00FD38A0"/>
    <w:rsid w:val="00FD3905"/>
    <w:rsid w:val="00FD39A4"/>
    <w:rsid w:val="00FD3B6F"/>
    <w:rsid w:val="00FD3B80"/>
    <w:rsid w:val="00FD3BE0"/>
    <w:rsid w:val="00FD4064"/>
    <w:rsid w:val="00FD46C4"/>
    <w:rsid w:val="00FD48BB"/>
    <w:rsid w:val="00FD4BC5"/>
    <w:rsid w:val="00FD4D78"/>
    <w:rsid w:val="00FD514F"/>
    <w:rsid w:val="00FD55A6"/>
    <w:rsid w:val="00FD57B6"/>
    <w:rsid w:val="00FD5A71"/>
    <w:rsid w:val="00FD5AFB"/>
    <w:rsid w:val="00FD5DD5"/>
    <w:rsid w:val="00FD60ED"/>
    <w:rsid w:val="00FD60F8"/>
    <w:rsid w:val="00FD6342"/>
    <w:rsid w:val="00FD644F"/>
    <w:rsid w:val="00FD6512"/>
    <w:rsid w:val="00FD668D"/>
    <w:rsid w:val="00FD68C0"/>
    <w:rsid w:val="00FD6B59"/>
    <w:rsid w:val="00FD6D76"/>
    <w:rsid w:val="00FD739F"/>
    <w:rsid w:val="00FD762B"/>
    <w:rsid w:val="00FD766F"/>
    <w:rsid w:val="00FD78CD"/>
    <w:rsid w:val="00FD7C84"/>
    <w:rsid w:val="00FD7CFA"/>
    <w:rsid w:val="00FD7FA9"/>
    <w:rsid w:val="00FE03B7"/>
    <w:rsid w:val="00FE0925"/>
    <w:rsid w:val="00FE0C6C"/>
    <w:rsid w:val="00FE0D6B"/>
    <w:rsid w:val="00FE0EC2"/>
    <w:rsid w:val="00FE1476"/>
    <w:rsid w:val="00FE14AE"/>
    <w:rsid w:val="00FE154B"/>
    <w:rsid w:val="00FE1F71"/>
    <w:rsid w:val="00FE1FA8"/>
    <w:rsid w:val="00FE2257"/>
    <w:rsid w:val="00FE256E"/>
    <w:rsid w:val="00FE2729"/>
    <w:rsid w:val="00FE2734"/>
    <w:rsid w:val="00FE2848"/>
    <w:rsid w:val="00FE28CD"/>
    <w:rsid w:val="00FE29B1"/>
    <w:rsid w:val="00FE2B58"/>
    <w:rsid w:val="00FE2CCD"/>
    <w:rsid w:val="00FE3113"/>
    <w:rsid w:val="00FE3238"/>
    <w:rsid w:val="00FE324F"/>
    <w:rsid w:val="00FE3A3E"/>
    <w:rsid w:val="00FE43CC"/>
    <w:rsid w:val="00FE4400"/>
    <w:rsid w:val="00FE4504"/>
    <w:rsid w:val="00FE458A"/>
    <w:rsid w:val="00FE4A16"/>
    <w:rsid w:val="00FE4A88"/>
    <w:rsid w:val="00FE4EBB"/>
    <w:rsid w:val="00FE5105"/>
    <w:rsid w:val="00FE5643"/>
    <w:rsid w:val="00FE5D14"/>
    <w:rsid w:val="00FE5D51"/>
    <w:rsid w:val="00FE5EE4"/>
    <w:rsid w:val="00FE5FB0"/>
    <w:rsid w:val="00FE6120"/>
    <w:rsid w:val="00FE6259"/>
    <w:rsid w:val="00FE63F3"/>
    <w:rsid w:val="00FE6823"/>
    <w:rsid w:val="00FE689C"/>
    <w:rsid w:val="00FE6B1E"/>
    <w:rsid w:val="00FE6FEF"/>
    <w:rsid w:val="00FE718C"/>
    <w:rsid w:val="00FE721F"/>
    <w:rsid w:val="00FE7248"/>
    <w:rsid w:val="00FE72BF"/>
    <w:rsid w:val="00FE73F8"/>
    <w:rsid w:val="00FE76A4"/>
    <w:rsid w:val="00FE7799"/>
    <w:rsid w:val="00FE77D3"/>
    <w:rsid w:val="00FE781A"/>
    <w:rsid w:val="00FE781F"/>
    <w:rsid w:val="00FE792B"/>
    <w:rsid w:val="00FE796D"/>
    <w:rsid w:val="00FE7E36"/>
    <w:rsid w:val="00FF0207"/>
    <w:rsid w:val="00FF0248"/>
    <w:rsid w:val="00FF0427"/>
    <w:rsid w:val="00FF06A5"/>
    <w:rsid w:val="00FF0A8D"/>
    <w:rsid w:val="00FF0D77"/>
    <w:rsid w:val="00FF11A8"/>
    <w:rsid w:val="00FF12EF"/>
    <w:rsid w:val="00FF13A5"/>
    <w:rsid w:val="00FF1456"/>
    <w:rsid w:val="00FF1595"/>
    <w:rsid w:val="00FF16E1"/>
    <w:rsid w:val="00FF1B27"/>
    <w:rsid w:val="00FF1B9E"/>
    <w:rsid w:val="00FF1BD8"/>
    <w:rsid w:val="00FF1CE5"/>
    <w:rsid w:val="00FF21EE"/>
    <w:rsid w:val="00FF22C6"/>
    <w:rsid w:val="00FF22E1"/>
    <w:rsid w:val="00FF2472"/>
    <w:rsid w:val="00FF24E3"/>
    <w:rsid w:val="00FF2799"/>
    <w:rsid w:val="00FF2CBC"/>
    <w:rsid w:val="00FF2DAD"/>
    <w:rsid w:val="00FF2ECA"/>
    <w:rsid w:val="00FF3007"/>
    <w:rsid w:val="00FF300B"/>
    <w:rsid w:val="00FF332D"/>
    <w:rsid w:val="00FF33E8"/>
    <w:rsid w:val="00FF34C9"/>
    <w:rsid w:val="00FF34EB"/>
    <w:rsid w:val="00FF3529"/>
    <w:rsid w:val="00FF389F"/>
    <w:rsid w:val="00FF3985"/>
    <w:rsid w:val="00FF3ADE"/>
    <w:rsid w:val="00FF3B44"/>
    <w:rsid w:val="00FF3B49"/>
    <w:rsid w:val="00FF40F5"/>
    <w:rsid w:val="00FF4212"/>
    <w:rsid w:val="00FF425B"/>
    <w:rsid w:val="00FF43C3"/>
    <w:rsid w:val="00FF43C4"/>
    <w:rsid w:val="00FF4770"/>
    <w:rsid w:val="00FF4880"/>
    <w:rsid w:val="00FF499F"/>
    <w:rsid w:val="00FF4B09"/>
    <w:rsid w:val="00FF4C3F"/>
    <w:rsid w:val="00FF4D1D"/>
    <w:rsid w:val="00FF4EFF"/>
    <w:rsid w:val="00FF5030"/>
    <w:rsid w:val="00FF53B7"/>
    <w:rsid w:val="00FF53FA"/>
    <w:rsid w:val="00FF55AB"/>
    <w:rsid w:val="00FF562C"/>
    <w:rsid w:val="00FF5754"/>
    <w:rsid w:val="00FF5C29"/>
    <w:rsid w:val="00FF5EF4"/>
    <w:rsid w:val="00FF5F82"/>
    <w:rsid w:val="00FF624D"/>
    <w:rsid w:val="00FF6330"/>
    <w:rsid w:val="00FF69D2"/>
    <w:rsid w:val="00FF6B63"/>
    <w:rsid w:val="00FF6F66"/>
    <w:rsid w:val="00FF70FD"/>
    <w:rsid w:val="00FF735F"/>
    <w:rsid w:val="00FF76A1"/>
    <w:rsid w:val="00FF76AA"/>
    <w:rsid w:val="00FF7A7F"/>
    <w:rsid w:val="00FF7B22"/>
    <w:rsid w:val="00FF7BB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f" fillcolor="white" stroke="f">
      <v:fill color="white" on="f"/>
      <v:stroke on="f"/>
    </o:shapedefaults>
    <o:shapelayout v:ext="edit">
      <o:idmap v:ext="edit" data="1"/>
    </o:shapelayout>
  </w:shapeDefaults>
  <w:decimalSymbol w:val="."/>
  <w:listSeparator w:val=","/>
  <w14:docId w14:val="77E96F76"/>
  <w15:docId w15:val="{BE1F0894-B4DC-4A95-90A1-4C2B90D83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6EC5"/>
    <w:pPr>
      <w:widowControl w:val="0"/>
    </w:pPr>
    <w:rPr>
      <w:kern w:val="2"/>
      <w:sz w:val="24"/>
    </w:rPr>
  </w:style>
  <w:style w:type="paragraph" w:styleId="10">
    <w:name w:val="heading 1"/>
    <w:basedOn w:val="a"/>
    <w:next w:val="a"/>
    <w:link w:val="11"/>
    <w:qFormat/>
    <w:rsid w:val="00841FDA"/>
    <w:pPr>
      <w:keepNext/>
      <w:spacing w:before="180" w:after="180" w:line="720" w:lineRule="auto"/>
      <w:outlineLvl w:val="0"/>
    </w:pPr>
    <w:rPr>
      <w:rFonts w:ascii="Cambria" w:hAnsi="Cambria"/>
      <w:b/>
      <w:bCs/>
      <w:kern w:val="52"/>
      <w:sz w:val="52"/>
      <w:szCs w:val="52"/>
    </w:rPr>
  </w:style>
  <w:style w:type="paragraph" w:styleId="2">
    <w:name w:val="heading 2"/>
    <w:aliases w:val="標題１．"/>
    <w:basedOn w:val="a"/>
    <w:link w:val="20"/>
    <w:qFormat/>
    <w:rsid w:val="00C4097F"/>
    <w:pPr>
      <w:kinsoku w:val="0"/>
      <w:ind w:left="1207" w:hanging="697"/>
      <w:jc w:val="both"/>
      <w:outlineLvl w:val="1"/>
    </w:pPr>
    <w:rPr>
      <w:rFonts w:ascii="標楷體" w:eastAsia="標楷體" w:hAnsi="Arial"/>
      <w:bCs/>
      <w:kern w:val="0"/>
      <w:sz w:val="32"/>
      <w:szCs w:val="48"/>
    </w:rPr>
  </w:style>
  <w:style w:type="paragraph" w:styleId="3">
    <w:name w:val="heading 3"/>
    <w:basedOn w:val="a"/>
    <w:link w:val="30"/>
    <w:uiPriority w:val="9"/>
    <w:qFormat/>
    <w:rsid w:val="00C4097F"/>
    <w:pPr>
      <w:kinsoku w:val="0"/>
      <w:ind w:left="1887" w:hanging="697"/>
      <w:jc w:val="both"/>
      <w:outlineLvl w:val="2"/>
    </w:pPr>
    <w:rPr>
      <w:rFonts w:ascii="標楷體" w:eastAsia="標楷體" w:hAnsi="Arial"/>
      <w:bCs/>
      <w:kern w:val="0"/>
      <w:sz w:val="32"/>
      <w:szCs w:val="36"/>
    </w:rPr>
  </w:style>
  <w:style w:type="paragraph" w:styleId="4">
    <w:name w:val="heading 4"/>
    <w:aliases w:val="1.標題 4"/>
    <w:link w:val="40"/>
    <w:qFormat/>
    <w:pPr>
      <w:overflowPunct w:val="0"/>
      <w:spacing w:beforeLines="20" w:before="20" w:afterLines="20" w:after="20" w:line="400" w:lineRule="exact"/>
      <w:ind w:firstLineChars="200" w:firstLine="200"/>
      <w:jc w:val="both"/>
      <w:outlineLvl w:val="3"/>
    </w:pPr>
    <w:rPr>
      <w:rFonts w:ascii="標楷體" w:eastAsia="標楷體" w:hAnsi="Arial"/>
      <w:b/>
      <w:kern w:val="2"/>
      <w:sz w:val="28"/>
      <w:szCs w:val="36"/>
    </w:rPr>
  </w:style>
  <w:style w:type="paragraph" w:styleId="5">
    <w:name w:val="heading 5"/>
    <w:basedOn w:val="a"/>
    <w:link w:val="50"/>
    <w:qFormat/>
    <w:rsid w:val="00C4097F"/>
    <w:pPr>
      <w:kinsoku w:val="0"/>
      <w:ind w:left="2095" w:hanging="700"/>
      <w:jc w:val="both"/>
      <w:outlineLvl w:val="4"/>
    </w:pPr>
    <w:rPr>
      <w:rFonts w:ascii="標楷體" w:eastAsia="標楷體" w:hAnsi="Arial"/>
      <w:bCs/>
      <w:sz w:val="32"/>
      <w:szCs w:val="36"/>
    </w:rPr>
  </w:style>
  <w:style w:type="paragraph" w:styleId="6">
    <w:name w:val="heading 6"/>
    <w:basedOn w:val="a"/>
    <w:link w:val="60"/>
    <w:qFormat/>
    <w:rsid w:val="00C4097F"/>
    <w:pPr>
      <w:tabs>
        <w:tab w:val="left" w:pos="2094"/>
      </w:tabs>
      <w:kinsoku w:val="0"/>
      <w:ind w:left="2444" w:hanging="715"/>
      <w:jc w:val="both"/>
      <w:outlineLvl w:val="5"/>
    </w:pPr>
    <w:rPr>
      <w:rFonts w:ascii="標楷體" w:eastAsia="標楷體" w:hAnsi="Arial"/>
      <w:sz w:val="32"/>
      <w:szCs w:val="36"/>
    </w:rPr>
  </w:style>
  <w:style w:type="paragraph" w:styleId="7">
    <w:name w:val="heading 7"/>
    <w:basedOn w:val="a"/>
    <w:link w:val="70"/>
    <w:qFormat/>
    <w:rsid w:val="00C4097F"/>
    <w:pPr>
      <w:kinsoku w:val="0"/>
      <w:ind w:left="2444" w:hanging="352"/>
      <w:jc w:val="both"/>
      <w:outlineLvl w:val="6"/>
    </w:pPr>
    <w:rPr>
      <w:rFonts w:ascii="標楷體" w:eastAsia="標楷體" w:hAnsi="Arial"/>
      <w:bCs/>
      <w:sz w:val="32"/>
      <w:szCs w:val="36"/>
    </w:rPr>
  </w:style>
  <w:style w:type="paragraph" w:styleId="8">
    <w:name w:val="heading 8"/>
    <w:basedOn w:val="a"/>
    <w:link w:val="80"/>
    <w:qFormat/>
    <w:rsid w:val="00C4097F"/>
    <w:pPr>
      <w:kinsoku w:val="0"/>
      <w:ind w:left="2790" w:hanging="349"/>
      <w:jc w:val="both"/>
      <w:outlineLvl w:val="7"/>
    </w:pPr>
    <w:rPr>
      <w:rFonts w:ascii="標楷體" w:eastAsia="標楷體" w:hAnsi="Arial"/>
      <w:sz w:val="32"/>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中標"/>
    <w:basedOn w:val="a"/>
    <w:pPr>
      <w:spacing w:line="360" w:lineRule="auto"/>
      <w:jc w:val="both"/>
    </w:pPr>
    <w:rPr>
      <w:rFonts w:ascii="標楷體" w:eastAsia="標楷體"/>
      <w:b/>
      <w:sz w:val="36"/>
    </w:rPr>
  </w:style>
  <w:style w:type="paragraph" w:customStyle="1" w:styleId="a4">
    <w:name w:val="小標"/>
    <w:basedOn w:val="a"/>
    <w:pPr>
      <w:spacing w:line="360" w:lineRule="auto"/>
      <w:ind w:left="420"/>
      <w:jc w:val="both"/>
    </w:pPr>
    <w:rPr>
      <w:rFonts w:ascii="標楷體" w:eastAsia="標楷體"/>
      <w:b/>
      <w:sz w:val="32"/>
    </w:rPr>
  </w:style>
  <w:style w:type="paragraph" w:styleId="a5">
    <w:name w:val="Body Text"/>
    <w:basedOn w:val="a"/>
    <w:link w:val="a6"/>
    <w:pPr>
      <w:spacing w:line="360" w:lineRule="exact"/>
      <w:jc w:val="both"/>
    </w:pPr>
    <w:rPr>
      <w:rFonts w:ascii="標楷體" w:eastAsia="標楷體"/>
    </w:rPr>
  </w:style>
  <w:style w:type="paragraph" w:styleId="a7">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w:basedOn w:val="a"/>
    <w:rPr>
      <w:rFonts w:ascii="細明體" w:eastAsia="細明體" w:hAnsi="Courier New"/>
    </w:rPr>
  </w:style>
  <w:style w:type="paragraph" w:styleId="21">
    <w:name w:val="Body Text 2"/>
    <w:basedOn w:val="a"/>
    <w:link w:val="22"/>
    <w:pPr>
      <w:ind w:rightChars="-439" w:right="-1054"/>
    </w:pPr>
    <w:rPr>
      <w:rFonts w:ascii="標楷體" w:eastAsia="標楷體"/>
    </w:rPr>
  </w:style>
  <w:style w:type="paragraph" w:styleId="31">
    <w:name w:val="Body Text 3"/>
    <w:basedOn w:val="a"/>
    <w:link w:val="32"/>
    <w:pPr>
      <w:spacing w:line="500" w:lineRule="exact"/>
      <w:jc w:val="both"/>
    </w:pPr>
    <w:rPr>
      <w:rFonts w:ascii="標楷體" w:eastAsia="標楷體"/>
      <w:sz w:val="28"/>
    </w:rPr>
  </w:style>
  <w:style w:type="paragraph" w:styleId="a8">
    <w:name w:val="footer"/>
    <w:basedOn w:val="a"/>
    <w:link w:val="a9"/>
    <w:uiPriority w:val="99"/>
    <w:pPr>
      <w:tabs>
        <w:tab w:val="center" w:pos="4153"/>
        <w:tab w:val="right" w:pos="8306"/>
      </w:tabs>
      <w:snapToGrid w:val="0"/>
    </w:pPr>
    <w:rPr>
      <w:sz w:val="20"/>
    </w:rPr>
  </w:style>
  <w:style w:type="character" w:styleId="aa">
    <w:name w:val="page number"/>
    <w:basedOn w:val="a0"/>
  </w:style>
  <w:style w:type="paragraph" w:styleId="ab">
    <w:name w:val="Body Text Indent"/>
    <w:basedOn w:val="a"/>
    <w:link w:val="ac"/>
    <w:pPr>
      <w:spacing w:beforeLines="25" w:before="90" w:line="500" w:lineRule="exact"/>
      <w:ind w:firstLineChars="200" w:firstLine="560"/>
      <w:jc w:val="both"/>
    </w:pPr>
    <w:rPr>
      <w:rFonts w:ascii="標楷體" w:eastAsia="標楷體"/>
      <w:sz w:val="28"/>
    </w:rPr>
  </w:style>
  <w:style w:type="paragraph" w:styleId="ad">
    <w:name w:val="header"/>
    <w:aliases w:val="頁首 字元 字元"/>
    <w:basedOn w:val="a"/>
    <w:link w:val="ae"/>
    <w:uiPriority w:val="99"/>
    <w:pPr>
      <w:tabs>
        <w:tab w:val="center" w:pos="4153"/>
        <w:tab w:val="right" w:pos="8306"/>
      </w:tabs>
      <w:snapToGrid w:val="0"/>
    </w:pPr>
    <w:rPr>
      <w:sz w:val="20"/>
    </w:rPr>
  </w:style>
  <w:style w:type="paragraph" w:customStyle="1" w:styleId="font5">
    <w:name w:val="font5"/>
    <w:basedOn w:val="a"/>
    <w:pPr>
      <w:widowControl/>
      <w:spacing w:before="100" w:beforeAutospacing="1" w:after="100" w:afterAutospacing="1"/>
    </w:pPr>
    <w:rPr>
      <w:rFonts w:ascii="新細明體" w:hint="eastAsia"/>
      <w:kern w:val="0"/>
      <w:sz w:val="18"/>
      <w:szCs w:val="18"/>
    </w:rPr>
  </w:style>
  <w:style w:type="paragraph" w:customStyle="1" w:styleId="font6">
    <w:name w:val="font6"/>
    <w:basedOn w:val="a"/>
    <w:pPr>
      <w:widowControl/>
      <w:spacing w:before="100" w:beforeAutospacing="1" w:after="100" w:afterAutospacing="1"/>
    </w:pPr>
    <w:rPr>
      <w:kern w:val="0"/>
    </w:rPr>
  </w:style>
  <w:style w:type="paragraph" w:customStyle="1" w:styleId="font7">
    <w:name w:val="font7"/>
    <w:basedOn w:val="a"/>
    <w:pPr>
      <w:widowControl/>
      <w:spacing w:before="100" w:beforeAutospacing="1" w:after="100" w:afterAutospacing="1"/>
    </w:pPr>
    <w:rPr>
      <w:rFonts w:ascii="標楷體" w:eastAsia="標楷體" w:hint="eastAsia"/>
      <w:kern w:val="0"/>
    </w:rPr>
  </w:style>
  <w:style w:type="paragraph" w:customStyle="1" w:styleId="xl24">
    <w:name w:val="xl24"/>
    <w:basedOn w:val="a"/>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5">
    <w:name w:val="xl25"/>
    <w:basedOn w:val="a"/>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6">
    <w:name w:val="xl26"/>
    <w:basedOn w:val="a"/>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27">
    <w:name w:val="xl27"/>
    <w:basedOn w:val="a"/>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8">
    <w:name w:val="xl28"/>
    <w:basedOn w:val="a"/>
    <w:pPr>
      <w:widowControl/>
      <w:pBdr>
        <w:left w:val="single" w:sz="4" w:space="0" w:color="auto"/>
        <w:bottom w:val="single" w:sz="8" w:space="0" w:color="auto"/>
        <w:right w:val="single" w:sz="4" w:space="0" w:color="auto"/>
      </w:pBdr>
      <w:spacing w:before="100" w:beforeAutospacing="1" w:after="100" w:afterAutospacing="1"/>
      <w:jc w:val="center"/>
    </w:pPr>
    <w:rPr>
      <w:rFonts w:ascii="標楷體" w:eastAsia="標楷體" w:hint="eastAsia"/>
      <w:kern w:val="0"/>
    </w:rPr>
  </w:style>
  <w:style w:type="paragraph" w:customStyle="1" w:styleId="xl29">
    <w:name w:val="xl29"/>
    <w:basedOn w:val="a"/>
    <w:pPr>
      <w:widowControl/>
      <w:pBdr>
        <w:left w:val="single" w:sz="4" w:space="0" w:color="auto"/>
        <w:bottom w:val="single" w:sz="8" w:space="0" w:color="auto"/>
        <w:right w:val="single" w:sz="8" w:space="0" w:color="auto"/>
      </w:pBdr>
      <w:spacing w:before="100" w:beforeAutospacing="1" w:after="100" w:afterAutospacing="1"/>
      <w:jc w:val="center"/>
    </w:pPr>
    <w:rPr>
      <w:rFonts w:ascii="標楷體" w:eastAsia="標楷體" w:hint="eastAsia"/>
      <w:kern w:val="0"/>
    </w:rPr>
  </w:style>
  <w:style w:type="paragraph" w:customStyle="1" w:styleId="xl30">
    <w:name w:val="xl30"/>
    <w:basedOn w:val="a"/>
    <w:pPr>
      <w:widowControl/>
      <w:pBdr>
        <w:left w:val="single" w:sz="8" w:space="0" w:color="auto"/>
        <w:right w:val="single" w:sz="4" w:space="0" w:color="auto"/>
      </w:pBdr>
      <w:spacing w:before="100" w:beforeAutospacing="1" w:after="100" w:afterAutospacing="1"/>
      <w:jc w:val="center"/>
    </w:pPr>
    <w:rPr>
      <w:rFonts w:ascii="標楷體" w:eastAsia="標楷體" w:hint="eastAsia"/>
      <w:b/>
      <w:bCs/>
      <w:kern w:val="0"/>
    </w:rPr>
  </w:style>
  <w:style w:type="paragraph" w:customStyle="1" w:styleId="xl31">
    <w:name w:val="xl31"/>
    <w:basedOn w:val="a"/>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2">
    <w:name w:val="xl32"/>
    <w:basedOn w:val="a"/>
    <w:pPr>
      <w:widowControl/>
      <w:pBdr>
        <w:left w:val="single" w:sz="4" w:space="0" w:color="auto"/>
        <w:right w:val="single" w:sz="4" w:space="0" w:color="auto"/>
      </w:pBdr>
      <w:spacing w:before="100" w:beforeAutospacing="1" w:after="100" w:afterAutospacing="1"/>
    </w:pPr>
    <w:rPr>
      <w:rFonts w:ascii="標楷體" w:eastAsia="標楷體" w:hint="eastAsia"/>
      <w:kern w:val="0"/>
    </w:rPr>
  </w:style>
  <w:style w:type="paragraph" w:customStyle="1" w:styleId="xl33">
    <w:name w:val="xl33"/>
    <w:basedOn w:val="a"/>
    <w:pPr>
      <w:widowControl/>
      <w:pBdr>
        <w:left w:val="single" w:sz="4" w:space="0" w:color="auto"/>
        <w:right w:val="single" w:sz="8" w:space="0" w:color="auto"/>
      </w:pBdr>
      <w:spacing w:before="100" w:beforeAutospacing="1" w:after="100" w:afterAutospacing="1"/>
    </w:pPr>
    <w:rPr>
      <w:rFonts w:ascii="標楷體" w:eastAsia="標楷體" w:hint="eastAsia"/>
      <w:kern w:val="0"/>
    </w:rPr>
  </w:style>
  <w:style w:type="paragraph" w:customStyle="1" w:styleId="xl34">
    <w:name w:val="xl34"/>
    <w:basedOn w:val="a"/>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5">
    <w:name w:val="xl35"/>
    <w:basedOn w:val="a"/>
    <w:pPr>
      <w:widowControl/>
      <w:pBdr>
        <w:left w:val="single" w:sz="8" w:space="0" w:color="auto"/>
        <w:right w:val="single" w:sz="4" w:space="0" w:color="auto"/>
      </w:pBdr>
      <w:spacing w:before="100" w:beforeAutospacing="1" w:after="100" w:afterAutospacing="1"/>
    </w:pPr>
    <w:rPr>
      <w:kern w:val="0"/>
    </w:rPr>
  </w:style>
  <w:style w:type="paragraph" w:customStyle="1" w:styleId="xl36">
    <w:name w:val="xl36"/>
    <w:basedOn w:val="a"/>
    <w:pPr>
      <w:widowControl/>
      <w:pBdr>
        <w:left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37">
    <w:name w:val="xl37"/>
    <w:basedOn w:val="a"/>
    <w:pPr>
      <w:widowControl/>
      <w:pBdr>
        <w:left w:val="single" w:sz="8" w:space="0" w:color="auto"/>
      </w:pBdr>
      <w:spacing w:before="100" w:beforeAutospacing="1" w:after="100" w:afterAutospacing="1"/>
      <w:jc w:val="center"/>
    </w:pPr>
    <w:rPr>
      <w:rFonts w:ascii="標楷體" w:eastAsia="標楷體" w:hint="eastAsia"/>
      <w:b/>
      <w:bCs/>
      <w:kern w:val="0"/>
    </w:rPr>
  </w:style>
  <w:style w:type="paragraph" w:customStyle="1" w:styleId="xl38">
    <w:name w:val="xl38"/>
    <w:basedOn w:val="a"/>
    <w:pPr>
      <w:widowControl/>
      <w:pBdr>
        <w:left w:val="single" w:sz="8" w:space="0" w:color="auto"/>
      </w:pBdr>
      <w:spacing w:before="100" w:beforeAutospacing="1" w:after="100" w:afterAutospacing="1"/>
    </w:pPr>
    <w:rPr>
      <w:rFonts w:ascii="標楷體" w:eastAsia="標楷體" w:hint="eastAsia"/>
      <w:kern w:val="0"/>
    </w:rPr>
  </w:style>
  <w:style w:type="paragraph" w:customStyle="1" w:styleId="xl39">
    <w:name w:val="xl39"/>
    <w:basedOn w:val="a"/>
    <w:pPr>
      <w:widowControl/>
      <w:pBdr>
        <w:left w:val="single" w:sz="8" w:space="0" w:color="auto"/>
      </w:pBdr>
      <w:spacing w:before="100" w:beforeAutospacing="1" w:after="100" w:afterAutospacing="1"/>
    </w:pPr>
    <w:rPr>
      <w:kern w:val="0"/>
    </w:rPr>
  </w:style>
  <w:style w:type="paragraph" w:customStyle="1" w:styleId="xl40">
    <w:name w:val="xl40"/>
    <w:basedOn w:val="a"/>
    <w:pPr>
      <w:widowControl/>
      <w:pBdr>
        <w:left w:val="single" w:sz="8" w:space="0" w:color="auto"/>
      </w:pBdr>
      <w:spacing w:before="100" w:beforeAutospacing="1" w:after="100" w:afterAutospacing="1"/>
    </w:pPr>
    <w:rPr>
      <w:rFonts w:ascii="標楷體" w:eastAsia="標楷體" w:hint="eastAsia"/>
      <w:b/>
      <w:bCs/>
      <w:kern w:val="0"/>
    </w:rPr>
  </w:style>
  <w:style w:type="paragraph" w:customStyle="1" w:styleId="xl41">
    <w:name w:val="xl41"/>
    <w:basedOn w:val="a"/>
    <w:pPr>
      <w:widowControl/>
      <w:pBdr>
        <w:left w:val="single" w:sz="8" w:space="0" w:color="auto"/>
        <w:bottom w:val="single" w:sz="8" w:space="0" w:color="auto"/>
      </w:pBdr>
      <w:spacing w:before="100" w:beforeAutospacing="1" w:after="100" w:afterAutospacing="1"/>
      <w:jc w:val="center"/>
    </w:pPr>
    <w:rPr>
      <w:rFonts w:ascii="標楷體" w:eastAsia="標楷體" w:hint="eastAsia"/>
      <w:b/>
      <w:bCs/>
      <w:kern w:val="0"/>
    </w:rPr>
  </w:style>
  <w:style w:type="paragraph" w:customStyle="1" w:styleId="xl42">
    <w:name w:val="xl42"/>
    <w:basedOn w:val="a"/>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3">
    <w:name w:val="xl43"/>
    <w:basedOn w:val="a"/>
    <w:pPr>
      <w:widowControl/>
      <w:pBdr>
        <w:left w:val="single" w:sz="4" w:space="0" w:color="auto"/>
        <w:bottom w:val="single" w:sz="8" w:space="0" w:color="auto"/>
        <w:right w:val="single" w:sz="4" w:space="0" w:color="auto"/>
      </w:pBdr>
      <w:spacing w:before="100" w:beforeAutospacing="1" w:after="100" w:afterAutospacing="1"/>
    </w:pPr>
    <w:rPr>
      <w:rFonts w:ascii="標楷體" w:eastAsia="標楷體" w:hint="eastAsia"/>
      <w:kern w:val="0"/>
    </w:rPr>
  </w:style>
  <w:style w:type="paragraph" w:customStyle="1" w:styleId="xl44">
    <w:name w:val="xl44"/>
    <w:basedOn w:val="a"/>
    <w:pPr>
      <w:widowControl/>
      <w:pBdr>
        <w:left w:val="single" w:sz="4" w:space="0" w:color="auto"/>
        <w:bottom w:val="single" w:sz="8" w:space="0" w:color="auto"/>
        <w:right w:val="single" w:sz="8" w:space="0" w:color="auto"/>
      </w:pBdr>
      <w:spacing w:before="100" w:beforeAutospacing="1" w:after="100" w:afterAutospacing="1"/>
    </w:pPr>
    <w:rPr>
      <w:rFonts w:ascii="標楷體" w:eastAsia="標楷體" w:hint="eastAsia"/>
      <w:kern w:val="0"/>
    </w:rPr>
  </w:style>
  <w:style w:type="paragraph" w:customStyle="1" w:styleId="af">
    <w:name w:val="表說"/>
    <w:basedOn w:val="a"/>
    <w:pPr>
      <w:spacing w:line="312" w:lineRule="auto"/>
      <w:jc w:val="both"/>
    </w:pPr>
    <w:rPr>
      <w:rFonts w:ascii="Courier" w:eastAsia="華康楷書體W5" w:hAnsi="Courier"/>
      <w:spacing w:val="4"/>
      <w:sz w:val="21"/>
    </w:rPr>
  </w:style>
  <w:style w:type="paragraph" w:customStyle="1" w:styleId="af0">
    <w:name w:val="單元"/>
    <w:basedOn w:val="a"/>
    <w:pPr>
      <w:snapToGrid w:val="0"/>
      <w:ind w:right="100" w:firstLine="200"/>
      <w:jc w:val="right"/>
    </w:pPr>
    <w:rPr>
      <w:rFonts w:ascii="Arial Narrow" w:eastAsia="華康楷書體W5" w:hAnsi="Arial Narrow"/>
      <w:sz w:val="20"/>
    </w:rPr>
  </w:style>
  <w:style w:type="paragraph" w:customStyle="1" w:styleId="af1">
    <w:name w:val="表頭"/>
    <w:basedOn w:val="a"/>
    <w:pPr>
      <w:ind w:left="30" w:right="30"/>
      <w:jc w:val="distribute"/>
    </w:pPr>
    <w:rPr>
      <w:rFonts w:ascii="華康楷書體W5" w:eastAsia="華康楷書體W5"/>
      <w:sz w:val="20"/>
    </w:rPr>
  </w:style>
  <w:style w:type="paragraph" w:customStyle="1" w:styleId="1-3">
    <w:name w:val="欄1-3"/>
    <w:basedOn w:val="a"/>
    <w:pPr>
      <w:spacing w:before="20" w:after="20"/>
      <w:ind w:left="150"/>
      <w:jc w:val="right"/>
    </w:pPr>
    <w:rPr>
      <w:rFonts w:eastAsia="華康楷書體W5"/>
      <w:spacing w:val="10"/>
      <w:sz w:val="19"/>
    </w:rPr>
  </w:style>
  <w:style w:type="paragraph" w:customStyle="1" w:styleId="1-2">
    <w:name w:val="欄1-2"/>
    <w:basedOn w:val="1-3"/>
    <w:pPr>
      <w:ind w:left="75"/>
      <w:jc w:val="distribute"/>
    </w:pPr>
    <w:rPr>
      <w:rFonts w:eastAsia="華康儷中黑"/>
      <w:spacing w:val="6"/>
    </w:rPr>
  </w:style>
  <w:style w:type="paragraph" w:customStyle="1" w:styleId="1-1">
    <w:name w:val="欄1-1"/>
    <w:basedOn w:val="1-2"/>
    <w:pPr>
      <w:ind w:left="0"/>
    </w:pPr>
    <w:rPr>
      <w:sz w:val="21"/>
    </w:rPr>
  </w:style>
  <w:style w:type="paragraph" w:customStyle="1" w:styleId="1-">
    <w:name w:val="欄1-數字"/>
    <w:basedOn w:val="a"/>
    <w:pPr>
      <w:spacing w:before="72" w:after="72"/>
      <w:ind w:left="24" w:right="24"/>
      <w:jc w:val="right"/>
    </w:pPr>
    <w:rPr>
      <w:rFonts w:eastAsia="華康儷中黑"/>
      <w:b/>
      <w:spacing w:val="-6"/>
      <w:w w:val="85"/>
      <w:sz w:val="20"/>
    </w:rPr>
  </w:style>
  <w:style w:type="paragraph" w:customStyle="1" w:styleId="2-">
    <w:name w:val="欄2-數字"/>
    <w:basedOn w:val="a"/>
    <w:pPr>
      <w:spacing w:before="72" w:after="72"/>
      <w:ind w:left="24" w:right="24"/>
      <w:jc w:val="right"/>
    </w:pPr>
    <w:rPr>
      <w:rFonts w:eastAsia="華康楷書體W5"/>
      <w:b/>
      <w:spacing w:val="-6"/>
      <w:w w:val="85"/>
      <w:sz w:val="20"/>
    </w:rPr>
  </w:style>
  <w:style w:type="paragraph" w:customStyle="1" w:styleId="af2">
    <w:name w:val="跨頁標頭"/>
    <w:basedOn w:val="a"/>
    <w:pPr>
      <w:spacing w:after="180"/>
      <w:jc w:val="right"/>
    </w:pPr>
    <w:rPr>
      <w:rFonts w:ascii="華康楷書體W5" w:eastAsia="華康楷書體W5"/>
      <w:b/>
      <w:spacing w:val="60"/>
      <w:sz w:val="30"/>
      <w:u w:val="single"/>
    </w:rPr>
  </w:style>
  <w:style w:type="paragraph" w:customStyle="1" w:styleId="af3">
    <w:name w:val="甲乙丙"/>
    <w:basedOn w:val="a"/>
    <w:pPr>
      <w:spacing w:after="360" w:line="360" w:lineRule="auto"/>
      <w:jc w:val="center"/>
    </w:pPr>
    <w:rPr>
      <w:rFonts w:ascii="標楷體" w:eastAsia="標楷體"/>
      <w:b/>
      <w:spacing w:val="-10"/>
      <w:sz w:val="40"/>
    </w:rPr>
  </w:style>
  <w:style w:type="paragraph" w:styleId="af4">
    <w:name w:val="Date"/>
    <w:basedOn w:val="a"/>
    <w:next w:val="a"/>
    <w:link w:val="af5"/>
    <w:pPr>
      <w:jc w:val="right"/>
    </w:pPr>
    <w:rPr>
      <w:rFonts w:ascii="標楷體" w:eastAsia="標楷體"/>
      <w:sz w:val="32"/>
    </w:rPr>
  </w:style>
  <w:style w:type="paragraph" w:customStyle="1" w:styleId="af6">
    <w:name w:val="註"/>
    <w:basedOn w:val="a"/>
    <w:qFormat/>
    <w:pPr>
      <w:spacing w:beforeLines="30" w:before="108" w:afterLines="30" w:after="108" w:line="460" w:lineRule="exact"/>
      <w:jc w:val="both"/>
    </w:pPr>
    <w:rPr>
      <w:rFonts w:eastAsia="華康楷書體W5"/>
      <w:spacing w:val="4"/>
      <w:sz w:val="20"/>
    </w:rPr>
  </w:style>
  <w:style w:type="paragraph" w:customStyle="1" w:styleId="af7">
    <w:name w:val="標題一、"/>
    <w:basedOn w:val="a"/>
    <w:pPr>
      <w:spacing w:beforeLines="20" w:afterLines="20" w:line="400" w:lineRule="exact"/>
      <w:ind w:leftChars="100" w:left="310" w:hangingChars="210" w:hanging="210"/>
      <w:jc w:val="both"/>
    </w:pPr>
    <w:rPr>
      <w:rFonts w:eastAsia="標楷體"/>
      <w:bCs/>
      <w:sz w:val="32"/>
      <w:szCs w:val="32"/>
    </w:rPr>
  </w:style>
  <w:style w:type="paragraph" w:customStyle="1" w:styleId="af8">
    <w:name w:val="標題甲、"/>
    <w:basedOn w:val="a"/>
    <w:pPr>
      <w:spacing w:beforeLines="50"/>
      <w:jc w:val="center"/>
    </w:pPr>
    <w:rPr>
      <w:rFonts w:eastAsia="標楷體" w:cs="Century"/>
      <w:b/>
      <w:bCs/>
      <w:sz w:val="40"/>
    </w:rPr>
  </w:style>
  <w:style w:type="paragraph" w:customStyle="1" w:styleId="af9">
    <w:name w:val="標題（一）"/>
    <w:basedOn w:val="af8"/>
    <w:pPr>
      <w:spacing w:beforeLines="20" w:before="20" w:afterLines="20" w:after="20" w:line="400" w:lineRule="exact"/>
      <w:ind w:firstLineChars="200" w:firstLine="200"/>
      <w:jc w:val="both"/>
    </w:pPr>
    <w:rPr>
      <w:rFonts w:cs="新細明體"/>
      <w:sz w:val="28"/>
      <w:szCs w:val="28"/>
    </w:rPr>
  </w:style>
  <w:style w:type="paragraph" w:customStyle="1" w:styleId="1-0">
    <w:name w:val="表格欄1-數字主管"/>
    <w:basedOn w:val="a"/>
    <w:pPr>
      <w:jc w:val="right"/>
    </w:pPr>
    <w:rPr>
      <w:rFonts w:ascii="細明體" w:eastAsia="細明體" w:hAnsi="Arial"/>
      <w:b/>
      <w:bCs/>
      <w:w w:val="90"/>
      <w:sz w:val="20"/>
    </w:rPr>
  </w:style>
  <w:style w:type="paragraph" w:customStyle="1" w:styleId="afa">
    <w:name w:val="乙篇主文 字元"/>
    <w:basedOn w:val="a"/>
    <w:pPr>
      <w:spacing w:line="400" w:lineRule="exact"/>
      <w:ind w:firstLineChars="200" w:firstLine="200"/>
      <w:jc w:val="both"/>
    </w:pPr>
    <w:rPr>
      <w:rFonts w:ascii="標楷體" w:eastAsia="標楷體"/>
      <w:szCs w:val="24"/>
    </w:rPr>
  </w:style>
  <w:style w:type="paragraph" w:customStyle="1" w:styleId="23">
    <w:name w:val="表格欄2數字"/>
    <w:basedOn w:val="1-0"/>
    <w:rPr>
      <w:sz w:val="18"/>
    </w:rPr>
  </w:style>
  <w:style w:type="paragraph" w:customStyle="1" w:styleId="33">
    <w:name w:val="表格欄3數字"/>
    <w:basedOn w:val="23"/>
    <w:rPr>
      <w:b w:val="0"/>
    </w:rPr>
  </w:style>
  <w:style w:type="paragraph" w:customStyle="1" w:styleId="1-10">
    <w:name w:val="表格欄1-1主管"/>
    <w:basedOn w:val="a"/>
    <w:pPr>
      <w:jc w:val="distribute"/>
    </w:pPr>
    <w:rPr>
      <w:rFonts w:eastAsia="標楷體" w:cs="新細明體"/>
      <w:b/>
      <w:sz w:val="20"/>
    </w:rPr>
  </w:style>
  <w:style w:type="paragraph" w:customStyle="1" w:styleId="1-20">
    <w:name w:val="表格欄1-2"/>
    <w:basedOn w:val="a"/>
    <w:pPr>
      <w:ind w:firstLineChars="100" w:firstLine="100"/>
      <w:jc w:val="distribute"/>
    </w:pPr>
    <w:rPr>
      <w:rFonts w:eastAsia="標楷體" w:cs="新細明體"/>
      <w:b/>
      <w:sz w:val="20"/>
      <w:szCs w:val="18"/>
    </w:rPr>
  </w:style>
  <w:style w:type="paragraph" w:customStyle="1" w:styleId="1-31">
    <w:name w:val="表格欄1-3退1"/>
    <w:basedOn w:val="a"/>
    <w:pPr>
      <w:ind w:firstLineChars="100" w:firstLine="100"/>
      <w:jc w:val="distribute"/>
    </w:pPr>
    <w:rPr>
      <w:rFonts w:eastAsia="標楷體" w:cs="新細明體"/>
      <w:sz w:val="18"/>
      <w:szCs w:val="18"/>
    </w:rPr>
  </w:style>
  <w:style w:type="paragraph" w:customStyle="1" w:styleId="1-32">
    <w:name w:val="表格欄1-3退2"/>
    <w:basedOn w:val="1-31"/>
    <w:pPr>
      <w:ind w:firstLineChars="200" w:firstLine="200"/>
    </w:pPr>
  </w:style>
  <w:style w:type="paragraph" w:styleId="afb">
    <w:name w:val="Balloon Text"/>
    <w:basedOn w:val="a"/>
    <w:link w:val="afc"/>
    <w:uiPriority w:val="99"/>
    <w:rPr>
      <w:rFonts w:ascii="Arial" w:hAnsi="Arial"/>
      <w:sz w:val="18"/>
      <w:szCs w:val="18"/>
    </w:rPr>
  </w:style>
  <w:style w:type="paragraph" w:customStyle="1" w:styleId="afd">
    <w:name w:val="標題壹、"/>
    <w:basedOn w:val="a"/>
    <w:link w:val="afe"/>
    <w:pPr>
      <w:spacing w:line="360" w:lineRule="auto"/>
      <w:jc w:val="both"/>
    </w:pPr>
    <w:rPr>
      <w:rFonts w:eastAsia="標楷體" w:cs="新細明體"/>
      <w:b/>
      <w:bCs/>
      <w:sz w:val="36"/>
      <w:szCs w:val="36"/>
    </w:rPr>
  </w:style>
  <w:style w:type="paragraph" w:customStyle="1" w:styleId="aff">
    <w:name w:val="乙篇主文 字元 字元"/>
    <w:basedOn w:val="a"/>
    <w:pPr>
      <w:spacing w:line="400" w:lineRule="exact"/>
      <w:ind w:firstLineChars="200" w:firstLine="200"/>
      <w:jc w:val="both"/>
    </w:pPr>
    <w:rPr>
      <w:rFonts w:ascii="標楷體" w:eastAsia="標楷體"/>
      <w:szCs w:val="24"/>
    </w:rPr>
  </w:style>
  <w:style w:type="character" w:customStyle="1" w:styleId="aff0">
    <w:name w:val="乙篇主文 字元 字元 字元"/>
    <w:rPr>
      <w:rFonts w:ascii="標楷體" w:eastAsia="標楷體"/>
      <w:kern w:val="2"/>
      <w:sz w:val="24"/>
      <w:szCs w:val="24"/>
      <w:lang w:val="en-US" w:eastAsia="zh-TW" w:bidi="ar-SA"/>
    </w:rPr>
  </w:style>
  <w:style w:type="character" w:styleId="aff1">
    <w:name w:val="Hyperlink"/>
    <w:uiPriority w:val="99"/>
    <w:rPr>
      <w:color w:val="0000FF"/>
      <w:u w:val="single"/>
    </w:rPr>
  </w:style>
  <w:style w:type="paragraph" w:customStyle="1" w:styleId="aff2">
    <w:name w:val="標題（一） 字元"/>
    <w:basedOn w:val="a"/>
    <w:pPr>
      <w:spacing w:before="20" w:after="20" w:line="400" w:lineRule="exact"/>
      <w:ind w:firstLine="200"/>
      <w:jc w:val="both"/>
    </w:pPr>
    <w:rPr>
      <w:rFonts w:eastAsia="標楷體"/>
      <w:b/>
      <w:sz w:val="28"/>
    </w:rPr>
  </w:style>
  <w:style w:type="paragraph" w:customStyle="1" w:styleId="12">
    <w:name w:val="(1)內文"/>
    <w:basedOn w:val="a"/>
    <w:pPr>
      <w:kinsoku w:val="0"/>
      <w:adjustRightInd w:val="0"/>
      <w:snapToGrid w:val="0"/>
      <w:spacing w:line="240" w:lineRule="atLeast"/>
      <w:ind w:leftChars="551" w:left="1763" w:firstLineChars="204" w:firstLine="645"/>
      <w:jc w:val="both"/>
      <w:textAlignment w:val="baseline"/>
    </w:pPr>
    <w:rPr>
      <w:rFonts w:ascii="標楷體" w:eastAsia="標楷體" w:hAnsi="標楷體"/>
      <w:snapToGrid w:val="0"/>
      <w:spacing w:val="-2"/>
      <w:kern w:val="0"/>
      <w:sz w:val="32"/>
      <w:szCs w:val="32"/>
    </w:rPr>
  </w:style>
  <w:style w:type="paragraph" w:customStyle="1" w:styleId="aff3">
    <w:name w:val="壹"/>
    <w:basedOn w:val="a7"/>
    <w:pPr>
      <w:jc w:val="both"/>
    </w:pPr>
    <w:rPr>
      <w:rFonts w:ascii="標楷體" w:eastAsia="標楷體"/>
      <w:b/>
      <w:sz w:val="30"/>
    </w:rPr>
  </w:style>
  <w:style w:type="paragraph" w:styleId="24">
    <w:name w:val="Body Text Indent 2"/>
    <w:basedOn w:val="a"/>
    <w:link w:val="25"/>
    <w:pPr>
      <w:spacing w:after="120" w:line="480" w:lineRule="auto"/>
      <w:ind w:leftChars="200" w:left="480"/>
    </w:pPr>
  </w:style>
  <w:style w:type="character" w:customStyle="1" w:styleId="aff4">
    <w:name w:val="內文壹 字元"/>
    <w:aliases w:val="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字元,純文字 字元,一般文字 字元 字元 字元 字元 字元 字元 字元 字元 字元 字元 字元 字元 字元 字元 字元"/>
    <w:rPr>
      <w:rFonts w:ascii="細明體" w:eastAsia="細明體" w:hAnsi="Courier New"/>
      <w:kern w:val="2"/>
      <w:sz w:val="24"/>
      <w:lang w:val="en-US" w:eastAsia="zh-TW" w:bidi="ar-SA"/>
    </w:rPr>
  </w:style>
  <w:style w:type="paragraph" w:customStyle="1" w:styleId="13">
    <w:name w:val="標題1."/>
    <w:basedOn w:val="a"/>
    <w:pPr>
      <w:spacing w:line="400" w:lineRule="exact"/>
      <w:ind w:firstLineChars="450" w:firstLine="450"/>
      <w:jc w:val="both"/>
    </w:pPr>
    <w:rPr>
      <w:rFonts w:ascii="標楷體" w:eastAsia="標楷體" w:cs="新細明體"/>
      <w:bCs/>
      <w:szCs w:val="24"/>
    </w:rPr>
  </w:style>
  <w:style w:type="character" w:customStyle="1" w:styleId="110">
    <w:name w:val="標題1. 字元1"/>
    <w:rPr>
      <w:rFonts w:ascii="標楷體" w:eastAsia="標楷體" w:cs="新細明體"/>
      <w:bCs/>
      <w:kern w:val="2"/>
      <w:sz w:val="24"/>
      <w:szCs w:val="24"/>
      <w:lang w:val="en-US" w:eastAsia="zh-TW" w:bidi="ar-SA"/>
    </w:rPr>
  </w:style>
  <w:style w:type="paragraph" w:customStyle="1" w:styleId="aff5">
    <w:name w:val="乙篇主文"/>
    <w:basedOn w:val="a"/>
    <w:pPr>
      <w:spacing w:line="400" w:lineRule="exact"/>
      <w:ind w:firstLineChars="200" w:firstLine="200"/>
      <w:jc w:val="both"/>
    </w:pPr>
    <w:rPr>
      <w:rFonts w:ascii="標楷體" w:eastAsia="標楷體"/>
      <w:szCs w:val="24"/>
    </w:rPr>
  </w:style>
  <w:style w:type="character" w:customStyle="1" w:styleId="14">
    <w:name w:val="標題（一） 字元1"/>
    <w:uiPriority w:val="99"/>
    <w:rPr>
      <w:rFonts w:eastAsia="標楷體" w:cs="新細明體"/>
      <w:b/>
      <w:bCs/>
      <w:kern w:val="2"/>
      <w:sz w:val="28"/>
      <w:szCs w:val="28"/>
      <w:lang w:val="en-US" w:eastAsia="zh-TW" w:bidi="ar-SA"/>
    </w:rPr>
  </w:style>
  <w:style w:type="paragraph" w:customStyle="1" w:styleId="1-310">
    <w:name w:val="表格欄1-3退1 字元"/>
    <w:basedOn w:val="a"/>
    <w:pPr>
      <w:ind w:firstLineChars="100" w:firstLine="100"/>
      <w:jc w:val="distribute"/>
    </w:pPr>
    <w:rPr>
      <w:rFonts w:eastAsia="標楷體"/>
      <w:sz w:val="18"/>
      <w:szCs w:val="18"/>
    </w:rPr>
  </w:style>
  <w:style w:type="paragraph" w:styleId="aff6">
    <w:name w:val="annotation text"/>
    <w:basedOn w:val="a"/>
    <w:link w:val="aff7"/>
    <w:semiHidden/>
    <w:rPr>
      <w:sz w:val="20"/>
    </w:rPr>
  </w:style>
  <w:style w:type="paragraph" w:customStyle="1" w:styleId="aff8">
    <w:name w:val="查核事實"/>
    <w:basedOn w:val="a"/>
    <w:pPr>
      <w:spacing w:line="560" w:lineRule="exact"/>
      <w:ind w:leftChars="100" w:left="240"/>
    </w:pPr>
    <w:rPr>
      <w:rFonts w:ascii="標楷體" w:eastAsia="標楷體" w:hAnsi="標楷體"/>
      <w:b/>
      <w:sz w:val="32"/>
      <w:szCs w:val="32"/>
    </w:rPr>
  </w:style>
  <w:style w:type="paragraph" w:customStyle="1" w:styleId="15">
    <w:name w:val="(1)"/>
    <w:basedOn w:val="a7"/>
    <w:pPr>
      <w:snapToGrid w:val="0"/>
      <w:spacing w:line="600" w:lineRule="exact"/>
      <w:ind w:left="994" w:hanging="350"/>
      <w:jc w:val="both"/>
    </w:pPr>
    <w:rPr>
      <w:rFonts w:ascii="標楷體" w:eastAsia="標楷體" w:hAnsi="標楷體"/>
      <w:spacing w:val="-2"/>
      <w:sz w:val="32"/>
      <w:szCs w:val="32"/>
    </w:rPr>
  </w:style>
  <w:style w:type="character" w:customStyle="1" w:styleId="st1">
    <w:name w:val="st1"/>
  </w:style>
  <w:style w:type="paragraph" w:customStyle="1" w:styleId="aff9">
    <w:name w:val="說明"/>
    <w:basedOn w:val="ab"/>
    <w:pPr>
      <w:spacing w:beforeLines="0" w:before="0" w:line="640" w:lineRule="exact"/>
      <w:ind w:left="952" w:firstLineChars="0" w:hanging="952"/>
      <w:jc w:val="left"/>
    </w:pPr>
    <w:rPr>
      <w:rFonts w:ascii="Arial" w:hAnsi="Arial"/>
      <w:sz w:val="32"/>
      <w:szCs w:val="24"/>
    </w:rPr>
  </w:style>
  <w:style w:type="paragraph" w:customStyle="1" w:styleId="affa">
    <w:name w:val="副本"/>
    <w:basedOn w:val="34"/>
    <w:pPr>
      <w:snapToGrid w:val="0"/>
      <w:spacing w:after="0" w:line="300" w:lineRule="exact"/>
      <w:ind w:left="720" w:hanging="720"/>
    </w:pPr>
    <w:rPr>
      <w:rFonts w:ascii="Arial" w:eastAsia="標楷體" w:hAnsi="Arial"/>
      <w:sz w:val="24"/>
    </w:rPr>
  </w:style>
  <w:style w:type="paragraph" w:styleId="34">
    <w:name w:val="Body Text Indent 3"/>
    <w:basedOn w:val="a"/>
    <w:link w:val="35"/>
    <w:pPr>
      <w:spacing w:after="120"/>
      <w:ind w:left="480"/>
    </w:pPr>
    <w:rPr>
      <w:sz w:val="16"/>
      <w:szCs w:val="24"/>
    </w:rPr>
  </w:style>
  <w:style w:type="paragraph" w:customStyle="1" w:styleId="affb">
    <w:name w:val="大項"/>
    <w:basedOn w:val="a"/>
    <w:pPr>
      <w:kinsoku w:val="0"/>
      <w:adjustRightInd w:val="0"/>
      <w:spacing w:line="440" w:lineRule="atLeast"/>
      <w:ind w:left="1260" w:hanging="644"/>
      <w:textAlignment w:val="baseline"/>
    </w:pPr>
    <w:rPr>
      <w:rFonts w:ascii="標楷體" w:eastAsia="標楷體"/>
      <w:kern w:val="0"/>
      <w:sz w:val="32"/>
    </w:rPr>
  </w:style>
  <w:style w:type="character" w:customStyle="1" w:styleId="16">
    <w:name w:val="標題1. 字元"/>
    <w:rPr>
      <w:rFonts w:ascii="標楷體" w:eastAsia="標楷體" w:cs="新細明體"/>
      <w:bCs/>
      <w:kern w:val="2"/>
      <w:sz w:val="24"/>
      <w:szCs w:val="24"/>
      <w:lang w:val="en-US" w:eastAsia="zh-TW" w:bidi="ar-SA"/>
    </w:rPr>
  </w:style>
  <w:style w:type="character" w:customStyle="1" w:styleId="affc">
    <w:name w:val="頁首 字元 字元 字元 字元"/>
    <w:rPr>
      <w:rFonts w:eastAsia="新細明體"/>
      <w:kern w:val="2"/>
      <w:lang w:val="en-US" w:eastAsia="zh-TW" w:bidi="ar-SA"/>
    </w:rPr>
  </w:style>
  <w:style w:type="paragraph" w:customStyle="1" w:styleId="Default">
    <w:name w:val="Default"/>
    <w:pPr>
      <w:widowControl w:val="0"/>
      <w:autoSpaceDE w:val="0"/>
      <w:autoSpaceDN w:val="0"/>
      <w:adjustRightInd w:val="0"/>
    </w:pPr>
    <w:rPr>
      <w:rFonts w:ascii="標楷體a分..." w:eastAsia="標楷體a分..."/>
      <w:color w:val="000000"/>
      <w:sz w:val="24"/>
      <w:szCs w:val="24"/>
    </w:rPr>
  </w:style>
  <w:style w:type="character" w:styleId="affd">
    <w:name w:val="FollowedHyperlink"/>
    <w:rPr>
      <w:color w:val="800080"/>
      <w:u w:val="single"/>
    </w:rPr>
  </w:style>
  <w:style w:type="paragraph" w:customStyle="1" w:styleId="affe">
    <w:name w:val="(一)文"/>
    <w:basedOn w:val="a"/>
    <w:qFormat/>
    <w:rsid w:val="00B06761"/>
    <w:pPr>
      <w:snapToGrid w:val="0"/>
      <w:spacing w:line="560" w:lineRule="exact"/>
      <w:ind w:left="910" w:firstLineChars="192" w:firstLine="614"/>
      <w:jc w:val="both"/>
    </w:pPr>
    <w:rPr>
      <w:rFonts w:ascii="標楷體" w:eastAsia="標楷體" w:hAnsi="標楷體" w:cs="Arial"/>
      <w:sz w:val="32"/>
      <w:szCs w:val="32"/>
    </w:rPr>
  </w:style>
  <w:style w:type="table" w:styleId="afff">
    <w:name w:val="Table Grid"/>
    <w:basedOn w:val="a1"/>
    <w:uiPriority w:val="59"/>
    <w:qFormat/>
    <w:rsid w:val="007C204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0">
    <w:name w:val="一"/>
    <w:basedOn w:val="a"/>
    <w:qFormat/>
    <w:rsid w:val="00D54867"/>
    <w:pPr>
      <w:snapToGrid w:val="0"/>
      <w:spacing w:line="360" w:lineRule="auto"/>
      <w:ind w:firstLineChars="100" w:firstLine="316"/>
      <w:jc w:val="both"/>
      <w:outlineLvl w:val="2"/>
    </w:pPr>
    <w:rPr>
      <w:rFonts w:ascii="標楷體" w:eastAsia="標楷體" w:hAnsi="標楷體" w:cs="DFKaiShu-SB-Estd-BF"/>
      <w:bCs/>
      <w:color w:val="000000"/>
      <w:spacing w:val="-2"/>
      <w:kern w:val="0"/>
      <w:sz w:val="32"/>
      <w:szCs w:val="28"/>
    </w:rPr>
  </w:style>
  <w:style w:type="paragraph" w:styleId="afff1">
    <w:name w:val="Block Text"/>
    <w:basedOn w:val="a"/>
    <w:rsid w:val="003B62CC"/>
    <w:pPr>
      <w:overflowPunct w:val="0"/>
      <w:snapToGrid w:val="0"/>
      <w:spacing w:beforeLines="50" w:before="180" w:line="360" w:lineRule="auto"/>
      <w:ind w:leftChars="95" w:left="304" w:right="-159" w:firstLineChars="207" w:firstLine="663"/>
      <w:jc w:val="both"/>
    </w:pPr>
    <w:rPr>
      <w:rFonts w:ascii="標楷體" w:eastAsia="標楷體" w:hAnsi="標楷體"/>
      <w:b/>
      <w:bCs/>
      <w:kern w:val="0"/>
      <w:sz w:val="32"/>
      <w:szCs w:val="32"/>
    </w:rPr>
  </w:style>
  <w:style w:type="paragraph" w:customStyle="1" w:styleId="a20">
    <w:name w:val="a2"/>
    <w:basedOn w:val="a"/>
    <w:rsid w:val="000B20B9"/>
    <w:pPr>
      <w:widowControl/>
      <w:spacing w:before="100" w:beforeAutospacing="1" w:after="100" w:afterAutospacing="1"/>
    </w:pPr>
    <w:rPr>
      <w:rFonts w:ascii="新細明體" w:hAnsi="新細明體"/>
      <w:kern w:val="0"/>
      <w:szCs w:val="24"/>
    </w:rPr>
  </w:style>
  <w:style w:type="paragraph" w:customStyle="1" w:styleId="afff2">
    <w:name w:val="字元 字元 字元"/>
    <w:basedOn w:val="a"/>
    <w:semiHidden/>
    <w:rsid w:val="00F32644"/>
    <w:pPr>
      <w:widowControl/>
      <w:spacing w:after="160" w:line="240" w:lineRule="exact"/>
    </w:pPr>
    <w:rPr>
      <w:rFonts w:ascii="Verdana" w:eastAsia="Times New Roman" w:hAnsi="Verdana"/>
      <w:kern w:val="0"/>
      <w:sz w:val="20"/>
      <w:lang w:eastAsia="en-US"/>
    </w:rPr>
  </w:style>
  <w:style w:type="paragraph" w:styleId="afff3">
    <w:name w:val="caption"/>
    <w:basedOn w:val="a"/>
    <w:next w:val="a"/>
    <w:qFormat/>
    <w:rsid w:val="003A7F81"/>
    <w:rPr>
      <w:sz w:val="20"/>
    </w:rPr>
  </w:style>
  <w:style w:type="paragraph" w:customStyle="1" w:styleId="xl56">
    <w:name w:val="xl56"/>
    <w:basedOn w:val="a"/>
    <w:rsid w:val="00561C2A"/>
    <w:pPr>
      <w:widowControl/>
      <w:pBdr>
        <w:left w:val="single" w:sz="4" w:space="0" w:color="auto"/>
        <w:right w:val="single" w:sz="4" w:space="0" w:color="auto"/>
      </w:pBdr>
      <w:spacing w:before="100" w:beforeAutospacing="1" w:after="100" w:afterAutospacing="1"/>
      <w:jc w:val="center"/>
      <w:textAlignment w:val="center"/>
    </w:pPr>
    <w:rPr>
      <w:rFonts w:ascii="新細明體" w:hAnsi="新細明體" w:hint="eastAsia"/>
      <w:b/>
      <w:bCs/>
      <w:kern w:val="0"/>
      <w:sz w:val="20"/>
    </w:rPr>
  </w:style>
  <w:style w:type="paragraph" w:customStyle="1" w:styleId="xl46">
    <w:name w:val="xl46"/>
    <w:basedOn w:val="a"/>
    <w:rsid w:val="000703B9"/>
    <w:pPr>
      <w:widowControl/>
      <w:pBdr>
        <w:bottom w:val="single" w:sz="4" w:space="0" w:color="auto"/>
        <w:right w:val="single" w:sz="4" w:space="0" w:color="auto"/>
      </w:pBdr>
      <w:spacing w:before="100" w:beforeAutospacing="1" w:after="100" w:afterAutospacing="1"/>
      <w:jc w:val="center"/>
      <w:textAlignment w:val="center"/>
    </w:pPr>
    <w:rPr>
      <w:rFonts w:ascii="新細明體" w:hAnsi="新細明體"/>
      <w:kern w:val="0"/>
      <w:szCs w:val="24"/>
    </w:rPr>
  </w:style>
  <w:style w:type="paragraph" w:styleId="afff4">
    <w:name w:val="footnote text"/>
    <w:aliases w:val="註腳文字 字元 字元, 字元,註腳文字(博銘), 字元 字元 字元"/>
    <w:basedOn w:val="a"/>
    <w:link w:val="afff5"/>
    <w:uiPriority w:val="99"/>
    <w:rsid w:val="00403719"/>
    <w:pPr>
      <w:snapToGrid w:val="0"/>
    </w:pPr>
    <w:rPr>
      <w:sz w:val="20"/>
    </w:rPr>
  </w:style>
  <w:style w:type="character" w:customStyle="1" w:styleId="afff5">
    <w:name w:val="註腳文字 字元"/>
    <w:aliases w:val="註腳文字 字元 字元 字元, 字元 字元,註腳文字(博銘) 字元, 字元 字元 字元 字元"/>
    <w:link w:val="afff4"/>
    <w:rsid w:val="00403719"/>
    <w:rPr>
      <w:rFonts w:eastAsia="新細明體"/>
      <w:kern w:val="2"/>
      <w:lang w:val="en-US" w:eastAsia="zh-TW" w:bidi="ar-SA"/>
    </w:rPr>
  </w:style>
  <w:style w:type="character" w:styleId="afff6">
    <w:name w:val="footnote reference"/>
    <w:aliases w:val="FR,Ref,de nota al pie,註腳內容,Error-Fußnotenzeichen5,Error-Fußnotenzeichen6,Error-Fußnotenzeichen3,Error-Fusnotßnotenzeichen5,Error-Fußnotenzeic"/>
    <w:uiPriority w:val="99"/>
    <w:rsid w:val="00403719"/>
    <w:rPr>
      <w:vertAlign w:val="superscript"/>
    </w:rPr>
  </w:style>
  <w:style w:type="paragraph" w:customStyle="1" w:styleId="17">
    <w:name w:val="標題1.加粗"/>
    <w:basedOn w:val="a"/>
    <w:link w:val="18"/>
    <w:rsid w:val="00D53829"/>
    <w:pPr>
      <w:spacing w:line="400" w:lineRule="exact"/>
      <w:ind w:firstLineChars="450" w:firstLine="1080"/>
      <w:jc w:val="both"/>
    </w:pPr>
    <w:rPr>
      <w:rFonts w:ascii="標楷體" w:eastAsia="標楷體" w:cs="新細明體"/>
      <w:b/>
      <w:bCs/>
      <w:sz w:val="28"/>
      <w:szCs w:val="28"/>
    </w:rPr>
  </w:style>
  <w:style w:type="character" w:customStyle="1" w:styleId="18">
    <w:name w:val="標題1.加粗 字元"/>
    <w:link w:val="17"/>
    <w:rsid w:val="00D53829"/>
    <w:rPr>
      <w:rFonts w:ascii="標楷體" w:eastAsia="標楷體" w:cs="新細明體"/>
      <w:b/>
      <w:bCs/>
      <w:kern w:val="2"/>
      <w:sz w:val="28"/>
      <w:szCs w:val="28"/>
      <w:lang w:val="en-US" w:eastAsia="zh-TW" w:bidi="ar-SA"/>
    </w:rPr>
  </w:style>
  <w:style w:type="character" w:styleId="afff7">
    <w:name w:val="annotation reference"/>
    <w:semiHidden/>
    <w:rsid w:val="002C696E"/>
    <w:rPr>
      <w:sz w:val="18"/>
    </w:rPr>
  </w:style>
  <w:style w:type="paragraph" w:customStyle="1" w:styleId="19">
    <w:name w:val="內文+1"/>
    <w:basedOn w:val="a"/>
    <w:next w:val="a"/>
    <w:rsid w:val="00154DED"/>
    <w:pPr>
      <w:autoSpaceDE w:val="0"/>
      <w:autoSpaceDN w:val="0"/>
      <w:adjustRightInd w:val="0"/>
    </w:pPr>
    <w:rPr>
      <w:kern w:val="0"/>
      <w:szCs w:val="24"/>
    </w:rPr>
  </w:style>
  <w:style w:type="character" w:customStyle="1" w:styleId="ac">
    <w:name w:val="本文縮排 字元"/>
    <w:link w:val="ab"/>
    <w:rsid w:val="007A4881"/>
    <w:rPr>
      <w:rFonts w:ascii="標楷體" w:eastAsia="標楷體"/>
      <w:kern w:val="2"/>
      <w:sz w:val="28"/>
      <w:lang w:val="en-US" w:eastAsia="zh-TW" w:bidi="ar-SA"/>
    </w:rPr>
  </w:style>
  <w:style w:type="character" w:customStyle="1" w:styleId="1a">
    <w:name w:val="乙篇主文 字元 字元 字元1"/>
    <w:link w:val="1b"/>
    <w:locked/>
    <w:rsid w:val="003E2C52"/>
    <w:rPr>
      <w:rFonts w:ascii="標楷體" w:eastAsia="標楷體"/>
      <w:kern w:val="2"/>
      <w:sz w:val="24"/>
      <w:szCs w:val="24"/>
      <w:lang w:val="en-US" w:eastAsia="zh-TW" w:bidi="ar-SA"/>
    </w:rPr>
  </w:style>
  <w:style w:type="paragraph" w:customStyle="1" w:styleId="1b">
    <w:name w:val="乙篇主文 字元 字元1"/>
    <w:basedOn w:val="a"/>
    <w:link w:val="1a"/>
    <w:rsid w:val="007A547D"/>
    <w:pPr>
      <w:spacing w:line="400" w:lineRule="exact"/>
      <w:ind w:firstLineChars="200" w:firstLine="200"/>
      <w:jc w:val="both"/>
    </w:pPr>
    <w:rPr>
      <w:rFonts w:ascii="標楷體" w:eastAsia="標楷體"/>
      <w:szCs w:val="24"/>
    </w:rPr>
  </w:style>
  <w:style w:type="paragraph" w:styleId="afff8">
    <w:name w:val="annotation subject"/>
    <w:basedOn w:val="aff6"/>
    <w:next w:val="aff6"/>
    <w:link w:val="afff9"/>
    <w:rsid w:val="005276FD"/>
    <w:rPr>
      <w:b/>
      <w:bCs/>
      <w:sz w:val="24"/>
    </w:rPr>
  </w:style>
  <w:style w:type="character" w:customStyle="1" w:styleId="aff7">
    <w:name w:val="註解文字 字元"/>
    <w:link w:val="aff6"/>
    <w:semiHidden/>
    <w:rsid w:val="005276FD"/>
    <w:rPr>
      <w:kern w:val="2"/>
    </w:rPr>
  </w:style>
  <w:style w:type="character" w:customStyle="1" w:styleId="afff9">
    <w:name w:val="註解主旨 字元"/>
    <w:link w:val="afff8"/>
    <w:rsid w:val="005276FD"/>
    <w:rPr>
      <w:b/>
      <w:bCs/>
      <w:kern w:val="2"/>
      <w:sz w:val="24"/>
    </w:rPr>
  </w:style>
  <w:style w:type="character" w:customStyle="1" w:styleId="11">
    <w:name w:val="標題 1 字元"/>
    <w:link w:val="10"/>
    <w:rsid w:val="00841FDA"/>
    <w:rPr>
      <w:rFonts w:ascii="Cambria" w:hAnsi="Cambria"/>
      <w:b/>
      <w:bCs/>
      <w:kern w:val="52"/>
      <w:sz w:val="52"/>
      <w:szCs w:val="52"/>
    </w:rPr>
  </w:style>
  <w:style w:type="paragraph" w:customStyle="1" w:styleId="1c">
    <w:name w:val="字元 字元 字元1"/>
    <w:basedOn w:val="a"/>
    <w:semiHidden/>
    <w:rsid w:val="00841FDA"/>
    <w:pPr>
      <w:widowControl/>
      <w:spacing w:after="160" w:line="240" w:lineRule="exact"/>
    </w:pPr>
    <w:rPr>
      <w:rFonts w:ascii="Verdana" w:eastAsia="Times New Roman" w:hAnsi="Verdana"/>
      <w:kern w:val="0"/>
      <w:sz w:val="20"/>
      <w:lang w:eastAsia="en-US"/>
    </w:rPr>
  </w:style>
  <w:style w:type="paragraph" w:styleId="afffa">
    <w:name w:val="List Paragraph"/>
    <w:basedOn w:val="a"/>
    <w:link w:val="afffb"/>
    <w:uiPriority w:val="34"/>
    <w:qFormat/>
    <w:rsid w:val="00841FDA"/>
    <w:pPr>
      <w:ind w:leftChars="200" w:left="480"/>
    </w:pPr>
  </w:style>
  <w:style w:type="paragraph" w:styleId="Web">
    <w:name w:val="Normal (Web)"/>
    <w:basedOn w:val="a"/>
    <w:uiPriority w:val="99"/>
    <w:unhideWhenUsed/>
    <w:qFormat/>
    <w:rsid w:val="00841FDA"/>
    <w:pPr>
      <w:widowControl/>
      <w:spacing w:before="100" w:beforeAutospacing="1" w:after="100" w:afterAutospacing="1"/>
    </w:pPr>
    <w:rPr>
      <w:rFonts w:ascii="新細明體" w:hAnsi="新細明體" w:cs="新細明體"/>
      <w:kern w:val="0"/>
      <w:szCs w:val="24"/>
    </w:rPr>
  </w:style>
  <w:style w:type="paragraph" w:customStyle="1" w:styleId="NNN">
    <w:name w:val="(一)文NNN"/>
    <w:basedOn w:val="a"/>
    <w:qFormat/>
    <w:rsid w:val="00FA1D86"/>
    <w:pPr>
      <w:snapToGrid w:val="0"/>
      <w:spacing w:line="560" w:lineRule="exact"/>
      <w:ind w:left="924" w:firstLine="685"/>
      <w:jc w:val="both"/>
    </w:pPr>
    <w:rPr>
      <w:rFonts w:eastAsia="標楷體"/>
      <w:sz w:val="32"/>
      <w:szCs w:val="32"/>
    </w:rPr>
  </w:style>
  <w:style w:type="character" w:customStyle="1" w:styleId="mainfont13">
    <w:name w:val="main_font13"/>
    <w:rsid w:val="005F1626"/>
  </w:style>
  <w:style w:type="paragraph" w:customStyle="1" w:styleId="afffc">
    <w:name w:val="一內凹"/>
    <w:basedOn w:val="af7"/>
    <w:link w:val="afffd"/>
    <w:qFormat/>
    <w:rsid w:val="007D62A8"/>
    <w:pPr>
      <w:overflowPunct w:val="0"/>
      <w:spacing w:beforeLines="0" w:afterLines="0" w:line="420" w:lineRule="exact"/>
      <w:ind w:leftChars="0" w:left="0" w:firstLineChars="200" w:firstLine="480"/>
    </w:pPr>
    <w:rPr>
      <w:rFonts w:ascii="標楷體" w:hAnsi="標楷體" w:cs="新細明體"/>
      <w:sz w:val="24"/>
    </w:rPr>
  </w:style>
  <w:style w:type="character" w:customStyle="1" w:styleId="afffd">
    <w:name w:val="一內凹 字元"/>
    <w:link w:val="afffc"/>
    <w:rsid w:val="007D62A8"/>
    <w:rPr>
      <w:rFonts w:ascii="標楷體" w:eastAsia="標楷體" w:hAnsi="標楷體" w:cs="新細明體"/>
      <w:bCs/>
      <w:kern w:val="2"/>
      <w:sz w:val="24"/>
      <w:szCs w:val="32"/>
    </w:rPr>
  </w:style>
  <w:style w:type="paragraph" w:customStyle="1" w:styleId="afffe">
    <w:name w:val="一二三"/>
    <w:basedOn w:val="a"/>
    <w:rsid w:val="00D50A57"/>
    <w:pPr>
      <w:widowControl/>
      <w:spacing w:after="120" w:line="360" w:lineRule="auto"/>
    </w:pPr>
    <w:rPr>
      <w:rFonts w:ascii="標楷體" w:eastAsia="標楷體" w:hAnsi="新細明體" w:cs="新細明體"/>
      <w:spacing w:val="-20"/>
      <w:kern w:val="0"/>
      <w:sz w:val="32"/>
    </w:rPr>
  </w:style>
  <w:style w:type="character" w:styleId="affff">
    <w:name w:val="Strong"/>
    <w:uiPriority w:val="22"/>
    <w:qFormat/>
    <w:rsid w:val="00C41097"/>
    <w:rPr>
      <w:b/>
      <w:bCs/>
    </w:rPr>
  </w:style>
  <w:style w:type="character" w:styleId="affff0">
    <w:name w:val="Emphasis"/>
    <w:uiPriority w:val="20"/>
    <w:qFormat/>
    <w:rsid w:val="007E2324"/>
    <w:rPr>
      <w:i/>
      <w:iCs/>
    </w:rPr>
  </w:style>
  <w:style w:type="paragraph" w:customStyle="1" w:styleId="affff1">
    <w:name w:val="表格內容"/>
    <w:basedOn w:val="a"/>
    <w:link w:val="affff2"/>
    <w:qFormat/>
    <w:rsid w:val="009467EA"/>
    <w:pPr>
      <w:widowControl/>
      <w:spacing w:line="240" w:lineRule="exact"/>
      <w:jc w:val="center"/>
      <w:textAlignment w:val="center"/>
    </w:pPr>
    <w:rPr>
      <w:rFonts w:ascii="標楷體" w:eastAsia="標楷體" w:hAnsi="標楷體"/>
      <w:bCs/>
      <w:sz w:val="20"/>
    </w:rPr>
  </w:style>
  <w:style w:type="character" w:customStyle="1" w:styleId="affff2">
    <w:name w:val="表格內容 字元"/>
    <w:link w:val="affff1"/>
    <w:rsid w:val="009467EA"/>
    <w:rPr>
      <w:rFonts w:ascii="標楷體" w:eastAsia="標楷體" w:hAnsi="標楷體"/>
      <w:bCs/>
      <w:kern w:val="2"/>
    </w:rPr>
  </w:style>
  <w:style w:type="paragraph" w:customStyle="1" w:styleId="2-0">
    <w:name w:val="樣式2-（一）"/>
    <w:basedOn w:val="a"/>
    <w:link w:val="2-1"/>
    <w:qFormat/>
    <w:rsid w:val="002A5215"/>
    <w:pPr>
      <w:spacing w:line="600" w:lineRule="exact"/>
      <w:ind w:left="955" w:hangingChars="298" w:hanging="955"/>
      <w:jc w:val="both"/>
    </w:pPr>
    <w:rPr>
      <w:rFonts w:ascii="標楷體" w:eastAsia="標楷體" w:hAnsi="標楷體"/>
      <w:b/>
      <w:sz w:val="32"/>
      <w:szCs w:val="32"/>
    </w:rPr>
  </w:style>
  <w:style w:type="character" w:customStyle="1" w:styleId="2-1">
    <w:name w:val="樣式2-（一） 字元"/>
    <w:link w:val="2-0"/>
    <w:rsid w:val="002A5215"/>
    <w:rPr>
      <w:rFonts w:ascii="標楷體" w:eastAsia="標楷體" w:hAnsi="標楷體"/>
      <w:b/>
      <w:kern w:val="2"/>
      <w:sz w:val="32"/>
      <w:szCs w:val="32"/>
    </w:rPr>
  </w:style>
  <w:style w:type="character" w:customStyle="1" w:styleId="afe">
    <w:name w:val="標題壹、 字元"/>
    <w:link w:val="afd"/>
    <w:rsid w:val="00B46D05"/>
    <w:rPr>
      <w:rFonts w:eastAsia="標楷體" w:cs="新細明體"/>
      <w:b/>
      <w:bCs/>
      <w:kern w:val="2"/>
      <w:sz w:val="36"/>
      <w:szCs w:val="36"/>
    </w:rPr>
  </w:style>
  <w:style w:type="character" w:customStyle="1" w:styleId="a9">
    <w:name w:val="頁尾 字元"/>
    <w:link w:val="a8"/>
    <w:uiPriority w:val="99"/>
    <w:rsid w:val="007C0D39"/>
    <w:rPr>
      <w:kern w:val="2"/>
    </w:rPr>
  </w:style>
  <w:style w:type="paragraph" w:customStyle="1" w:styleId="affff3">
    <w:name w:val="表目錄"/>
    <w:basedOn w:val="a"/>
    <w:link w:val="affff4"/>
    <w:qFormat/>
    <w:rsid w:val="00736790"/>
    <w:pPr>
      <w:overflowPunct w:val="0"/>
      <w:adjustRightInd w:val="0"/>
      <w:snapToGrid w:val="0"/>
      <w:spacing w:line="280" w:lineRule="exact"/>
      <w:jc w:val="center"/>
    </w:pPr>
    <w:rPr>
      <w:rFonts w:ascii="標楷體" w:eastAsia="標楷體" w:hAnsi="標楷體"/>
      <w:b/>
      <w:bCs/>
    </w:rPr>
  </w:style>
  <w:style w:type="character" w:customStyle="1" w:styleId="affff4">
    <w:name w:val="表目錄 字元"/>
    <w:link w:val="affff3"/>
    <w:rsid w:val="00736790"/>
    <w:rPr>
      <w:rFonts w:ascii="標楷體" w:eastAsia="標楷體" w:hAnsi="標楷體"/>
      <w:b/>
      <w:bCs/>
      <w:kern w:val="2"/>
      <w:sz w:val="24"/>
    </w:rPr>
  </w:style>
  <w:style w:type="paragraph" w:styleId="HTML">
    <w:name w:val="HTML Preformatted"/>
    <w:basedOn w:val="a"/>
    <w:link w:val="HTML0"/>
    <w:uiPriority w:val="99"/>
    <w:unhideWhenUsed/>
    <w:rsid w:val="00427B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link w:val="HTML"/>
    <w:uiPriority w:val="99"/>
    <w:rsid w:val="00427BB8"/>
    <w:rPr>
      <w:rFonts w:ascii="細明體" w:eastAsia="細明體" w:hAnsi="細明體" w:cs="細明體"/>
      <w:sz w:val="24"/>
      <w:szCs w:val="24"/>
    </w:rPr>
  </w:style>
  <w:style w:type="paragraph" w:customStyle="1" w:styleId="affff5">
    <w:name w:val="表說明"/>
    <w:basedOn w:val="a"/>
    <w:link w:val="affff6"/>
    <w:qFormat/>
    <w:rsid w:val="00427BB8"/>
    <w:pPr>
      <w:widowControl/>
      <w:spacing w:beforeLines="30" w:before="108" w:line="520" w:lineRule="exact"/>
      <w:ind w:leftChars="435" w:left="1044" w:firstLineChars="200" w:firstLine="560"/>
      <w:jc w:val="both"/>
      <w:textAlignment w:val="center"/>
    </w:pPr>
    <w:rPr>
      <w:rFonts w:ascii="標楷體" w:eastAsia="標楷體" w:hAnsi="標楷體"/>
      <w:b/>
      <w:sz w:val="26"/>
      <w:szCs w:val="28"/>
    </w:rPr>
  </w:style>
  <w:style w:type="character" w:customStyle="1" w:styleId="affff6">
    <w:name w:val="表說明 字元"/>
    <w:link w:val="affff5"/>
    <w:rsid w:val="00427BB8"/>
    <w:rPr>
      <w:rFonts w:ascii="標楷體" w:eastAsia="標楷體" w:hAnsi="標楷體"/>
      <w:b/>
      <w:kern w:val="2"/>
      <w:sz w:val="26"/>
      <w:szCs w:val="28"/>
    </w:rPr>
  </w:style>
  <w:style w:type="paragraph" w:customStyle="1" w:styleId="affff7">
    <w:name w:val="表註腳"/>
    <w:basedOn w:val="a"/>
    <w:link w:val="affff8"/>
    <w:qFormat/>
    <w:rsid w:val="003E15CD"/>
    <w:pPr>
      <w:widowControl/>
      <w:spacing w:before="60" w:line="240" w:lineRule="exact"/>
      <w:ind w:left="573" w:hanging="573"/>
      <w:jc w:val="both"/>
      <w:textAlignment w:val="center"/>
    </w:pPr>
    <w:rPr>
      <w:rFonts w:ascii="標楷體" w:eastAsia="標楷體" w:hAnsi="標楷體"/>
      <w:sz w:val="20"/>
    </w:rPr>
  </w:style>
  <w:style w:type="character" w:customStyle="1" w:styleId="affff8">
    <w:name w:val="表註腳 字元"/>
    <w:link w:val="affff7"/>
    <w:rsid w:val="003E15CD"/>
    <w:rPr>
      <w:rFonts w:ascii="標楷體" w:eastAsia="標楷體" w:hAnsi="標楷體"/>
      <w:kern w:val="2"/>
    </w:rPr>
  </w:style>
  <w:style w:type="paragraph" w:styleId="affff9">
    <w:name w:val="Title"/>
    <w:basedOn w:val="a"/>
    <w:next w:val="a"/>
    <w:link w:val="affffa"/>
    <w:qFormat/>
    <w:rsid w:val="00AF5E84"/>
    <w:pPr>
      <w:spacing w:before="240" w:after="60"/>
      <w:jc w:val="center"/>
      <w:outlineLvl w:val="0"/>
    </w:pPr>
    <w:rPr>
      <w:rFonts w:ascii="Cambria" w:hAnsi="Cambria"/>
      <w:b/>
      <w:bCs/>
      <w:sz w:val="32"/>
      <w:szCs w:val="32"/>
    </w:rPr>
  </w:style>
  <w:style w:type="character" w:customStyle="1" w:styleId="affffa">
    <w:name w:val="標題 字元"/>
    <w:basedOn w:val="a0"/>
    <w:link w:val="affff9"/>
    <w:rsid w:val="00AF5E84"/>
    <w:rPr>
      <w:rFonts w:ascii="Cambria" w:hAnsi="Cambria"/>
      <w:b/>
      <w:bCs/>
      <w:kern w:val="2"/>
      <w:sz w:val="32"/>
      <w:szCs w:val="32"/>
    </w:rPr>
  </w:style>
  <w:style w:type="paragraph" w:styleId="affffb">
    <w:name w:val="No Spacing"/>
    <w:uiPriority w:val="1"/>
    <w:qFormat/>
    <w:rsid w:val="000B5D05"/>
    <w:pPr>
      <w:widowControl w:val="0"/>
    </w:pPr>
    <w:rPr>
      <w:rFonts w:asciiTheme="minorHAnsi" w:eastAsiaTheme="minorEastAsia" w:hAnsiTheme="minorHAnsi" w:cstheme="minorBidi"/>
      <w:kern w:val="2"/>
      <w:sz w:val="24"/>
      <w:szCs w:val="22"/>
    </w:rPr>
  </w:style>
  <w:style w:type="paragraph" w:customStyle="1" w:styleId="1N">
    <w:name w:val="1N"/>
    <w:basedOn w:val="a"/>
    <w:qFormat/>
    <w:rsid w:val="00F9390D"/>
    <w:pPr>
      <w:snapToGrid w:val="0"/>
      <w:spacing w:line="560" w:lineRule="exact"/>
      <w:ind w:leftChars="264" w:left="1101" w:hangingChars="80" w:hanging="256"/>
      <w:jc w:val="both"/>
    </w:pPr>
    <w:rPr>
      <w:rFonts w:eastAsia="標楷體"/>
      <w:kern w:val="0"/>
      <w:sz w:val="32"/>
      <w:szCs w:val="30"/>
      <w:lang w:val="en-CA"/>
    </w:rPr>
  </w:style>
  <w:style w:type="paragraph" w:styleId="affffc">
    <w:name w:val="Salutation"/>
    <w:basedOn w:val="a"/>
    <w:next w:val="a"/>
    <w:link w:val="affffd"/>
    <w:rsid w:val="00312129"/>
    <w:rPr>
      <w:rFonts w:ascii="標楷體" w:eastAsia="標楷體" w:hAnsi="標楷體"/>
      <w:b/>
      <w:szCs w:val="24"/>
    </w:rPr>
  </w:style>
  <w:style w:type="character" w:customStyle="1" w:styleId="affffd">
    <w:name w:val="問候 字元"/>
    <w:basedOn w:val="a0"/>
    <w:link w:val="affffc"/>
    <w:rsid w:val="00312129"/>
    <w:rPr>
      <w:rFonts w:ascii="標楷體" w:eastAsia="標楷體" w:hAnsi="標楷體"/>
      <w:b/>
      <w:kern w:val="2"/>
      <w:sz w:val="24"/>
      <w:szCs w:val="24"/>
    </w:rPr>
  </w:style>
  <w:style w:type="paragraph" w:styleId="affffe">
    <w:name w:val="Closing"/>
    <w:basedOn w:val="a"/>
    <w:link w:val="afffff"/>
    <w:unhideWhenUsed/>
    <w:rsid w:val="00312129"/>
    <w:pPr>
      <w:ind w:leftChars="1800" w:left="100"/>
    </w:pPr>
    <w:rPr>
      <w:rFonts w:ascii="標楷體" w:eastAsia="標楷體" w:hAnsi="標楷體"/>
      <w:b/>
      <w:szCs w:val="24"/>
    </w:rPr>
  </w:style>
  <w:style w:type="character" w:customStyle="1" w:styleId="afffff">
    <w:name w:val="結語 字元"/>
    <w:basedOn w:val="a0"/>
    <w:link w:val="affffe"/>
    <w:rsid w:val="00312129"/>
    <w:rPr>
      <w:rFonts w:ascii="標楷體" w:eastAsia="標楷體" w:hAnsi="標楷體"/>
      <w:b/>
      <w:kern w:val="2"/>
      <w:sz w:val="24"/>
      <w:szCs w:val="24"/>
    </w:rPr>
  </w:style>
  <w:style w:type="character" w:customStyle="1" w:styleId="mailheadertext1">
    <w:name w:val="mailheadertext1"/>
    <w:basedOn w:val="a0"/>
    <w:rsid w:val="000A582D"/>
    <w:rPr>
      <w:i w:val="0"/>
      <w:iCs w:val="0"/>
      <w:color w:val="353531"/>
    </w:rPr>
  </w:style>
  <w:style w:type="paragraph" w:customStyle="1" w:styleId="afffff0">
    <w:name w:val="表樣式"/>
    <w:basedOn w:val="a"/>
    <w:qFormat/>
    <w:rsid w:val="00EF1322"/>
    <w:pPr>
      <w:framePr w:hSpace="180" w:wrap="around" w:vAnchor="text" w:hAnchor="margin" w:xAlign="right" w:y="4844"/>
      <w:adjustRightInd w:val="0"/>
      <w:snapToGrid w:val="0"/>
      <w:jc w:val="center"/>
    </w:pPr>
    <w:rPr>
      <w:rFonts w:ascii="標楷體" w:eastAsia="標楷體" w:hAnsi="標楷體"/>
      <w:b/>
      <w:szCs w:val="22"/>
    </w:rPr>
  </w:style>
  <w:style w:type="character" w:customStyle="1" w:styleId="20">
    <w:name w:val="標題 2 字元"/>
    <w:aliases w:val="標題１． 字元"/>
    <w:basedOn w:val="a0"/>
    <w:link w:val="2"/>
    <w:rsid w:val="00C4097F"/>
    <w:rPr>
      <w:rFonts w:ascii="標楷體" w:eastAsia="標楷體" w:hAnsi="Arial"/>
      <w:bCs/>
      <w:sz w:val="32"/>
      <w:szCs w:val="48"/>
    </w:rPr>
  </w:style>
  <w:style w:type="character" w:customStyle="1" w:styleId="30">
    <w:name w:val="標題 3 字元"/>
    <w:basedOn w:val="a0"/>
    <w:link w:val="3"/>
    <w:uiPriority w:val="9"/>
    <w:rsid w:val="00C4097F"/>
    <w:rPr>
      <w:rFonts w:ascii="標楷體" w:eastAsia="標楷體" w:hAnsi="Arial"/>
      <w:bCs/>
      <w:sz w:val="32"/>
      <w:szCs w:val="36"/>
    </w:rPr>
  </w:style>
  <w:style w:type="character" w:customStyle="1" w:styleId="50">
    <w:name w:val="標題 5 字元"/>
    <w:basedOn w:val="a0"/>
    <w:link w:val="5"/>
    <w:rsid w:val="00C4097F"/>
    <w:rPr>
      <w:rFonts w:ascii="標楷體" w:eastAsia="標楷體" w:hAnsi="Arial"/>
      <w:bCs/>
      <w:kern w:val="2"/>
      <w:sz w:val="32"/>
      <w:szCs w:val="36"/>
    </w:rPr>
  </w:style>
  <w:style w:type="character" w:customStyle="1" w:styleId="60">
    <w:name w:val="標題 6 字元"/>
    <w:basedOn w:val="a0"/>
    <w:link w:val="6"/>
    <w:rsid w:val="00C4097F"/>
    <w:rPr>
      <w:rFonts w:ascii="標楷體" w:eastAsia="標楷體" w:hAnsi="Arial"/>
      <w:kern w:val="2"/>
      <w:sz w:val="32"/>
      <w:szCs w:val="36"/>
    </w:rPr>
  </w:style>
  <w:style w:type="character" w:customStyle="1" w:styleId="70">
    <w:name w:val="標題 7 字元"/>
    <w:basedOn w:val="a0"/>
    <w:link w:val="7"/>
    <w:rsid w:val="00C4097F"/>
    <w:rPr>
      <w:rFonts w:ascii="標楷體" w:eastAsia="標楷體" w:hAnsi="Arial"/>
      <w:bCs/>
      <w:kern w:val="2"/>
      <w:sz w:val="32"/>
      <w:szCs w:val="36"/>
    </w:rPr>
  </w:style>
  <w:style w:type="character" w:customStyle="1" w:styleId="80">
    <w:name w:val="標題 8 字元"/>
    <w:basedOn w:val="a0"/>
    <w:link w:val="8"/>
    <w:rsid w:val="00C4097F"/>
    <w:rPr>
      <w:rFonts w:ascii="標楷體" w:eastAsia="標楷體" w:hAnsi="Arial"/>
      <w:kern w:val="2"/>
      <w:sz w:val="32"/>
      <w:szCs w:val="36"/>
    </w:rPr>
  </w:style>
  <w:style w:type="character" w:customStyle="1" w:styleId="40">
    <w:name w:val="標題 4 字元"/>
    <w:aliases w:val="1.標題 4 字元"/>
    <w:link w:val="4"/>
    <w:locked/>
    <w:rsid w:val="00C4097F"/>
    <w:rPr>
      <w:rFonts w:ascii="標楷體" w:eastAsia="標楷體" w:hAnsi="Arial"/>
      <w:b/>
      <w:kern w:val="2"/>
      <w:sz w:val="28"/>
      <w:szCs w:val="36"/>
    </w:rPr>
  </w:style>
  <w:style w:type="character" w:customStyle="1" w:styleId="style11">
    <w:name w:val="style11"/>
    <w:rsid w:val="00C4097F"/>
    <w:rPr>
      <w:rFonts w:ascii="標楷體" w:eastAsia="標楷體" w:hAnsi="標楷體" w:cs="Times New Roman"/>
    </w:rPr>
  </w:style>
  <w:style w:type="paragraph" w:customStyle="1" w:styleId="CharCharCharCharCharChar">
    <w:name w:val="字元 字元 Char Char 字元 字元 Char Char 字元 字元 Char Char"/>
    <w:basedOn w:val="a"/>
    <w:rsid w:val="00C4097F"/>
    <w:pPr>
      <w:widowControl/>
      <w:spacing w:after="160" w:line="240" w:lineRule="exact"/>
    </w:pPr>
    <w:rPr>
      <w:rFonts w:ascii="Tahoma" w:hAnsi="Tahoma"/>
      <w:kern w:val="0"/>
      <w:sz w:val="20"/>
      <w:lang w:eastAsia="en-US"/>
    </w:rPr>
  </w:style>
  <w:style w:type="character" w:customStyle="1" w:styleId="ae">
    <w:name w:val="頁首 字元"/>
    <w:aliases w:val="頁首 字元 字元 字元"/>
    <w:basedOn w:val="a0"/>
    <w:link w:val="ad"/>
    <w:uiPriority w:val="99"/>
    <w:locked/>
    <w:rsid w:val="00C4097F"/>
    <w:rPr>
      <w:kern w:val="2"/>
    </w:rPr>
  </w:style>
  <w:style w:type="character" w:customStyle="1" w:styleId="a6">
    <w:name w:val="本文 字元"/>
    <w:link w:val="a5"/>
    <w:locked/>
    <w:rsid w:val="00C4097F"/>
    <w:rPr>
      <w:rFonts w:ascii="標楷體" w:eastAsia="標楷體"/>
      <w:kern w:val="2"/>
      <w:sz w:val="24"/>
    </w:rPr>
  </w:style>
  <w:style w:type="character" w:customStyle="1" w:styleId="PlainTextChar">
    <w:name w:val="Plain Text Char"/>
    <w:aliases w:val="內文壹 Char,一般文字 字元 Char,一般文字 字元 字元 Char,一般文字 字元 字元 字元 字元 字元 字元 字元 字元 字元 字元 字元 字元 字元 字元 字元 字元 字元 字元 字元 字元 字元 字元 字元 Char,一般文字 字元 字元 字元 字元 字元 字元 字元 字元 字元 字元 字元 字元 字元 字元 Char"/>
    <w:uiPriority w:val="99"/>
    <w:semiHidden/>
    <w:rsid w:val="00C4097F"/>
    <w:rPr>
      <w:rFonts w:ascii="細明體" w:eastAsia="細明體" w:hAnsi="Courier New" w:cs="Courier New"/>
      <w:kern w:val="0"/>
      <w:szCs w:val="24"/>
    </w:rPr>
  </w:style>
  <w:style w:type="character" w:customStyle="1" w:styleId="22">
    <w:name w:val="本文 2 字元"/>
    <w:link w:val="21"/>
    <w:locked/>
    <w:rsid w:val="00C4097F"/>
    <w:rPr>
      <w:rFonts w:ascii="標楷體" w:eastAsia="標楷體"/>
      <w:kern w:val="2"/>
      <w:sz w:val="24"/>
    </w:rPr>
  </w:style>
  <w:style w:type="character" w:customStyle="1" w:styleId="32">
    <w:name w:val="本文 3 字元"/>
    <w:link w:val="31"/>
    <w:locked/>
    <w:rsid w:val="00C4097F"/>
    <w:rPr>
      <w:rFonts w:ascii="標楷體" w:eastAsia="標楷體"/>
      <w:kern w:val="2"/>
      <w:sz w:val="28"/>
    </w:rPr>
  </w:style>
  <w:style w:type="paragraph" w:customStyle="1" w:styleId="xl85">
    <w:name w:val="xl85"/>
    <w:basedOn w:val="a"/>
    <w:rsid w:val="00C4097F"/>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hAnsi="Arial Unicode MS" w:cs="Arial Unicode MS"/>
      <w:kern w:val="0"/>
      <w:szCs w:val="24"/>
    </w:rPr>
  </w:style>
  <w:style w:type="paragraph" w:customStyle="1" w:styleId="xl83">
    <w:name w:val="xl83"/>
    <w:basedOn w:val="a"/>
    <w:rsid w:val="00C4097F"/>
    <w:pPr>
      <w:widowControl/>
      <w:pBdr>
        <w:bottom w:val="single" w:sz="4" w:space="0" w:color="auto"/>
      </w:pBdr>
      <w:spacing w:before="100" w:beforeAutospacing="1" w:after="100" w:afterAutospacing="1"/>
      <w:jc w:val="right"/>
    </w:pPr>
    <w:rPr>
      <w:rFonts w:ascii="新細明體" w:hAnsi="新細明體" w:cs="Arial Unicode MS"/>
      <w:kern w:val="0"/>
      <w:sz w:val="22"/>
      <w:szCs w:val="22"/>
    </w:rPr>
  </w:style>
  <w:style w:type="character" w:customStyle="1" w:styleId="1-21">
    <w:name w:val="表格欄1-2 字元"/>
    <w:locked/>
    <w:rsid w:val="00C4097F"/>
    <w:rPr>
      <w:rFonts w:eastAsia="標楷體" w:cs="新細明體"/>
      <w:b/>
      <w:kern w:val="2"/>
      <w:sz w:val="18"/>
      <w:szCs w:val="18"/>
      <w:lang w:val="en-US" w:eastAsia="zh-TW" w:bidi="ar-SA"/>
    </w:rPr>
  </w:style>
  <w:style w:type="character" w:customStyle="1" w:styleId="1-11">
    <w:name w:val="表格欄1-1主管 字元"/>
    <w:locked/>
    <w:rsid w:val="00C4097F"/>
    <w:rPr>
      <w:rFonts w:eastAsia="標楷體" w:cs="新細明體"/>
      <w:b/>
      <w:kern w:val="2"/>
      <w:lang w:val="en-US" w:eastAsia="zh-TW" w:bidi="ar-SA"/>
    </w:rPr>
  </w:style>
  <w:style w:type="character" w:customStyle="1" w:styleId="1-320">
    <w:name w:val="表格欄1-3退2 字元"/>
    <w:locked/>
    <w:rsid w:val="00C4097F"/>
    <w:rPr>
      <w:rFonts w:eastAsia="標楷體" w:cs="新細明體"/>
      <w:kern w:val="2"/>
      <w:sz w:val="18"/>
      <w:szCs w:val="18"/>
      <w:lang w:val="en-US" w:eastAsia="zh-TW" w:bidi="ar-SA"/>
    </w:rPr>
  </w:style>
  <w:style w:type="paragraph" w:customStyle="1" w:styleId="afffff1">
    <w:name w:val="單元 字元"/>
    <w:basedOn w:val="a"/>
    <w:rsid w:val="00C4097F"/>
    <w:pPr>
      <w:snapToGrid w:val="0"/>
      <w:ind w:rightChars="100" w:right="100"/>
      <w:jc w:val="right"/>
    </w:pPr>
    <w:rPr>
      <w:rFonts w:ascii="標楷體" w:eastAsia="標楷體" w:hAnsi="Arial Narrow"/>
      <w:w w:val="95"/>
      <w:sz w:val="20"/>
    </w:rPr>
  </w:style>
  <w:style w:type="character" w:customStyle="1" w:styleId="afffff2">
    <w:name w:val="單元 字元 字元"/>
    <w:locked/>
    <w:rsid w:val="00C4097F"/>
    <w:rPr>
      <w:rFonts w:ascii="標楷體" w:eastAsia="標楷體" w:hAnsi="Arial Narrow" w:cs="Times New Roman"/>
      <w:w w:val="95"/>
      <w:kern w:val="2"/>
      <w:lang w:val="en-US" w:eastAsia="zh-TW" w:bidi="ar-SA"/>
    </w:rPr>
  </w:style>
  <w:style w:type="paragraph" w:customStyle="1" w:styleId="41">
    <w:name w:val="欄4（原因分析）"/>
    <w:basedOn w:val="a"/>
    <w:rsid w:val="00C4097F"/>
    <w:pPr>
      <w:jc w:val="both"/>
    </w:pPr>
    <w:rPr>
      <w:rFonts w:ascii="標楷體" w:eastAsia="標楷體" w:cs="新細明體"/>
      <w:w w:val="90"/>
      <w:sz w:val="18"/>
      <w:szCs w:val="18"/>
    </w:rPr>
  </w:style>
  <w:style w:type="paragraph" w:customStyle="1" w:styleId="afffff3">
    <w:name w:val="甲篇內文"/>
    <w:basedOn w:val="aff5"/>
    <w:rsid w:val="00C4097F"/>
    <w:pPr>
      <w:spacing w:line="460" w:lineRule="exact"/>
    </w:pPr>
    <w:rPr>
      <w:sz w:val="28"/>
      <w:szCs w:val="28"/>
    </w:rPr>
  </w:style>
  <w:style w:type="character" w:customStyle="1" w:styleId="afffff4">
    <w:name w:val="甲篇內文 字元"/>
    <w:locked/>
    <w:rsid w:val="00C4097F"/>
    <w:rPr>
      <w:rFonts w:ascii="標楷體" w:eastAsia="標楷體" w:cs="Times New Roman"/>
      <w:kern w:val="2"/>
      <w:sz w:val="28"/>
      <w:szCs w:val="28"/>
      <w:lang w:val="en-US" w:eastAsia="zh-TW" w:bidi="ar-SA"/>
    </w:rPr>
  </w:style>
  <w:style w:type="paragraph" w:customStyle="1" w:styleId="1d">
    <w:name w:val="表說1."/>
    <w:basedOn w:val="a"/>
    <w:rsid w:val="00C4097F"/>
    <w:pPr>
      <w:spacing w:line="400" w:lineRule="exact"/>
      <w:jc w:val="both"/>
    </w:pPr>
    <w:rPr>
      <w:rFonts w:ascii="標楷體" w:eastAsia="標楷體" w:cs="新細明體"/>
      <w:szCs w:val="24"/>
    </w:rPr>
  </w:style>
  <w:style w:type="paragraph" w:customStyle="1" w:styleId="afffff5">
    <w:name w:val="小計"/>
    <w:basedOn w:val="1-20"/>
    <w:rsid w:val="00C4097F"/>
    <w:pPr>
      <w:ind w:leftChars="250" w:left="250" w:rightChars="100" w:right="100" w:firstLineChars="0" w:firstLine="0"/>
    </w:pPr>
    <w:rPr>
      <w:sz w:val="18"/>
    </w:rPr>
  </w:style>
  <w:style w:type="paragraph" w:customStyle="1" w:styleId="220">
    <w:name w:val="二、2行宋體退2"/>
    <w:basedOn w:val="a"/>
    <w:rsid w:val="00C4097F"/>
    <w:pPr>
      <w:ind w:leftChars="150" w:left="360" w:rightChars="10" w:right="10"/>
      <w:jc w:val="both"/>
    </w:pPr>
    <w:rPr>
      <w:rFonts w:eastAsia="標楷體" w:cs="新細明體"/>
      <w:spacing w:val="-8"/>
      <w:sz w:val="18"/>
      <w:szCs w:val="18"/>
    </w:rPr>
  </w:style>
  <w:style w:type="character" w:customStyle="1" w:styleId="221">
    <w:name w:val="二、2行宋體退2 字元"/>
    <w:locked/>
    <w:rsid w:val="00C4097F"/>
    <w:rPr>
      <w:rFonts w:eastAsia="標楷體" w:cs="新細明體"/>
      <w:spacing w:val="-8"/>
      <w:kern w:val="2"/>
      <w:sz w:val="18"/>
      <w:szCs w:val="18"/>
      <w:lang w:val="en-US" w:eastAsia="zh-TW" w:bidi="ar-SA"/>
    </w:rPr>
  </w:style>
  <w:style w:type="paragraph" w:customStyle="1" w:styleId="1e">
    <w:name w:val="標題(1)"/>
    <w:basedOn w:val="13"/>
    <w:rsid w:val="00C4097F"/>
    <w:pPr>
      <w:ind w:firstLineChars="550" w:firstLine="550"/>
    </w:pPr>
  </w:style>
  <w:style w:type="paragraph" w:customStyle="1" w:styleId="123">
    <w:name w:val="內文123"/>
    <w:rsid w:val="00C4097F"/>
    <w:pPr>
      <w:overflowPunct w:val="0"/>
      <w:spacing w:line="400" w:lineRule="exact"/>
      <w:ind w:firstLineChars="450" w:firstLine="450"/>
      <w:jc w:val="both"/>
    </w:pPr>
    <w:rPr>
      <w:rFonts w:ascii="標楷體" w:eastAsia="標楷體"/>
      <w:kern w:val="2"/>
      <w:sz w:val="24"/>
    </w:rPr>
  </w:style>
  <w:style w:type="paragraph" w:customStyle="1" w:styleId="210">
    <w:name w:val="二、2行黑體退1"/>
    <w:basedOn w:val="a"/>
    <w:rsid w:val="00C4097F"/>
    <w:pPr>
      <w:ind w:leftChars="80" w:left="192"/>
      <w:jc w:val="both"/>
    </w:pPr>
    <w:rPr>
      <w:rFonts w:eastAsia="標楷體" w:cs="新細明體"/>
      <w:b/>
      <w:spacing w:val="-4"/>
      <w:sz w:val="20"/>
    </w:rPr>
  </w:style>
  <w:style w:type="character" w:customStyle="1" w:styleId="afc">
    <w:name w:val="註解方塊文字 字元"/>
    <w:link w:val="afb"/>
    <w:uiPriority w:val="99"/>
    <w:locked/>
    <w:rsid w:val="00C4097F"/>
    <w:rPr>
      <w:rFonts w:ascii="Arial" w:hAnsi="Arial"/>
      <w:kern w:val="2"/>
      <w:sz w:val="18"/>
      <w:szCs w:val="18"/>
    </w:rPr>
  </w:style>
  <w:style w:type="character" w:customStyle="1" w:styleId="afffff6">
    <w:name w:val="本文 字元 字元 字元"/>
    <w:rsid w:val="00C4097F"/>
    <w:rPr>
      <w:rFonts w:ascii="標楷體" w:eastAsia="標楷體" w:cs="Times New Roman"/>
      <w:kern w:val="2"/>
      <w:sz w:val="32"/>
      <w:lang w:val="en-US" w:eastAsia="zh-TW" w:bidi="ar-SA"/>
    </w:rPr>
  </w:style>
  <w:style w:type="character" w:customStyle="1" w:styleId="af5">
    <w:name w:val="日期 字元"/>
    <w:link w:val="af4"/>
    <w:locked/>
    <w:rsid w:val="00C4097F"/>
    <w:rPr>
      <w:rFonts w:ascii="標楷體" w:eastAsia="標楷體"/>
      <w:kern w:val="2"/>
      <w:sz w:val="32"/>
    </w:rPr>
  </w:style>
  <w:style w:type="paragraph" w:customStyle="1" w:styleId="1f">
    <w:name w:val="段落樣式1"/>
    <w:basedOn w:val="a"/>
    <w:rsid w:val="00C4097F"/>
    <w:pPr>
      <w:kinsoku w:val="0"/>
      <w:wordWrap w:val="0"/>
      <w:autoSpaceDE w:val="0"/>
      <w:autoSpaceDN w:val="0"/>
      <w:ind w:leftChars="200" w:left="200" w:firstLineChars="200" w:firstLine="200"/>
      <w:jc w:val="both"/>
    </w:pPr>
    <w:rPr>
      <w:rFonts w:ascii="標楷體" w:eastAsia="標楷體"/>
      <w:kern w:val="0"/>
      <w:sz w:val="32"/>
    </w:rPr>
  </w:style>
  <w:style w:type="paragraph" w:customStyle="1" w:styleId="26">
    <w:name w:val="內文2"/>
    <w:basedOn w:val="a"/>
    <w:link w:val="27"/>
    <w:qFormat/>
    <w:rsid w:val="00C4097F"/>
    <w:pPr>
      <w:adjustRightInd w:val="0"/>
      <w:snapToGrid w:val="0"/>
      <w:spacing w:line="520" w:lineRule="exact"/>
      <w:ind w:leftChars="200" w:left="960" w:hangingChars="100" w:hanging="320"/>
      <w:jc w:val="both"/>
    </w:pPr>
    <w:rPr>
      <w:rFonts w:ascii="標楷體" w:eastAsia="標楷體" w:hAnsi="標楷體"/>
      <w:sz w:val="32"/>
      <w:lang w:val="x-none" w:eastAsia="x-none"/>
    </w:rPr>
  </w:style>
  <w:style w:type="character" w:customStyle="1" w:styleId="27">
    <w:name w:val="內文2 字元"/>
    <w:link w:val="26"/>
    <w:locked/>
    <w:rsid w:val="00C4097F"/>
    <w:rPr>
      <w:rFonts w:ascii="標楷體" w:eastAsia="標楷體" w:hAnsi="標楷體"/>
      <w:kern w:val="2"/>
      <w:sz w:val="32"/>
      <w:lang w:val="x-none" w:eastAsia="x-none"/>
    </w:rPr>
  </w:style>
  <w:style w:type="paragraph" w:customStyle="1" w:styleId="1f0">
    <w:name w:val="清單段落1"/>
    <w:basedOn w:val="a"/>
    <w:uiPriority w:val="99"/>
    <w:rsid w:val="00C4097F"/>
    <w:pPr>
      <w:ind w:leftChars="200" w:left="480"/>
    </w:pPr>
    <w:rPr>
      <w:rFonts w:ascii="Calibri" w:hAnsi="Calibri"/>
      <w:szCs w:val="22"/>
    </w:rPr>
  </w:style>
  <w:style w:type="paragraph" w:customStyle="1" w:styleId="afffff7">
    <w:name w:val="標題(一)"/>
    <w:basedOn w:val="a"/>
    <w:rsid w:val="00C4097F"/>
    <w:pPr>
      <w:tabs>
        <w:tab w:val="left" w:pos="360"/>
        <w:tab w:val="left" w:pos="720"/>
        <w:tab w:val="left" w:pos="1080"/>
        <w:tab w:val="left" w:pos="1440"/>
      </w:tabs>
      <w:autoSpaceDE w:val="0"/>
      <w:autoSpaceDN w:val="0"/>
      <w:adjustRightInd w:val="0"/>
      <w:snapToGrid w:val="0"/>
      <w:spacing w:line="600" w:lineRule="exact"/>
      <w:ind w:left="1305" w:hanging="454"/>
      <w:jc w:val="both"/>
      <w:textAlignment w:val="baseline"/>
    </w:pPr>
    <w:rPr>
      <w:rFonts w:eastAsia="標楷體"/>
      <w:spacing w:val="-4"/>
      <w:kern w:val="0"/>
      <w:sz w:val="28"/>
    </w:rPr>
  </w:style>
  <w:style w:type="paragraph" w:customStyle="1" w:styleId="1">
    <w:name w:val="樣式1."/>
    <w:basedOn w:val="a7"/>
    <w:link w:val="1f1"/>
    <w:qFormat/>
    <w:rsid w:val="00C4097F"/>
    <w:pPr>
      <w:numPr>
        <w:numId w:val="1"/>
      </w:numPr>
      <w:tabs>
        <w:tab w:val="left" w:pos="12480"/>
      </w:tabs>
      <w:snapToGrid w:val="0"/>
      <w:spacing w:before="120" w:line="520" w:lineRule="exact"/>
      <w:jc w:val="both"/>
    </w:pPr>
    <w:rPr>
      <w:rFonts w:ascii="Times New Roman" w:eastAsia="標楷體" w:hAnsi="Times New Roman"/>
      <w:sz w:val="32"/>
      <w:szCs w:val="32"/>
      <w:lang w:val="x-none" w:eastAsia="x-none"/>
    </w:rPr>
  </w:style>
  <w:style w:type="character" w:customStyle="1" w:styleId="1f1">
    <w:name w:val="樣式1. 字元"/>
    <w:link w:val="1"/>
    <w:rsid w:val="00C4097F"/>
    <w:rPr>
      <w:rFonts w:eastAsia="標楷體"/>
      <w:kern w:val="2"/>
      <w:sz w:val="32"/>
      <w:szCs w:val="32"/>
      <w:lang w:val="x-none" w:eastAsia="x-none"/>
    </w:rPr>
  </w:style>
  <w:style w:type="character" w:customStyle="1" w:styleId="35">
    <w:name w:val="本文縮排 3 字元"/>
    <w:link w:val="34"/>
    <w:uiPriority w:val="99"/>
    <w:rsid w:val="00C4097F"/>
    <w:rPr>
      <w:kern w:val="2"/>
      <w:sz w:val="16"/>
      <w:szCs w:val="24"/>
    </w:rPr>
  </w:style>
  <w:style w:type="paragraph" w:customStyle="1" w:styleId="afffff8">
    <w:name w:val="表單位"/>
    <w:basedOn w:val="affff1"/>
    <w:link w:val="afffff9"/>
    <w:qFormat/>
    <w:rsid w:val="00C4097F"/>
    <w:pPr>
      <w:keepNext/>
      <w:spacing w:line="280" w:lineRule="exact"/>
      <w:jc w:val="right"/>
    </w:pPr>
  </w:style>
  <w:style w:type="character" w:customStyle="1" w:styleId="afffff9">
    <w:name w:val="表單位 字元"/>
    <w:link w:val="afffff8"/>
    <w:rsid w:val="00C4097F"/>
    <w:rPr>
      <w:rFonts w:ascii="標楷體" w:eastAsia="標楷體" w:hAnsi="標楷體"/>
      <w:bCs/>
      <w:kern w:val="2"/>
    </w:rPr>
  </w:style>
  <w:style w:type="character" w:customStyle="1" w:styleId="25">
    <w:name w:val="本文縮排 2 字元"/>
    <w:link w:val="24"/>
    <w:rsid w:val="00C4097F"/>
    <w:rPr>
      <w:kern w:val="2"/>
      <w:sz w:val="24"/>
    </w:rPr>
  </w:style>
  <w:style w:type="paragraph" w:customStyle="1" w:styleId="TableParagraph">
    <w:name w:val="Table Paragraph"/>
    <w:basedOn w:val="a"/>
    <w:uiPriority w:val="1"/>
    <w:qFormat/>
    <w:rsid w:val="00C4097F"/>
    <w:rPr>
      <w:rFonts w:ascii="Calibri" w:hAnsi="Calibri"/>
      <w:kern w:val="0"/>
      <w:sz w:val="22"/>
      <w:szCs w:val="22"/>
      <w:lang w:eastAsia="en-US"/>
    </w:rPr>
  </w:style>
  <w:style w:type="table" w:customStyle="1" w:styleId="81">
    <w:name w:val="表格格線81"/>
    <w:basedOn w:val="a1"/>
    <w:next w:val="afff"/>
    <w:uiPriority w:val="39"/>
    <w:rsid w:val="00DA051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b">
    <w:name w:val="清單段落 字元"/>
    <w:basedOn w:val="a0"/>
    <w:link w:val="afffa"/>
    <w:uiPriority w:val="34"/>
    <w:rsid w:val="00DA051C"/>
    <w:rPr>
      <w:kern w:val="2"/>
      <w:sz w:val="24"/>
    </w:rPr>
  </w:style>
  <w:style w:type="table" w:customStyle="1" w:styleId="1f2">
    <w:name w:val="表格格線1"/>
    <w:basedOn w:val="a1"/>
    <w:next w:val="afff"/>
    <w:uiPriority w:val="39"/>
    <w:qFormat/>
    <w:rsid w:val="00C854F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
    <w:basedOn w:val="a1"/>
    <w:next w:val="afff"/>
    <w:uiPriority w:val="59"/>
    <w:rsid w:val="004C1DB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a">
    <w:name w:val="()"/>
    <w:basedOn w:val="a"/>
    <w:rsid w:val="00B559F8"/>
    <w:pPr>
      <w:ind w:left="1078" w:hanging="352"/>
      <w:jc w:val="both"/>
    </w:pPr>
    <w:rPr>
      <w:rFonts w:ascii="標楷體" w:eastAsia="標楷體" w:hAnsi="標楷體"/>
      <w:sz w:val="32"/>
      <w:szCs w:val="24"/>
    </w:rPr>
  </w:style>
  <w:style w:type="paragraph" w:customStyle="1" w:styleId="28">
    <w:name w:val="註2."/>
    <w:basedOn w:val="a"/>
    <w:qFormat/>
    <w:rsid w:val="00025DDA"/>
    <w:pPr>
      <w:adjustRightInd w:val="0"/>
      <w:snapToGrid w:val="0"/>
      <w:ind w:leftChars="150" w:left="250" w:hangingChars="100" w:hanging="100"/>
      <w:jc w:val="both"/>
    </w:pPr>
    <w:rPr>
      <w:rFonts w:ascii="標楷體" w:eastAsia="標楷體" w:hAnsi="標楷體" w:cs="標楷體"/>
      <w:sz w:val="18"/>
    </w:rPr>
  </w:style>
  <w:style w:type="paragraph" w:customStyle="1" w:styleId="afffffb">
    <w:name w:val="內文（一）"/>
    <w:basedOn w:val="a"/>
    <w:qFormat/>
    <w:rsid w:val="001344B4"/>
    <w:pPr>
      <w:adjustRightInd w:val="0"/>
      <w:snapToGrid w:val="0"/>
      <w:spacing w:line="480" w:lineRule="exact"/>
      <w:ind w:firstLineChars="200" w:firstLine="200"/>
      <w:jc w:val="both"/>
    </w:pPr>
    <w:rPr>
      <w:rFonts w:ascii="標楷體" w:eastAsia="標楷體" w:hAnsi="標楷體" w:cs="標楷體"/>
      <w:sz w:val="32"/>
      <w:szCs w:val="32"/>
    </w:rPr>
  </w:style>
  <w:style w:type="table" w:customStyle="1" w:styleId="29">
    <w:name w:val="表格格線2"/>
    <w:basedOn w:val="a1"/>
    <w:next w:val="afff"/>
    <w:uiPriority w:val="59"/>
    <w:qFormat/>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f"/>
    <w:uiPriority w:val="59"/>
    <w:qFormat/>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f"/>
    <w:uiPriority w:val="59"/>
    <w:rsid w:val="004C1AF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7">
    <w:name w:val="段落樣式3"/>
    <w:basedOn w:val="a"/>
    <w:qFormat/>
    <w:rsid w:val="009B53E2"/>
    <w:pPr>
      <w:tabs>
        <w:tab w:val="left" w:pos="567"/>
      </w:tabs>
      <w:overflowPunct w:val="0"/>
      <w:autoSpaceDE w:val="0"/>
      <w:autoSpaceDN w:val="0"/>
      <w:ind w:leftChars="400" w:left="400" w:firstLineChars="200" w:firstLine="200"/>
      <w:jc w:val="both"/>
    </w:pPr>
    <w:rPr>
      <w:rFonts w:ascii="標楷體" w:eastAsia="標楷體"/>
      <w:kern w:val="32"/>
      <w:sz w:val="32"/>
    </w:rPr>
  </w:style>
  <w:style w:type="table" w:customStyle="1" w:styleId="211">
    <w:name w:val="表格格線211"/>
    <w:basedOn w:val="a1"/>
    <w:next w:val="afff"/>
    <w:rsid w:val="00162DFF"/>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表格格線11"/>
    <w:basedOn w:val="a1"/>
    <w:next w:val="afff"/>
    <w:uiPriority w:val="39"/>
    <w:qFormat/>
    <w:rsid w:val="002916D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ff"/>
    <w:uiPriority w:val="59"/>
    <w:rsid w:val="00FC55F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表格格線12"/>
    <w:basedOn w:val="a1"/>
    <w:next w:val="afff"/>
    <w:uiPriority w:val="39"/>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f"/>
    <w:uiPriority w:val="39"/>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f"/>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1"/>
    <w:basedOn w:val="a1"/>
    <w:next w:val="afff"/>
    <w:qFormat/>
    <w:rsid w:val="00E86D5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表格格線42"/>
    <w:basedOn w:val="a1"/>
    <w:next w:val="afff"/>
    <w:qFormat/>
    <w:rsid w:val="007170C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表格格線21"/>
    <w:basedOn w:val="a1"/>
    <w:next w:val="afff"/>
    <w:uiPriority w:val="59"/>
    <w:qFormat/>
    <w:rsid w:val="0090182C"/>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表格格線212"/>
    <w:basedOn w:val="a1"/>
    <w:next w:val="afff"/>
    <w:uiPriority w:val="59"/>
    <w:rsid w:val="00C0267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f"/>
    <w:uiPriority w:val="59"/>
    <w:rsid w:val="00E75DD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格格線7"/>
    <w:basedOn w:val="a1"/>
    <w:next w:val="afff"/>
    <w:uiPriority w:val="59"/>
    <w:rsid w:val="004E57A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1"/>
    <w:next w:val="afff"/>
    <w:uiPriority w:val="39"/>
    <w:rsid w:val="0094778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2"/>
    <w:basedOn w:val="a1"/>
    <w:next w:val="afff"/>
    <w:uiPriority w:val="39"/>
    <w:rsid w:val="00D15EE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表格格線8"/>
    <w:basedOn w:val="a1"/>
    <w:next w:val="afff"/>
    <w:uiPriority w:val="59"/>
    <w:qFormat/>
    <w:rsid w:val="008C3DEC"/>
    <w:pPr>
      <w:spacing w:line="680" w:lineRule="exac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3"/>
    <w:basedOn w:val="a1"/>
    <w:next w:val="afff"/>
    <w:qFormat/>
    <w:rsid w:val="00D301A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表格格線71"/>
    <w:basedOn w:val="a1"/>
    <w:next w:val="afff"/>
    <w:uiPriority w:val="59"/>
    <w:rsid w:val="005A09F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1"/>
    <w:next w:val="afff"/>
    <w:uiPriority w:val="39"/>
    <w:qFormat/>
    <w:rsid w:val="009128A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f"/>
    <w:uiPriority w:val="59"/>
    <w:qFormat/>
    <w:rsid w:val="0019669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f"/>
    <w:uiPriority w:val="59"/>
    <w:qFormat/>
    <w:rsid w:val="0019669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f"/>
    <w:uiPriority w:val="59"/>
    <w:qFormat/>
    <w:rsid w:val="00765C30"/>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表格格線22"/>
    <w:basedOn w:val="a1"/>
    <w:next w:val="afff"/>
    <w:qFormat/>
    <w:rsid w:val="005A7E7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表格格線44"/>
    <w:basedOn w:val="a1"/>
    <w:next w:val="afff"/>
    <w:uiPriority w:val="39"/>
    <w:qFormat/>
    <w:rsid w:val="00C118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f"/>
    <w:uiPriority w:val="59"/>
    <w:qFormat/>
    <w:rsid w:val="006A168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1"/>
    <w:next w:val="afff"/>
    <w:uiPriority w:val="59"/>
    <w:qFormat/>
    <w:rsid w:val="006A1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1"/>
    <w:next w:val="afff"/>
    <w:uiPriority w:val="59"/>
    <w:qFormat/>
    <w:rsid w:val="004E34D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f"/>
    <w:uiPriority w:val="59"/>
    <w:rsid w:val="0046023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f"/>
    <w:uiPriority w:val="39"/>
    <w:qFormat/>
    <w:rsid w:val="003D785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1"/>
    <w:next w:val="afff"/>
    <w:uiPriority w:val="59"/>
    <w:qFormat/>
    <w:rsid w:val="0074562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fff"/>
    <w:uiPriority w:val="59"/>
    <w:qFormat/>
    <w:rsid w:val="00745623"/>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f"/>
    <w:uiPriority w:val="59"/>
    <w:qFormat/>
    <w:rsid w:val="00B96E87"/>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1"/>
    <w:next w:val="afff"/>
    <w:uiPriority w:val="39"/>
    <w:qFormat/>
    <w:rsid w:val="00A034C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1"/>
    <w:next w:val="afff"/>
    <w:uiPriority w:val="59"/>
    <w:qFormat/>
    <w:rsid w:val="00FC608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f"/>
    <w:uiPriority w:val="39"/>
    <w:qFormat/>
    <w:rsid w:val="0087514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c">
    <w:name w:val="一/內"/>
    <w:basedOn w:val="a"/>
    <w:link w:val="afffffd"/>
    <w:qFormat/>
    <w:rsid w:val="009D1C17"/>
    <w:pPr>
      <w:widowControl/>
      <w:overflowPunct w:val="0"/>
      <w:adjustRightInd w:val="0"/>
      <w:snapToGrid w:val="0"/>
      <w:spacing w:line="540" w:lineRule="exact"/>
      <w:ind w:leftChars="268" w:left="643" w:firstLineChars="200" w:firstLine="640"/>
      <w:jc w:val="both"/>
      <w:outlineLvl w:val="0"/>
    </w:pPr>
    <w:rPr>
      <w:rFonts w:ascii="標楷體" w:eastAsia="標楷體" w:hAnsi="標楷體"/>
      <w:color w:val="000000"/>
      <w:sz w:val="32"/>
      <w:szCs w:val="32"/>
    </w:rPr>
  </w:style>
  <w:style w:type="character" w:customStyle="1" w:styleId="afffffd">
    <w:name w:val="一/內 字元"/>
    <w:link w:val="afffffc"/>
    <w:rsid w:val="009D1C17"/>
    <w:rPr>
      <w:rFonts w:ascii="標楷體" w:eastAsia="標楷體" w:hAnsi="標楷體"/>
      <w:color w:val="000000"/>
      <w:kern w:val="2"/>
      <w:sz w:val="32"/>
      <w:szCs w:val="32"/>
    </w:rPr>
  </w:style>
  <w:style w:type="table" w:customStyle="1" w:styleId="1100">
    <w:name w:val="表格格線110"/>
    <w:basedOn w:val="a1"/>
    <w:next w:val="afff"/>
    <w:uiPriority w:val="59"/>
    <w:qFormat/>
    <w:rsid w:val="004B79A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表格格線2121"/>
    <w:basedOn w:val="a1"/>
    <w:next w:val="afff"/>
    <w:uiPriority w:val="39"/>
    <w:rsid w:val="00137F40"/>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f"/>
    <w:uiPriority w:val="59"/>
    <w:qFormat/>
    <w:rsid w:val="004514E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3"/>
    <w:basedOn w:val="a1"/>
    <w:next w:val="afff"/>
    <w:uiPriority w:val="59"/>
    <w:qFormat/>
    <w:rsid w:val="00BA7D5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e">
    <w:name w:val="Revision"/>
    <w:hidden/>
    <w:uiPriority w:val="99"/>
    <w:semiHidden/>
    <w:rsid w:val="009C753D"/>
    <w:rPr>
      <w:kern w:val="2"/>
      <w:sz w:val="24"/>
    </w:rPr>
  </w:style>
  <w:style w:type="table" w:customStyle="1" w:styleId="200">
    <w:name w:val="表格格線20"/>
    <w:basedOn w:val="a1"/>
    <w:next w:val="afff"/>
    <w:uiPriority w:val="39"/>
    <w:qFormat/>
    <w:rsid w:val="00EB17B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f"/>
    <w:uiPriority w:val="59"/>
    <w:rsid w:val="001937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f"/>
    <w:uiPriority w:val="39"/>
    <w:rsid w:val="002A6A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f"/>
    <w:uiPriority w:val="59"/>
    <w:rsid w:val="001633EC"/>
    <w:rPr>
      <w:rFonts w:asciiTheme="minorHAnsi" w:eastAsia="Times New Roman" w:hAnsiTheme="minorHAnsi" w:cstheme="minorBidi"/>
      <w:kern w:val="2"/>
      <w:sz w:val="24"/>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
    <w:name w:val="意見標題一"/>
    <w:basedOn w:val="a"/>
    <w:link w:val="affffff0"/>
    <w:qFormat/>
    <w:rsid w:val="005455D1"/>
    <w:pPr>
      <w:overflowPunct w:val="0"/>
      <w:spacing w:line="600" w:lineRule="exact"/>
      <w:ind w:leftChars="100" w:left="305" w:hangingChars="205" w:hanging="205"/>
      <w:jc w:val="both"/>
    </w:pPr>
    <w:rPr>
      <w:rFonts w:ascii="標楷體" w:eastAsia="標楷體" w:hAnsi="標楷體"/>
      <w:sz w:val="32"/>
      <w:szCs w:val="32"/>
    </w:rPr>
  </w:style>
  <w:style w:type="character" w:customStyle="1" w:styleId="affffff0">
    <w:name w:val="意見標題一 字元"/>
    <w:basedOn w:val="a0"/>
    <w:link w:val="affffff"/>
    <w:rsid w:val="005455D1"/>
    <w:rPr>
      <w:rFonts w:ascii="標楷體" w:eastAsia="標楷體" w:hAnsi="標楷體"/>
      <w:kern w:val="2"/>
      <w:sz w:val="32"/>
      <w:szCs w:val="32"/>
    </w:rPr>
  </w:style>
  <w:style w:type="paragraph" w:customStyle="1" w:styleId="affffff1">
    <w:name w:val="主標題"/>
    <w:basedOn w:val="a"/>
    <w:link w:val="affffff2"/>
    <w:qFormat/>
    <w:rsid w:val="0056137B"/>
    <w:pPr>
      <w:widowControl/>
      <w:overflowPunct w:val="0"/>
      <w:snapToGrid w:val="0"/>
      <w:spacing w:afterLines="20" w:after="72" w:line="400" w:lineRule="exact"/>
      <w:jc w:val="both"/>
    </w:pPr>
    <w:rPr>
      <w:rFonts w:ascii="標楷體" w:eastAsia="標楷體" w:hAnsi="標楷體"/>
      <w:b/>
      <w:kern w:val="0"/>
      <w:sz w:val="28"/>
      <w:szCs w:val="28"/>
    </w:rPr>
  </w:style>
  <w:style w:type="paragraph" w:customStyle="1" w:styleId="-">
    <w:name w:val="內文-重要審核意見"/>
    <w:basedOn w:val="a"/>
    <w:link w:val="-0"/>
    <w:qFormat/>
    <w:rsid w:val="0056137B"/>
    <w:pPr>
      <w:widowControl/>
      <w:overflowPunct w:val="0"/>
      <w:spacing w:line="400" w:lineRule="exact"/>
      <w:ind w:firstLineChars="200" w:firstLine="200"/>
    </w:pPr>
    <w:rPr>
      <w:rFonts w:ascii="標楷體" w:eastAsia="標楷體" w:hAnsi="標楷體"/>
      <w:kern w:val="0"/>
      <w:szCs w:val="24"/>
    </w:rPr>
  </w:style>
  <w:style w:type="character" w:customStyle="1" w:styleId="affffff2">
    <w:name w:val="主標題 字元"/>
    <w:basedOn w:val="a0"/>
    <w:link w:val="affffff1"/>
    <w:rsid w:val="0056137B"/>
    <w:rPr>
      <w:rFonts w:ascii="標楷體" w:eastAsia="標楷體" w:hAnsi="標楷體"/>
      <w:b/>
      <w:sz w:val="28"/>
      <w:szCs w:val="28"/>
    </w:rPr>
  </w:style>
  <w:style w:type="character" w:customStyle="1" w:styleId="-0">
    <w:name w:val="內文-重要審核意見 字元"/>
    <w:basedOn w:val="a0"/>
    <w:link w:val="-"/>
    <w:rsid w:val="0056137B"/>
    <w:rPr>
      <w:rFonts w:ascii="標楷體" w:eastAsia="標楷體" w:hAnsi="標楷體"/>
      <w:sz w:val="24"/>
      <w:szCs w:val="24"/>
    </w:rPr>
  </w:style>
  <w:style w:type="paragraph" w:customStyle="1" w:styleId="2-2">
    <w:name w:val="內文(2)-重要審核意見"/>
    <w:basedOn w:val="-"/>
    <w:link w:val="2-3"/>
    <w:qFormat/>
    <w:rsid w:val="00F15171"/>
    <w:pPr>
      <w:ind w:firstLineChars="450" w:firstLine="1080"/>
    </w:pPr>
    <w:rPr>
      <w:snapToGrid w:val="0"/>
    </w:rPr>
  </w:style>
  <w:style w:type="character" w:customStyle="1" w:styleId="2-3">
    <w:name w:val="內文(2)-重要審核意見 字元"/>
    <w:basedOn w:val="-0"/>
    <w:link w:val="2-2"/>
    <w:rsid w:val="00F15171"/>
    <w:rPr>
      <w:rFonts w:ascii="標楷體" w:eastAsia="標楷體" w:hAnsi="標楷體"/>
      <w:snapToGrid w:val="0"/>
      <w:sz w:val="24"/>
      <w:szCs w:val="24"/>
    </w:rPr>
  </w:style>
  <w:style w:type="table" w:customStyle="1" w:styleId="230">
    <w:name w:val="表格格線23"/>
    <w:basedOn w:val="a1"/>
    <w:next w:val="afff"/>
    <w:uiPriority w:val="39"/>
    <w:qFormat/>
    <w:rsid w:val="00232CC3"/>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fff"/>
    <w:uiPriority w:val="39"/>
    <w:qFormat/>
    <w:rsid w:val="00183517"/>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f"/>
    <w:uiPriority w:val="39"/>
    <w:qFormat/>
    <w:rsid w:val="00332B8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fff"/>
    <w:uiPriority w:val="39"/>
    <w:qFormat/>
    <w:rsid w:val="00332B8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1"/>
    <w:next w:val="afff"/>
    <w:uiPriority w:val="39"/>
    <w:qFormat/>
    <w:rsid w:val="007D09A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1"/>
    <w:next w:val="afff"/>
    <w:uiPriority w:val="39"/>
    <w:qFormat/>
    <w:rsid w:val="006E388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6E388E"/>
    <w:rPr>
      <w:rFonts w:ascii="DFKaiShu-SB-Estd-BF" w:hAnsi="DFKaiShu-SB-Estd-BF" w:hint="default"/>
      <w:b w:val="0"/>
      <w:bCs w:val="0"/>
      <w:i w:val="0"/>
      <w:iCs w:val="0"/>
      <w:color w:val="000000"/>
      <w:sz w:val="28"/>
      <w:szCs w:val="28"/>
    </w:rPr>
  </w:style>
  <w:style w:type="paragraph" w:customStyle="1" w:styleId="affffff3">
    <w:name w:val="排版(一)"/>
    <w:basedOn w:val="af9"/>
    <w:link w:val="affffff4"/>
    <w:qFormat/>
    <w:rsid w:val="00283CE1"/>
    <w:pPr>
      <w:snapToGrid w:val="0"/>
      <w:spacing w:before="72" w:after="72" w:line="420" w:lineRule="exact"/>
      <w:ind w:firstLine="561"/>
    </w:pPr>
    <w:rPr>
      <w:rFonts w:ascii="標楷體" w:hAnsi="標楷體"/>
      <w:snapToGrid w:val="0"/>
      <w:kern w:val="0"/>
    </w:rPr>
  </w:style>
  <w:style w:type="character" w:customStyle="1" w:styleId="affffff4">
    <w:name w:val="排版(一) 字元"/>
    <w:link w:val="affffff3"/>
    <w:rsid w:val="00283CE1"/>
    <w:rPr>
      <w:rFonts w:ascii="標楷體" w:eastAsia="標楷體" w:hAnsi="標楷體" w:cs="新細明體"/>
      <w:b/>
      <w:bCs/>
      <w:snapToGrid w:val="0"/>
      <w:sz w:val="28"/>
      <w:szCs w:val="28"/>
    </w:rPr>
  </w:style>
  <w:style w:type="table" w:customStyle="1" w:styleId="1611">
    <w:name w:val="表格格線1611"/>
    <w:basedOn w:val="a1"/>
    <w:next w:val="afff"/>
    <w:uiPriority w:val="39"/>
    <w:rsid w:val="00122919"/>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1">
    <w:name w:val="SGS Table Basic 1111"/>
    <w:basedOn w:val="a1"/>
    <w:next w:val="afff"/>
    <w:uiPriority w:val="39"/>
    <w:qFormat/>
    <w:rsid w:val="001229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11">
    <w:name w:val="SGS Table Basic 11111"/>
    <w:basedOn w:val="a1"/>
    <w:next w:val="afff"/>
    <w:uiPriority w:val="39"/>
    <w:qFormat/>
    <w:rsid w:val="005D106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表格格線1612"/>
    <w:basedOn w:val="a1"/>
    <w:next w:val="afff"/>
    <w:uiPriority w:val="39"/>
    <w:rsid w:val="00622CA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1"/>
    <w:next w:val="afff"/>
    <w:uiPriority w:val="39"/>
    <w:qFormat/>
    <w:rsid w:val="00C110F1"/>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表格格線30"/>
    <w:basedOn w:val="a1"/>
    <w:next w:val="afff"/>
    <w:uiPriority w:val="39"/>
    <w:qFormat/>
    <w:rsid w:val="000F392B"/>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1"/>
    <w:next w:val="afff"/>
    <w:uiPriority w:val="39"/>
    <w:qFormat/>
    <w:rsid w:val="00364AB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1"/>
    <w:next w:val="afff"/>
    <w:uiPriority w:val="39"/>
    <w:qFormat/>
    <w:rsid w:val="0031215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1"/>
    <w:next w:val="afff"/>
    <w:uiPriority w:val="39"/>
    <w:qFormat/>
    <w:rsid w:val="0031215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1"/>
    <w:next w:val="afff"/>
    <w:uiPriority w:val="39"/>
    <w:qFormat/>
    <w:rsid w:val="00EC283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1"/>
    <w:next w:val="afff"/>
    <w:uiPriority w:val="39"/>
    <w:qFormat/>
    <w:rsid w:val="00EC283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格格線38"/>
    <w:basedOn w:val="a1"/>
    <w:next w:val="afff"/>
    <w:uiPriority w:val="39"/>
    <w:qFormat/>
    <w:rsid w:val="00EC283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格格線39"/>
    <w:basedOn w:val="a1"/>
    <w:next w:val="afff"/>
    <w:uiPriority w:val="39"/>
    <w:qFormat/>
    <w:rsid w:val="00F60428"/>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5">
    <w:name w:val="附註"/>
    <w:basedOn w:val="a"/>
    <w:link w:val="affffff6"/>
    <w:qFormat/>
    <w:rsid w:val="00F60428"/>
    <w:pPr>
      <w:adjustRightInd w:val="0"/>
      <w:snapToGrid w:val="0"/>
      <w:ind w:left="100" w:hangingChars="100" w:hanging="100"/>
      <w:jc w:val="both"/>
    </w:pPr>
    <w:rPr>
      <w:rFonts w:ascii="標楷體" w:eastAsia="標楷體" w:hAnsi="標楷體" w:cs="Courier New"/>
      <w:sz w:val="18"/>
      <w:szCs w:val="24"/>
    </w:rPr>
  </w:style>
  <w:style w:type="character" w:customStyle="1" w:styleId="affffff6">
    <w:name w:val="附註 字元"/>
    <w:basedOn w:val="a0"/>
    <w:link w:val="affffff5"/>
    <w:rsid w:val="00F60428"/>
    <w:rPr>
      <w:rFonts w:ascii="標楷體" w:eastAsia="標楷體" w:hAnsi="標楷體" w:cs="Courier New"/>
      <w:kern w:val="2"/>
      <w:sz w:val="18"/>
      <w:szCs w:val="24"/>
    </w:rPr>
  </w:style>
  <w:style w:type="paragraph" w:customStyle="1" w:styleId="affffff7">
    <w:name w:val="圖表內文"/>
    <w:basedOn w:val="a"/>
    <w:link w:val="affffff8"/>
    <w:qFormat/>
    <w:rsid w:val="00F60428"/>
    <w:pPr>
      <w:adjustRightInd w:val="0"/>
      <w:snapToGrid w:val="0"/>
      <w:jc w:val="both"/>
    </w:pPr>
    <w:rPr>
      <w:rFonts w:ascii="標楷體" w:eastAsia="標楷體" w:hAnsi="標楷體"/>
      <w:sz w:val="20"/>
    </w:rPr>
  </w:style>
  <w:style w:type="character" w:customStyle="1" w:styleId="affffff8">
    <w:name w:val="圖表內文 字元"/>
    <w:basedOn w:val="a0"/>
    <w:link w:val="affffff7"/>
    <w:rsid w:val="00F60428"/>
    <w:rPr>
      <w:rFonts w:ascii="標楷體" w:eastAsia="標楷體" w:hAnsi="標楷體"/>
      <w:kern w:val="2"/>
    </w:rPr>
  </w:style>
  <w:style w:type="paragraph" w:customStyle="1" w:styleId="-1">
    <w:name w:val="圖表標題-多行"/>
    <w:basedOn w:val="a"/>
    <w:qFormat/>
    <w:rsid w:val="00F60428"/>
    <w:pPr>
      <w:adjustRightInd w:val="0"/>
      <w:snapToGrid w:val="0"/>
      <w:ind w:left="250" w:hangingChars="250" w:hanging="250"/>
      <w:outlineLvl w:val="0"/>
    </w:pPr>
    <w:rPr>
      <w:rFonts w:ascii="標楷體" w:eastAsia="標楷體" w:hAnsi="標楷體" w:cstheme="majorBidi"/>
      <w:b/>
      <w:bCs/>
      <w:szCs w:val="36"/>
    </w:rPr>
  </w:style>
  <w:style w:type="table" w:customStyle="1" w:styleId="400">
    <w:name w:val="表格格線40"/>
    <w:basedOn w:val="a1"/>
    <w:next w:val="afff"/>
    <w:uiPriority w:val="39"/>
    <w:qFormat/>
    <w:rsid w:val="008A76F0"/>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1">
    <w:name w:val="表格格線16121"/>
    <w:basedOn w:val="a1"/>
    <w:next w:val="afff"/>
    <w:uiPriority w:val="39"/>
    <w:rsid w:val="003D5BEE"/>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f"/>
    <w:uiPriority w:val="39"/>
    <w:rsid w:val="004A427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826155">
      <w:bodyDiv w:val="1"/>
      <w:marLeft w:val="0"/>
      <w:marRight w:val="0"/>
      <w:marTop w:val="0"/>
      <w:marBottom w:val="0"/>
      <w:divBdr>
        <w:top w:val="none" w:sz="0" w:space="0" w:color="auto"/>
        <w:left w:val="none" w:sz="0" w:space="0" w:color="auto"/>
        <w:bottom w:val="none" w:sz="0" w:space="0" w:color="auto"/>
        <w:right w:val="none" w:sz="0" w:space="0" w:color="auto"/>
      </w:divBdr>
    </w:div>
    <w:div w:id="67003048">
      <w:bodyDiv w:val="1"/>
      <w:marLeft w:val="0"/>
      <w:marRight w:val="0"/>
      <w:marTop w:val="0"/>
      <w:marBottom w:val="0"/>
      <w:divBdr>
        <w:top w:val="none" w:sz="0" w:space="0" w:color="auto"/>
        <w:left w:val="none" w:sz="0" w:space="0" w:color="auto"/>
        <w:bottom w:val="none" w:sz="0" w:space="0" w:color="auto"/>
        <w:right w:val="none" w:sz="0" w:space="0" w:color="auto"/>
      </w:divBdr>
    </w:div>
    <w:div w:id="481775013">
      <w:bodyDiv w:val="1"/>
      <w:marLeft w:val="0"/>
      <w:marRight w:val="0"/>
      <w:marTop w:val="0"/>
      <w:marBottom w:val="0"/>
      <w:divBdr>
        <w:top w:val="none" w:sz="0" w:space="0" w:color="auto"/>
        <w:left w:val="none" w:sz="0" w:space="0" w:color="auto"/>
        <w:bottom w:val="none" w:sz="0" w:space="0" w:color="auto"/>
        <w:right w:val="none" w:sz="0" w:space="0" w:color="auto"/>
      </w:divBdr>
    </w:div>
    <w:div w:id="654844726">
      <w:bodyDiv w:val="1"/>
      <w:marLeft w:val="0"/>
      <w:marRight w:val="0"/>
      <w:marTop w:val="0"/>
      <w:marBottom w:val="0"/>
      <w:divBdr>
        <w:top w:val="none" w:sz="0" w:space="0" w:color="auto"/>
        <w:left w:val="none" w:sz="0" w:space="0" w:color="auto"/>
        <w:bottom w:val="none" w:sz="0" w:space="0" w:color="auto"/>
        <w:right w:val="none" w:sz="0" w:space="0" w:color="auto"/>
      </w:divBdr>
    </w:div>
    <w:div w:id="743141364">
      <w:bodyDiv w:val="1"/>
      <w:marLeft w:val="0"/>
      <w:marRight w:val="0"/>
      <w:marTop w:val="0"/>
      <w:marBottom w:val="0"/>
      <w:divBdr>
        <w:top w:val="none" w:sz="0" w:space="0" w:color="auto"/>
        <w:left w:val="none" w:sz="0" w:space="0" w:color="auto"/>
        <w:bottom w:val="none" w:sz="0" w:space="0" w:color="auto"/>
        <w:right w:val="none" w:sz="0" w:space="0" w:color="auto"/>
      </w:divBdr>
    </w:div>
    <w:div w:id="868876992">
      <w:bodyDiv w:val="1"/>
      <w:marLeft w:val="0"/>
      <w:marRight w:val="0"/>
      <w:marTop w:val="0"/>
      <w:marBottom w:val="0"/>
      <w:divBdr>
        <w:top w:val="none" w:sz="0" w:space="0" w:color="auto"/>
        <w:left w:val="none" w:sz="0" w:space="0" w:color="auto"/>
        <w:bottom w:val="none" w:sz="0" w:space="0" w:color="auto"/>
        <w:right w:val="none" w:sz="0" w:space="0" w:color="auto"/>
      </w:divBdr>
    </w:div>
    <w:div w:id="894584095">
      <w:bodyDiv w:val="1"/>
      <w:marLeft w:val="0"/>
      <w:marRight w:val="0"/>
      <w:marTop w:val="0"/>
      <w:marBottom w:val="0"/>
      <w:divBdr>
        <w:top w:val="none" w:sz="0" w:space="0" w:color="auto"/>
        <w:left w:val="none" w:sz="0" w:space="0" w:color="auto"/>
        <w:bottom w:val="none" w:sz="0" w:space="0" w:color="auto"/>
        <w:right w:val="none" w:sz="0" w:space="0" w:color="auto"/>
      </w:divBdr>
    </w:div>
    <w:div w:id="1105422859">
      <w:bodyDiv w:val="1"/>
      <w:marLeft w:val="0"/>
      <w:marRight w:val="0"/>
      <w:marTop w:val="0"/>
      <w:marBottom w:val="0"/>
      <w:divBdr>
        <w:top w:val="none" w:sz="0" w:space="0" w:color="auto"/>
        <w:left w:val="none" w:sz="0" w:space="0" w:color="auto"/>
        <w:bottom w:val="none" w:sz="0" w:space="0" w:color="auto"/>
        <w:right w:val="none" w:sz="0" w:space="0" w:color="auto"/>
      </w:divBdr>
    </w:div>
    <w:div w:id="1405492049">
      <w:bodyDiv w:val="1"/>
      <w:marLeft w:val="0"/>
      <w:marRight w:val="0"/>
      <w:marTop w:val="0"/>
      <w:marBottom w:val="0"/>
      <w:divBdr>
        <w:top w:val="none" w:sz="0" w:space="0" w:color="auto"/>
        <w:left w:val="none" w:sz="0" w:space="0" w:color="auto"/>
        <w:bottom w:val="none" w:sz="0" w:space="0" w:color="auto"/>
        <w:right w:val="none" w:sz="0" w:space="0" w:color="auto"/>
      </w:divBdr>
    </w:div>
    <w:div w:id="1498619162">
      <w:bodyDiv w:val="1"/>
      <w:marLeft w:val="0"/>
      <w:marRight w:val="0"/>
      <w:marTop w:val="0"/>
      <w:marBottom w:val="0"/>
      <w:divBdr>
        <w:top w:val="none" w:sz="0" w:space="0" w:color="auto"/>
        <w:left w:val="none" w:sz="0" w:space="0" w:color="auto"/>
        <w:bottom w:val="none" w:sz="0" w:space="0" w:color="auto"/>
        <w:right w:val="none" w:sz="0" w:space="0" w:color="auto"/>
      </w:divBdr>
    </w:div>
    <w:div w:id="1636988555">
      <w:bodyDiv w:val="1"/>
      <w:marLeft w:val="0"/>
      <w:marRight w:val="0"/>
      <w:marTop w:val="0"/>
      <w:marBottom w:val="0"/>
      <w:divBdr>
        <w:top w:val="none" w:sz="0" w:space="0" w:color="auto"/>
        <w:left w:val="none" w:sz="0" w:space="0" w:color="auto"/>
        <w:bottom w:val="none" w:sz="0" w:space="0" w:color="auto"/>
        <w:right w:val="none" w:sz="0" w:space="0" w:color="auto"/>
      </w:divBdr>
    </w:div>
    <w:div w:id="1737584318">
      <w:bodyDiv w:val="1"/>
      <w:marLeft w:val="0"/>
      <w:marRight w:val="0"/>
      <w:marTop w:val="0"/>
      <w:marBottom w:val="0"/>
      <w:divBdr>
        <w:top w:val="none" w:sz="0" w:space="0" w:color="auto"/>
        <w:left w:val="none" w:sz="0" w:space="0" w:color="auto"/>
        <w:bottom w:val="none" w:sz="0" w:space="0" w:color="auto"/>
        <w:right w:val="none" w:sz="0" w:space="0" w:color="auto"/>
      </w:divBdr>
    </w:div>
    <w:div w:id="1799109866">
      <w:bodyDiv w:val="1"/>
      <w:marLeft w:val="0"/>
      <w:marRight w:val="0"/>
      <w:marTop w:val="0"/>
      <w:marBottom w:val="0"/>
      <w:divBdr>
        <w:top w:val="none" w:sz="0" w:space="0" w:color="auto"/>
        <w:left w:val="none" w:sz="0" w:space="0" w:color="auto"/>
        <w:bottom w:val="none" w:sz="0" w:space="0" w:color="auto"/>
        <w:right w:val="none" w:sz="0" w:space="0" w:color="auto"/>
      </w:divBdr>
    </w:div>
    <w:div w:id="1932739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hyperlink" Target="https://findbiz.nat.gov.tw/fts/query/QueryBrCmpyDetail/queryBrCmpyDetail.do?objectId=QkM1NjgwMTkwNA==&amp;brBanNo=56801904&amp;disj=F5F5CF0A3400397A1F7F7F31B94F05E9&amp;fhl=zh_TW" TargetMode="External"/><Relationship Id="rId26" Type="http://schemas.openxmlformats.org/officeDocument/2006/relationships/diagramQuickStyle" Target="diagrams/quickStyle1.xml"/><Relationship Id="rId21" Type="http://schemas.openxmlformats.org/officeDocument/2006/relationships/chart" Target="charts/chart10.xml"/><Relationship Id="rId34" Type="http://schemas.openxmlformats.org/officeDocument/2006/relationships/image" Target="media/image6.emf"/><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hyperlink" Target="https://findbiz.nat.gov.tw/fts/query/QueryBrCmpyDetail/queryBrCmpyDetail.do?objectId=QkM1NjgwMTkwNA==&amp;brBanNo=56801904&amp;disj=F5F5CF0A3400397A1F7F7F31B94F05E9&amp;fhl=zh_TW" TargetMode="External"/><Relationship Id="rId25" Type="http://schemas.openxmlformats.org/officeDocument/2006/relationships/diagramLayout" Target="diagrams/layout1.xml"/><Relationship Id="rId33" Type="http://schemas.openxmlformats.org/officeDocument/2006/relationships/image" Target="media/image5.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image" Target="media/image2.png"/><Relationship Id="rId29" Type="http://schemas.openxmlformats.org/officeDocument/2006/relationships/diagramData" Target="diagrams/data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diagramData" Target="diagrams/data1.xml"/><Relationship Id="rId32" Type="http://schemas.openxmlformats.org/officeDocument/2006/relationships/image" Target="media/image4.w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1.xml"/><Relationship Id="rId28" Type="http://schemas.microsoft.com/office/2007/relationships/diagramDrawing" Target="diagrams/drawing1.xml"/><Relationship Id="rId36" Type="http://schemas.openxmlformats.org/officeDocument/2006/relationships/footer" Target="footer2.xml"/><Relationship Id="rId10" Type="http://schemas.openxmlformats.org/officeDocument/2006/relationships/chart" Target="charts/chart3.xml"/><Relationship Id="rId19" Type="http://schemas.openxmlformats.org/officeDocument/2006/relationships/image" Target="media/image1.png"/><Relationship Id="rId31" Type="http://schemas.openxmlformats.org/officeDocument/2006/relationships/chart" Target="charts/chart13.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image" Target="media/image3.png"/><Relationship Id="rId27" Type="http://schemas.openxmlformats.org/officeDocument/2006/relationships/diagramColors" Target="diagrams/colors1.xml"/><Relationship Id="rId30" Type="http://schemas.openxmlformats.org/officeDocument/2006/relationships/chart" Target="charts/chart12.xml"/><Relationship Id="rId35" Type="http://schemas.openxmlformats.org/officeDocument/2006/relationships/footer" Target="footer1.xml"/><Relationship Id="rId8" Type="http://schemas.openxmlformats.org/officeDocument/2006/relationships/chart" Target="charts/chart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D:\&#38364;&#37749;&#35696;&#38988;\&#38364;&#37749;&#26371;\&#21463;&#20721;&#20154;&#21729;&#22577;&#37228;&#33287;&#29151;&#26989;&#30408;&#39192;&#21344;&#22283;&#20839;&#29983;&#29986;&#27611;&#38989;&#27604;&#29575;.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8.xml"/><Relationship Id="rId4" Type="http://schemas.openxmlformats.org/officeDocument/2006/relationships/oleObject" Target="../embeddings/oleObject3.bin"/></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___4.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___5.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___6.xlsx"/></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113&#25913;&#21892;&#25152;&#24471;&#20998;&#37197;&#23560;&#26696;&#35519;&#26597;\0&#21443;&#32771;&#36039;&#26009;\3.&#31199;&#31237;&#31227;&#36681;&#21450;&#31199;&#31237;&#36000;&#25812;&#29575;\100-110(&#26680;&#23450;)&#20840;&#22283;&#36070;&#31237;&#23526;&#24501;&#28136;&#38989;-&#25353;&#31237;&#30446;&#21029;&#20998;.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wanchen\Downloads\100-110(&#26680;&#23450;)&#20840;&#22283;&#36070;&#31237;&#23526;&#24501;&#28136;&#38989;-&#25353;&#31237;&#30446;&#21029;&#20998;.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4.xml"/><Relationship Id="rId4" Type="http://schemas.openxmlformats.org/officeDocument/2006/relationships/package" Target="../embeddings/Microsoft_Excel____.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5.xml"/><Relationship Id="rId4" Type="http://schemas.openxmlformats.org/officeDocument/2006/relationships/package" Target="../embeddings/Microsoft_Excel____1.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6.xml"/><Relationship Id="rId4" Type="http://schemas.openxmlformats.org/officeDocument/2006/relationships/package" Target="../embeddings/Microsoft_Excel____2.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7.xml"/><Relationship Id="rId4" Type="http://schemas.openxmlformats.org/officeDocument/2006/relationships/package" Target="../embeddings/Microsoft_Excel____3.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2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sz="1200" b="1">
                <a:solidFill>
                  <a:sysClr val="windowText" lastClr="000000"/>
                </a:solidFill>
              </a:rPr>
              <a:t>圖</a:t>
            </a:r>
            <a:r>
              <a:rPr lang="zh-TW" altLang="en-US" sz="1200" b="1">
                <a:solidFill>
                  <a:sysClr val="windowText" lastClr="000000"/>
                </a:solidFill>
              </a:rPr>
              <a:t> </a:t>
            </a:r>
            <a:r>
              <a:rPr lang="en-US" sz="1200" b="1">
                <a:solidFill>
                  <a:sysClr val="windowText" lastClr="000000"/>
                </a:solidFill>
              </a:rPr>
              <a:t>1 </a:t>
            </a:r>
            <a:r>
              <a:rPr lang="zh-TW" altLang="en-US" sz="1200" b="1">
                <a:solidFill>
                  <a:sysClr val="windowText" lastClr="000000"/>
                </a:solidFill>
              </a:rPr>
              <a:t> </a:t>
            </a:r>
            <a:r>
              <a:rPr lang="zh-TW" sz="1200" b="1">
                <a:solidFill>
                  <a:sysClr val="windowText" lastClr="000000"/>
                </a:solidFill>
              </a:rPr>
              <a:t>受僱人員報酬與營業盈餘占國內生產毛額比率</a:t>
            </a:r>
          </a:p>
        </c:rich>
      </c:tx>
      <c:layout/>
      <c:overlay val="0"/>
      <c:spPr>
        <a:noFill/>
        <a:ln>
          <a:noFill/>
        </a:ln>
        <a:effectLst/>
      </c:spPr>
      <c:txPr>
        <a:bodyPr rot="0" spcFirstLastPara="1" vertOverflow="ellipsis" vert="horz" wrap="square" anchor="ctr" anchorCtr="1"/>
        <a:lstStyle/>
        <a:p>
          <a:pPr>
            <a:defRPr sz="132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7.22338145231846E-2"/>
          <c:y val="0.13892264074524099"/>
          <c:w val="0.86943285214348198"/>
          <c:h val="0.59377876011112651"/>
        </c:manualLayout>
      </c:layout>
      <c:lineChart>
        <c:grouping val="standard"/>
        <c:varyColors val="0"/>
        <c:ser>
          <c:idx val="1"/>
          <c:order val="0"/>
          <c:tx>
            <c:strRef>
              <c:f>工作表1!$B$1</c:f>
              <c:strCache>
                <c:ptCount val="1"/>
                <c:pt idx="0">
                  <c:v>受僱人員報酬占國內生產毛額比率</c:v>
                </c:pt>
              </c:strCache>
            </c:strRef>
          </c:tx>
          <c:spPr>
            <a:ln w="28575" cap="rnd">
              <a:solidFill>
                <a:schemeClr val="bg1">
                  <a:lumMod val="75000"/>
                </a:schemeClr>
              </a:solidFill>
              <a:prstDash val="solid"/>
              <a:round/>
            </a:ln>
            <a:effectLst/>
          </c:spPr>
          <c:marker>
            <c:symbol val="triangle"/>
            <c:size val="6"/>
            <c:spPr>
              <a:solidFill>
                <a:schemeClr val="tx1"/>
              </a:solidFill>
              <a:ln w="9525">
                <a:solidFill>
                  <a:schemeClr val="tx1"/>
                </a:solidFill>
              </a:ln>
              <a:effectLst/>
            </c:spPr>
          </c:marker>
          <c:dLbls>
            <c:dLbl>
              <c:idx val="0"/>
              <c:layout>
                <c:manualLayout>
                  <c:x val="-4.6145494028230184E-2"/>
                  <c:y val="-3.11890838206627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801-42A2-85A5-5BDE81FE9212}"/>
                </c:ext>
              </c:extLst>
            </c:dLbl>
            <c:dLbl>
              <c:idx val="1"/>
              <c:layout>
                <c:manualLayout>
                  <c:x val="-4.6145494028230184E-2"/>
                  <c:y val="-3.50877192982456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801-42A2-85A5-5BDE81FE9212}"/>
                </c:ext>
              </c:extLst>
            </c:dLbl>
            <c:dLbl>
              <c:idx val="2"/>
              <c:layout>
                <c:manualLayout>
                  <c:x val="-5.1574375678610257E-2"/>
                  <c:y val="-5.068226120857699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801-42A2-85A5-5BDE81FE9212}"/>
                </c:ext>
              </c:extLst>
            </c:dLbl>
            <c:dLbl>
              <c:idx val="3"/>
              <c:layout>
                <c:manualLayout>
                  <c:x val="-5.1574375678610208E-2"/>
                  <c:y val="-4.67836257309941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801-42A2-85A5-5BDE81FE9212}"/>
                </c:ext>
              </c:extLst>
            </c:dLbl>
            <c:dLbl>
              <c:idx val="4"/>
              <c:layout>
                <c:manualLayout>
                  <c:x val="-4.8859934853420148E-2"/>
                  <c:y val="-4.288499025341133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801-42A2-85A5-5BDE81FE9212}"/>
                </c:ext>
              </c:extLst>
            </c:dLbl>
            <c:dLbl>
              <c:idx val="5"/>
              <c:layout>
                <c:manualLayout>
                  <c:x val="-4.6145494028230184E-2"/>
                  <c:y val="-3.50877192982456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801-42A2-85A5-5BDE81FE9212}"/>
                </c:ext>
              </c:extLst>
            </c:dLbl>
            <c:dLbl>
              <c:idx val="6"/>
              <c:layout>
                <c:manualLayout>
                  <c:x val="-4.8859934853420196E-2"/>
                  <c:y val="-3.118908382066280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801-42A2-85A5-5BDE81FE9212}"/>
                </c:ext>
              </c:extLst>
            </c:dLbl>
            <c:dLbl>
              <c:idx val="7"/>
              <c:layout>
                <c:manualLayout>
                  <c:x val="-4.8859934853420196E-2"/>
                  <c:y val="-3.50877192982456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801-42A2-85A5-5BDE81FE9212}"/>
                </c:ext>
              </c:extLst>
            </c:dLbl>
            <c:dLbl>
              <c:idx val="8"/>
              <c:layout>
                <c:manualLayout>
                  <c:x val="-4.8859934853420196E-2"/>
                  <c:y val="-3.898635477582849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801-42A2-85A5-5BDE81FE9212}"/>
                </c:ext>
              </c:extLst>
            </c:dLbl>
            <c:dLbl>
              <c:idx val="9"/>
              <c:layout>
                <c:manualLayout>
                  <c:x val="-4.2961030065040318E-2"/>
                  <c:y val="3.99149386431408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801-42A2-85A5-5BDE81FE9212}"/>
                </c:ext>
              </c:extLst>
            </c:dLbl>
            <c:dLbl>
              <c:idx val="10"/>
              <c:layout>
                <c:manualLayout>
                  <c:x val="-3.6501081744626886E-2"/>
                  <c:y val="-4.13083508540490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801-42A2-85A5-5BDE81FE9212}"/>
                </c:ext>
              </c:extLst>
            </c:dLbl>
            <c:spPr>
              <a:noFill/>
              <a:ln>
                <a:noFill/>
              </a:ln>
              <a:effectLst/>
            </c:spPr>
            <c:txPr>
              <a:bodyPr rot="0" spcFirstLastPara="1" vertOverflow="ellipsis" vert="horz" wrap="square" anchor="ctr" anchorCtr="1"/>
              <a:lstStyle/>
              <a:p>
                <a:pPr>
                  <a:defRPr sz="1000" b="0" i="0" u="none" strike="noStrike" kern="1200" spc="-3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工作表1!$A$2:$A$12</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工作表1!$B$2:$B$12</c:f>
              <c:numCache>
                <c:formatCode>0.00_ </c:formatCode>
                <c:ptCount val="11"/>
                <c:pt idx="0">
                  <c:v>45.77</c:v>
                </c:pt>
                <c:pt idx="1">
                  <c:v>44.6</c:v>
                </c:pt>
                <c:pt idx="2">
                  <c:v>44.04</c:v>
                </c:pt>
                <c:pt idx="3">
                  <c:v>44.16</c:v>
                </c:pt>
                <c:pt idx="4">
                  <c:v>44.09</c:v>
                </c:pt>
                <c:pt idx="5">
                  <c:v>44.45</c:v>
                </c:pt>
                <c:pt idx="6">
                  <c:v>45.61</c:v>
                </c:pt>
                <c:pt idx="7">
                  <c:v>46.04</c:v>
                </c:pt>
                <c:pt idx="8">
                  <c:v>44.7</c:v>
                </c:pt>
                <c:pt idx="9">
                  <c:v>43.07</c:v>
                </c:pt>
                <c:pt idx="10">
                  <c:v>43.87</c:v>
                </c:pt>
              </c:numCache>
            </c:numRef>
          </c:val>
          <c:smooth val="0"/>
          <c:extLst>
            <c:ext xmlns:c16="http://schemas.microsoft.com/office/drawing/2014/chart" uri="{C3380CC4-5D6E-409C-BE32-E72D297353CC}">
              <c16:uniqueId val="{0000000B-6801-42A2-85A5-5BDE81FE9212}"/>
            </c:ext>
          </c:extLst>
        </c:ser>
        <c:ser>
          <c:idx val="2"/>
          <c:order val="1"/>
          <c:tx>
            <c:strRef>
              <c:f>工作表1!$C$1</c:f>
              <c:strCache>
                <c:ptCount val="1"/>
                <c:pt idx="0">
                  <c:v>營業盈餘占國內生產毛額比率</c:v>
                </c:pt>
              </c:strCache>
            </c:strRef>
          </c:tx>
          <c:spPr>
            <a:ln w="25400" cap="rnd">
              <a:solidFill>
                <a:schemeClr val="tx1"/>
              </a:solidFill>
              <a:prstDash val="solid"/>
              <a:round/>
            </a:ln>
            <a:effectLst/>
          </c:spPr>
          <c:marker>
            <c:symbol val="circle"/>
            <c:size val="6"/>
            <c:spPr>
              <a:solidFill>
                <a:schemeClr val="bg1"/>
              </a:solidFill>
              <a:ln w="9525">
                <a:solidFill>
                  <a:schemeClr val="tx1"/>
                </a:solidFill>
              </a:ln>
              <a:effectLst/>
            </c:spPr>
          </c:marker>
          <c:dLbls>
            <c:dLbl>
              <c:idx val="0"/>
              <c:layout>
                <c:manualLayout>
                  <c:x val="-1.0857799751775215E-2"/>
                  <c:y val="1.60589383133391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6801-42A2-85A5-5BDE81FE9212}"/>
                </c:ext>
              </c:extLst>
            </c:dLbl>
            <c:dLbl>
              <c:idx val="1"/>
              <c:layout>
                <c:manualLayout>
                  <c:x val="-2.162438028579761E-2"/>
                  <c:y val="4.52068818622802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6801-42A2-85A5-5BDE81FE9212}"/>
                </c:ext>
              </c:extLst>
            </c:dLbl>
            <c:dLbl>
              <c:idx val="2"/>
              <c:layout>
                <c:manualLayout>
                  <c:x val="-2.1715526601520086E-2"/>
                  <c:y val="3.50877192982456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6801-42A2-85A5-5BDE81FE9212}"/>
                </c:ext>
              </c:extLst>
            </c:dLbl>
            <c:dLbl>
              <c:idx val="3"/>
              <c:layout>
                <c:manualLayout>
                  <c:x val="-4.4083297727318969E-2"/>
                  <c:y val="-3.50878097044152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6801-42A2-85A5-5BDE81FE9212}"/>
                </c:ext>
              </c:extLst>
            </c:dLbl>
            <c:dLbl>
              <c:idx val="4"/>
              <c:layout>
                <c:manualLayout>
                  <c:x val="-4.7828880886013281E-2"/>
                  <c:y val="-3.89863407126466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6801-42A2-85A5-5BDE81FE9212}"/>
                </c:ext>
              </c:extLst>
            </c:dLbl>
            <c:dLbl>
              <c:idx val="5"/>
              <c:layout>
                <c:manualLayout>
                  <c:x val="-4.7267662278649279E-2"/>
                  <c:y val="-3.11889351527394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6801-42A2-85A5-5BDE81FE9212}"/>
                </c:ext>
              </c:extLst>
            </c:dLbl>
            <c:dLbl>
              <c:idx val="6"/>
              <c:layout>
                <c:manualLayout>
                  <c:x val="-4.071661237785016E-2"/>
                  <c:y val="-3.50877192982456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2-6801-42A2-85A5-5BDE81FE9212}"/>
                </c:ext>
              </c:extLst>
            </c:dLbl>
            <c:dLbl>
              <c:idx val="7"/>
              <c:layout>
                <c:manualLayout>
                  <c:x val="-1.0857763300760043E-2"/>
                  <c:y val="1.559454191033138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6801-42A2-85A5-5BDE81FE9212}"/>
                </c:ext>
              </c:extLst>
            </c:dLbl>
            <c:dLbl>
              <c:idx val="8"/>
              <c:layout>
                <c:manualLayout>
                  <c:x val="-2.1715599503550429E-2"/>
                  <c:y val="4.03794093801102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6801-42A2-85A5-5BDE81FE9212}"/>
                </c:ext>
              </c:extLst>
            </c:dLbl>
            <c:dLbl>
              <c:idx val="9"/>
              <c:layout>
                <c:manualLayout>
                  <c:x val="-4.3431053203040172E-2"/>
                  <c:y val="-3.11890838206627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6801-42A2-85A5-5BDE81FE9212}"/>
                </c:ext>
              </c:extLst>
            </c:dLbl>
            <c:dLbl>
              <c:idx val="10"/>
              <c:layout>
                <c:manualLayout>
                  <c:x val="-4.0716664292932372E-2"/>
                  <c:y val="3.945081144961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6801-42A2-85A5-5BDE81FE9212}"/>
                </c:ext>
              </c:extLst>
            </c:dLbl>
            <c:spPr>
              <a:noFill/>
              <a:ln>
                <a:noFill/>
              </a:ln>
              <a:effectLst/>
            </c:spPr>
            <c:txPr>
              <a:bodyPr rot="0" spcFirstLastPara="1" vertOverflow="ellipsis" vert="horz" wrap="square" anchor="ctr" anchorCtr="1"/>
              <a:lstStyle/>
              <a:p>
                <a:pPr>
                  <a:defRPr sz="1000" b="0" i="0" u="none" strike="noStrike" kern="1200" spc="-3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工作表1!$A$2:$A$12</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工作表1!$C$2:$C$12</c:f>
              <c:numCache>
                <c:formatCode>0.00_ </c:formatCode>
                <c:ptCount val="11"/>
                <c:pt idx="0">
                  <c:v>31.82</c:v>
                </c:pt>
                <c:pt idx="1">
                  <c:v>33.83</c:v>
                </c:pt>
                <c:pt idx="2">
                  <c:v>34.86</c:v>
                </c:pt>
                <c:pt idx="3">
                  <c:v>35.26</c:v>
                </c:pt>
                <c:pt idx="4">
                  <c:v>35.06</c:v>
                </c:pt>
                <c:pt idx="5">
                  <c:v>34.79</c:v>
                </c:pt>
                <c:pt idx="6">
                  <c:v>33.03</c:v>
                </c:pt>
                <c:pt idx="7">
                  <c:v>32.29</c:v>
                </c:pt>
                <c:pt idx="8">
                  <c:v>34.770000000000003</c:v>
                </c:pt>
                <c:pt idx="9">
                  <c:v>36.409999999999997</c:v>
                </c:pt>
                <c:pt idx="10">
                  <c:v>34.369999999999997</c:v>
                </c:pt>
              </c:numCache>
            </c:numRef>
          </c:val>
          <c:smooth val="0"/>
          <c:extLst>
            <c:ext xmlns:c16="http://schemas.microsoft.com/office/drawing/2014/chart" uri="{C3380CC4-5D6E-409C-BE32-E72D297353CC}">
              <c16:uniqueId val="{00000017-6801-42A2-85A5-5BDE81FE9212}"/>
            </c:ext>
          </c:extLst>
        </c:ser>
        <c:dLbls>
          <c:showLegendKey val="0"/>
          <c:showVal val="0"/>
          <c:showCatName val="0"/>
          <c:showSerName val="0"/>
          <c:showPercent val="0"/>
          <c:showBubbleSize val="0"/>
        </c:dLbls>
        <c:marker val="1"/>
        <c:smooth val="0"/>
        <c:axId val="1409180880"/>
        <c:axId val="1409195024"/>
      </c:lineChart>
      <c:catAx>
        <c:axId val="1409180880"/>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409195024"/>
        <c:crosses val="autoZero"/>
        <c:auto val="1"/>
        <c:lblAlgn val="ctr"/>
        <c:lblOffset val="100"/>
        <c:noMultiLvlLbl val="0"/>
      </c:catAx>
      <c:valAx>
        <c:axId val="1409195024"/>
        <c:scaling>
          <c:orientation val="minMax"/>
          <c:min val="30"/>
        </c:scaling>
        <c:delete val="0"/>
        <c:axPos val="l"/>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409180880"/>
        <c:crosses val="autoZero"/>
        <c:crossBetween val="between"/>
        <c:majorUnit val="5"/>
      </c:valAx>
      <c:spPr>
        <a:noFill/>
        <a:ln>
          <a:noFill/>
        </a:ln>
        <a:effectLst/>
      </c:spPr>
    </c:plotArea>
    <c:legend>
      <c:legendPos val="b"/>
      <c:legendEntry>
        <c:idx val="0"/>
        <c:txPr>
          <a:bodyPr rot="0" spcFirstLastPara="1" vertOverflow="ellipsis" vert="horz" wrap="square" anchor="ctr" anchorCtr="1"/>
          <a:lstStyle/>
          <a:p>
            <a:pPr>
              <a:lnSpc>
                <a:spcPts val="2000"/>
              </a:lnSpc>
              <a:spcBef>
                <a:spcPts val="100"/>
              </a:spcBef>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lnSpc>
                <a:spcPts val="2000"/>
              </a:lnSpc>
              <a:spcBef>
                <a:spcPts val="100"/>
              </a:spcBef>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2493755383290267"/>
          <c:y val="0.84519142240727763"/>
          <c:w val="0.4777777777777778"/>
          <c:h val="9.2649324059279947E-2"/>
        </c:manualLayout>
      </c:layout>
      <c:overlay val="0"/>
      <c:spPr>
        <a:noFill/>
        <a:ln>
          <a:noFill/>
        </a:ln>
        <a:effectLst/>
      </c:spPr>
      <c:txPr>
        <a:bodyPr rot="0" spcFirstLastPara="1" vertOverflow="ellipsis" vert="horz" wrap="square" anchor="ctr" anchorCtr="1"/>
        <a:lstStyle/>
        <a:p>
          <a:pPr>
            <a:lnSpc>
              <a:spcPts val="2000"/>
            </a:lnSpc>
            <a:spcBef>
              <a:spcPts val="100"/>
            </a:spcBef>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100">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solidFill>
                  <a:schemeClr val="tx1"/>
                </a:solidFill>
              </a:rPr>
              <a:t>圖</a:t>
            </a:r>
            <a:r>
              <a:rPr lang="en-US" altLang="zh-TW" sz="1200" b="1">
                <a:solidFill>
                  <a:schemeClr val="tx1"/>
                </a:solidFill>
              </a:rPr>
              <a:t>12</a:t>
            </a:r>
            <a:r>
              <a:rPr lang="zh-TW" sz="1200" b="1"/>
              <a:t>　太陽光電累計裝置容量情形</a:t>
            </a:r>
          </a:p>
        </c:rich>
      </c:tx>
      <c:layout>
        <c:manualLayout>
          <c:xMode val="edge"/>
          <c:yMode val="edge"/>
          <c:x val="0.22740559721847226"/>
          <c:y val="0"/>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6645649432534679"/>
          <c:y val="0.11793823990436519"/>
          <c:w val="0.77268606883503521"/>
          <c:h val="0.52673119578100769"/>
        </c:manualLayout>
      </c:layout>
      <c:barChart>
        <c:barDir val="col"/>
        <c:grouping val="clustered"/>
        <c:varyColors val="0"/>
        <c:ser>
          <c:idx val="0"/>
          <c:order val="0"/>
          <c:tx>
            <c:strRef>
              <c:f>發電裝置容量!$B$18</c:f>
              <c:strCache>
                <c:ptCount val="1"/>
                <c:pt idx="0">
                  <c:v>目標值</c:v>
                </c:pt>
              </c:strCache>
            </c:strRef>
          </c:tx>
          <c:spPr>
            <a:solidFill>
              <a:schemeClr val="bg1">
                <a:lumMod val="85000"/>
              </a:schemeClr>
            </a:solidFill>
            <a:ln>
              <a:noFill/>
            </a:ln>
            <a:effectLst/>
          </c:spPr>
          <c:invertIfNegative val="0"/>
          <c:cat>
            <c:strRef>
              <c:f>發電裝置容量!$A$19:$A$24</c:f>
              <c:strCache>
                <c:ptCount val="6"/>
                <c:pt idx="0">
                  <c:v>107年底</c:v>
                </c:pt>
                <c:pt idx="1">
                  <c:v>108年底</c:v>
                </c:pt>
                <c:pt idx="2">
                  <c:v>109年底</c:v>
                </c:pt>
                <c:pt idx="3">
                  <c:v>110年底</c:v>
                </c:pt>
                <c:pt idx="4">
                  <c:v>111年底</c:v>
                </c:pt>
                <c:pt idx="5">
                  <c:v>112年底</c:v>
                </c:pt>
              </c:strCache>
            </c:strRef>
          </c:cat>
          <c:val>
            <c:numRef>
              <c:f>發電裝置容量!$B$19:$B$24</c:f>
              <c:numCache>
                <c:formatCode>_-* #,##0_-;\-* #,##0_-;_-* "-"??_-;_-@_-</c:formatCode>
                <c:ptCount val="6"/>
                <c:pt idx="0">
                  <c:v>2837</c:v>
                </c:pt>
                <c:pt idx="1">
                  <c:v>4337</c:v>
                </c:pt>
                <c:pt idx="2">
                  <c:v>6500</c:v>
                </c:pt>
                <c:pt idx="3">
                  <c:v>8750</c:v>
                </c:pt>
                <c:pt idx="4">
                  <c:v>11250</c:v>
                </c:pt>
                <c:pt idx="5">
                  <c:v>14000</c:v>
                </c:pt>
              </c:numCache>
            </c:numRef>
          </c:val>
          <c:extLst>
            <c:ext xmlns:c16="http://schemas.microsoft.com/office/drawing/2014/chart" uri="{C3380CC4-5D6E-409C-BE32-E72D297353CC}">
              <c16:uniqueId val="{00000000-1A6F-4F98-A199-FEF6F19E4A45}"/>
            </c:ext>
          </c:extLst>
        </c:ser>
        <c:ser>
          <c:idx val="1"/>
          <c:order val="1"/>
          <c:tx>
            <c:strRef>
              <c:f>發電裝置容量!$C$18</c:f>
              <c:strCache>
                <c:ptCount val="1"/>
                <c:pt idx="0">
                  <c:v>實際值</c:v>
                </c:pt>
              </c:strCache>
            </c:strRef>
          </c:tx>
          <c:spPr>
            <a:solidFill>
              <a:schemeClr val="bg1">
                <a:lumMod val="50000"/>
              </a:schemeClr>
            </a:solidFill>
            <a:ln>
              <a:noFill/>
            </a:ln>
            <a:effectLst/>
          </c:spPr>
          <c:invertIfNegative val="0"/>
          <c:cat>
            <c:strRef>
              <c:f>發電裝置容量!$A$19:$A$24</c:f>
              <c:strCache>
                <c:ptCount val="6"/>
                <c:pt idx="0">
                  <c:v>107年底</c:v>
                </c:pt>
                <c:pt idx="1">
                  <c:v>108年底</c:v>
                </c:pt>
                <c:pt idx="2">
                  <c:v>109年底</c:v>
                </c:pt>
                <c:pt idx="3">
                  <c:v>110年底</c:v>
                </c:pt>
                <c:pt idx="4">
                  <c:v>111年底</c:v>
                </c:pt>
                <c:pt idx="5">
                  <c:v>112年底</c:v>
                </c:pt>
              </c:strCache>
            </c:strRef>
          </c:cat>
          <c:val>
            <c:numRef>
              <c:f>發電裝置容量!$C$19:$C$24</c:f>
              <c:numCache>
                <c:formatCode>_-* #,##0.0_-;\-* #,##0.0_-;_-* "-"??_-;_-@_-</c:formatCode>
                <c:ptCount val="6"/>
                <c:pt idx="0">
                  <c:v>2738.1191699999999</c:v>
                </c:pt>
                <c:pt idx="1">
                  <c:v>4149.5387000000001</c:v>
                </c:pt>
                <c:pt idx="2">
                  <c:v>5817.2051389999997</c:v>
                </c:pt>
                <c:pt idx="3">
                  <c:v>7700.2126689999996</c:v>
                </c:pt>
                <c:pt idx="4">
                  <c:v>9723.7471540000006</c:v>
                </c:pt>
                <c:pt idx="5">
                  <c:v>12417.685278999999</c:v>
                </c:pt>
              </c:numCache>
            </c:numRef>
          </c:val>
          <c:extLst>
            <c:ext xmlns:c16="http://schemas.microsoft.com/office/drawing/2014/chart" uri="{C3380CC4-5D6E-409C-BE32-E72D297353CC}">
              <c16:uniqueId val="{00000001-1A6F-4F98-A199-FEF6F19E4A45}"/>
            </c:ext>
          </c:extLst>
        </c:ser>
        <c:dLbls>
          <c:showLegendKey val="0"/>
          <c:showVal val="0"/>
          <c:showCatName val="0"/>
          <c:showSerName val="0"/>
          <c:showPercent val="0"/>
          <c:showBubbleSize val="0"/>
        </c:dLbls>
        <c:gapWidth val="180"/>
        <c:overlap val="40"/>
        <c:axId val="575518592"/>
        <c:axId val="575521088"/>
      </c:barChart>
      <c:lineChart>
        <c:grouping val="standard"/>
        <c:varyColors val="0"/>
        <c:ser>
          <c:idx val="2"/>
          <c:order val="2"/>
          <c:tx>
            <c:strRef>
              <c:f>發電裝置容量!$D$18</c:f>
              <c:strCache>
                <c:ptCount val="1"/>
                <c:pt idx="0">
                  <c:v>缺口</c:v>
                </c:pt>
              </c:strCache>
            </c:strRef>
          </c:tx>
          <c:spPr>
            <a:ln w="28575" cap="rnd">
              <a:noFill/>
              <a:round/>
            </a:ln>
            <a:effectLst/>
          </c:spPr>
          <c:marker>
            <c:symbol val="circle"/>
            <c:size val="8"/>
            <c:spPr>
              <a:noFill/>
              <a:ln w="9525">
                <a:noFill/>
              </a:ln>
              <a:effectLst/>
            </c:spPr>
          </c:marker>
          <c:cat>
            <c:strRef>
              <c:f>發電裝置容量!$A$19:$A$24</c:f>
              <c:strCache>
                <c:ptCount val="6"/>
                <c:pt idx="0">
                  <c:v>107年底</c:v>
                </c:pt>
                <c:pt idx="1">
                  <c:v>108年底</c:v>
                </c:pt>
                <c:pt idx="2">
                  <c:v>109年底</c:v>
                </c:pt>
                <c:pt idx="3">
                  <c:v>110年底</c:v>
                </c:pt>
                <c:pt idx="4">
                  <c:v>111年底</c:v>
                </c:pt>
                <c:pt idx="5">
                  <c:v>112年底</c:v>
                </c:pt>
              </c:strCache>
            </c:strRef>
          </c:cat>
          <c:val>
            <c:numRef>
              <c:f>發電裝置容量!$D$19:$D$24</c:f>
              <c:numCache>
                <c:formatCode>#,##0.0_ ;[Red]\-#,##0.0\ </c:formatCode>
                <c:ptCount val="6"/>
                <c:pt idx="0">
                  <c:v>-98.88083000000006</c:v>
                </c:pt>
                <c:pt idx="1">
                  <c:v>-187.46129999999994</c:v>
                </c:pt>
                <c:pt idx="2">
                  <c:v>-682.79486100000031</c:v>
                </c:pt>
                <c:pt idx="3">
                  <c:v>-1049.7873310000004</c:v>
                </c:pt>
                <c:pt idx="4">
                  <c:v>-1526.2528459999994</c:v>
                </c:pt>
                <c:pt idx="5">
                  <c:v>-1582.3147210000006</c:v>
                </c:pt>
              </c:numCache>
            </c:numRef>
          </c:val>
          <c:smooth val="0"/>
          <c:extLst>
            <c:ext xmlns:c16="http://schemas.microsoft.com/office/drawing/2014/chart" uri="{C3380CC4-5D6E-409C-BE32-E72D297353CC}">
              <c16:uniqueId val="{00000002-1A6F-4F98-A199-FEF6F19E4A45}"/>
            </c:ext>
          </c:extLst>
        </c:ser>
        <c:dLbls>
          <c:showLegendKey val="0"/>
          <c:showVal val="0"/>
          <c:showCatName val="0"/>
          <c:showSerName val="0"/>
          <c:showPercent val="0"/>
          <c:showBubbleSize val="0"/>
        </c:dLbls>
        <c:marker val="1"/>
        <c:smooth val="0"/>
        <c:axId val="575518592"/>
        <c:axId val="575521088"/>
      </c:lineChart>
      <c:catAx>
        <c:axId val="575518592"/>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a:t>MW</a:t>
                </a:r>
                <a:endParaRPr lang="zh-TW"/>
              </a:p>
            </c:rich>
          </c:tx>
          <c:layout>
            <c:manualLayout>
              <c:xMode val="edge"/>
              <c:yMode val="edge"/>
              <c:x val="6.0766297669754193E-2"/>
              <c:y val="2.7262432629693557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5521088"/>
        <c:crosses val="autoZero"/>
        <c:auto val="1"/>
        <c:lblAlgn val="ctr"/>
        <c:lblOffset val="100"/>
        <c:noMultiLvlLbl val="0"/>
      </c:catAx>
      <c:valAx>
        <c:axId val="575521088"/>
        <c:scaling>
          <c:orientation val="minMax"/>
          <c:min val="0"/>
        </c:scaling>
        <c:delete val="0"/>
        <c:axPos val="l"/>
        <c:numFmt formatCode="#,##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75518592"/>
        <c:crosses val="autoZero"/>
        <c:crossBetween val="between"/>
      </c:val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solidFill>
        <a:schemeClr val="bg1"/>
      </a:solidFill>
      <a:round/>
    </a:ln>
    <a:effectLst/>
  </c:spPr>
  <c:txPr>
    <a:bodyPr/>
    <a:lstStyle/>
    <a:p>
      <a:pPr>
        <a:defRPr sz="9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17871650634883"/>
          <c:y val="0.10286154974722875"/>
          <c:w val="0.77383167815190212"/>
          <c:h val="0.69474883996010706"/>
        </c:manualLayout>
      </c:layout>
      <c:barChart>
        <c:barDir val="col"/>
        <c:grouping val="clustered"/>
        <c:varyColors val="0"/>
        <c:ser>
          <c:idx val="0"/>
          <c:order val="0"/>
          <c:tx>
            <c:strRef>
              <c:f>工作表1!$B$5</c:f>
              <c:strCache>
                <c:ptCount val="1"/>
                <c:pt idx="0">
                  <c:v>執行率</c:v>
                </c:pt>
              </c:strCache>
            </c:strRef>
          </c:tx>
          <c:spPr>
            <a:solidFill>
              <a:schemeClr val="tx1"/>
            </a:solidFill>
            <a:ln>
              <a:solidFill>
                <a:schemeClr val="tx1"/>
              </a:solidFill>
            </a:ln>
            <a:effectLst/>
          </c:spPr>
          <c:invertIfNegative val="0"/>
          <c:cat>
            <c:numRef>
              <c:f>工作表1!$C$4:$G$4</c:f>
              <c:numCache>
                <c:formatCode>General</c:formatCode>
                <c:ptCount val="5"/>
                <c:pt idx="0">
                  <c:v>108</c:v>
                </c:pt>
                <c:pt idx="1">
                  <c:v>109</c:v>
                </c:pt>
                <c:pt idx="2">
                  <c:v>110</c:v>
                </c:pt>
                <c:pt idx="3">
                  <c:v>111</c:v>
                </c:pt>
                <c:pt idx="4">
                  <c:v>112</c:v>
                </c:pt>
              </c:numCache>
            </c:numRef>
          </c:cat>
          <c:val>
            <c:numRef>
              <c:f>工作表1!$C$5:$G$5</c:f>
              <c:numCache>
                <c:formatCode>0.00_ </c:formatCode>
                <c:ptCount val="5"/>
                <c:pt idx="0">
                  <c:v>94.2</c:v>
                </c:pt>
                <c:pt idx="1">
                  <c:v>97.28</c:v>
                </c:pt>
                <c:pt idx="2">
                  <c:v>96.92</c:v>
                </c:pt>
                <c:pt idx="3">
                  <c:v>97.1</c:v>
                </c:pt>
                <c:pt idx="4">
                  <c:v>97.17</c:v>
                </c:pt>
              </c:numCache>
            </c:numRef>
          </c:val>
          <c:extLst>
            <c:ext xmlns:c16="http://schemas.microsoft.com/office/drawing/2014/chart" uri="{C3380CC4-5D6E-409C-BE32-E72D297353CC}">
              <c16:uniqueId val="{00000000-AE23-40F4-A8CD-BA0D68A6B39F}"/>
            </c:ext>
          </c:extLst>
        </c:ser>
        <c:dLbls>
          <c:showLegendKey val="0"/>
          <c:showVal val="0"/>
          <c:showCatName val="0"/>
          <c:showSerName val="0"/>
          <c:showPercent val="0"/>
          <c:showBubbleSize val="0"/>
        </c:dLbls>
        <c:gapWidth val="219"/>
        <c:overlap val="-27"/>
        <c:axId val="519125392"/>
        <c:axId val="519123728"/>
      </c:barChart>
      <c:catAx>
        <c:axId val="519125392"/>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年度</a:t>
                </a:r>
                <a:endParaRPr lang="en-US">
                  <a:solidFill>
                    <a:sysClr val="windowText" lastClr="000000"/>
                  </a:solidFill>
                </a:endParaRPr>
              </a:p>
              <a:p>
                <a:pPr>
                  <a:defRPr>
                    <a:solidFill>
                      <a:sysClr val="windowText" lastClr="000000"/>
                    </a:solidFill>
                  </a:defRPr>
                </a:pPr>
                <a:r>
                  <a:rPr lang="zh-TW">
                    <a:solidFill>
                      <a:sysClr val="windowText" lastClr="000000"/>
                    </a:solidFill>
                  </a:rPr>
                  <a:t>％</a:t>
                </a:r>
              </a:p>
            </c:rich>
          </c:tx>
          <c:layout>
            <c:manualLayout>
              <c:xMode val="edge"/>
              <c:yMode val="edge"/>
              <c:x val="0.91499856703959481"/>
              <c:y val="0.78825221423762559"/>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519123728"/>
        <c:crosses val="autoZero"/>
        <c:auto val="0"/>
        <c:lblAlgn val="ctr"/>
        <c:lblOffset val="100"/>
        <c:tickLblSkip val="1"/>
        <c:noMultiLvlLbl val="0"/>
      </c:catAx>
      <c:valAx>
        <c:axId val="519123728"/>
        <c:scaling>
          <c:orientation val="minMax"/>
          <c:min val="90"/>
        </c:scaling>
        <c:delete val="0"/>
        <c:axPos val="l"/>
        <c:majorGridlines>
          <c:spPr>
            <a:ln w="9525" cap="flat" cmpd="sng" algn="ctr">
              <a:noFill/>
              <a:round/>
            </a:ln>
            <a:effectLst/>
          </c:spPr>
        </c:majorGridlines>
        <c:title>
          <c:tx>
            <c:rich>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a:t>
                </a:r>
              </a:p>
            </c:rich>
          </c:tx>
          <c:layout>
            <c:manualLayout>
              <c:xMode val="edge"/>
              <c:yMode val="edge"/>
              <c:x val="7.2854170195442172E-2"/>
              <c:y val="1.1615261379255913E-2"/>
            </c:manualLayout>
          </c:layout>
          <c:overlay val="0"/>
          <c:spPr>
            <a:noFill/>
            <a:ln>
              <a:noFill/>
            </a:ln>
            <a:effectLst/>
          </c:spPr>
          <c:txPr>
            <a:bodyPr rot="0" spcFirstLastPara="1" vertOverflow="ellipsis" vert="eaVert"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out"/>
        <c:minorTickMark val="none"/>
        <c:tickLblPos val="nextTo"/>
        <c:spPr>
          <a:noFill/>
          <a:ln>
            <a:solidFill>
              <a:schemeClr val="bg2">
                <a:lumMod val="90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19125392"/>
        <c:crosses val="autoZero"/>
        <c:crossBetween val="between"/>
        <c:majorUnit val="2"/>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1874658208465491E-3"/>
          <c:y val="1.4306979968361739E-2"/>
          <c:w val="0.9978125341791535"/>
          <c:h val="0.95676489930857966"/>
        </c:manualLayout>
      </c:layout>
      <c:ofPieChart>
        <c:ofPieType val="bar"/>
        <c:varyColors val="1"/>
        <c:ser>
          <c:idx val="0"/>
          <c:order val="0"/>
          <c:dPt>
            <c:idx val="0"/>
            <c:bubble3D val="0"/>
            <c:spPr>
              <a:pattFill prst="wdUpDiag">
                <a:fgClr>
                  <a:schemeClr val="bg1">
                    <a:lumMod val="75000"/>
                  </a:schemeClr>
                </a:fgClr>
                <a:bgClr>
                  <a:schemeClr val="bg1"/>
                </a:bgClr>
              </a:pattFill>
              <a:ln>
                <a:solidFill>
                  <a:schemeClr val="tx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089B-4984-90CF-EAA1C1FC816C}"/>
              </c:ext>
            </c:extLst>
          </c:dPt>
          <c:dPt>
            <c:idx val="1"/>
            <c:bubble3D val="0"/>
            <c:spPr>
              <a:pattFill prst="pct50">
                <a:fgClr>
                  <a:schemeClr val="bg1">
                    <a:lumMod val="50000"/>
                  </a:schemeClr>
                </a:fgClr>
                <a:bgClr>
                  <a:schemeClr val="bg1"/>
                </a:bgClr>
              </a:pattFill>
              <a:ln>
                <a:solidFill>
                  <a:schemeClr val="tx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089B-4984-90CF-EAA1C1FC816C}"/>
              </c:ext>
            </c:extLst>
          </c:dPt>
          <c:dPt>
            <c:idx val="2"/>
            <c:bubble3D val="0"/>
            <c:spPr>
              <a:pattFill prst="dashHorz">
                <a:fgClr>
                  <a:schemeClr val="tx1">
                    <a:lumMod val="50000"/>
                    <a:lumOff val="50000"/>
                  </a:schemeClr>
                </a:fgClr>
                <a:bgClr>
                  <a:schemeClr val="bg1"/>
                </a:bgClr>
              </a:pattFill>
              <a:ln>
                <a:solidFill>
                  <a:schemeClr val="tx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089B-4984-90CF-EAA1C1FC816C}"/>
              </c:ext>
            </c:extLst>
          </c:dPt>
          <c:dPt>
            <c:idx val="3"/>
            <c:bubble3D val="0"/>
            <c:spPr>
              <a:pattFill prst="diagBrick">
                <a:fgClr>
                  <a:schemeClr val="tx1">
                    <a:lumMod val="50000"/>
                    <a:lumOff val="50000"/>
                  </a:schemeClr>
                </a:fgClr>
                <a:bgClr>
                  <a:schemeClr val="bg1"/>
                </a:bgClr>
              </a:pattFill>
              <a:ln>
                <a:solidFill>
                  <a:schemeClr val="tx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089B-4984-90CF-EAA1C1FC816C}"/>
              </c:ext>
            </c:extLst>
          </c:dPt>
          <c:dPt>
            <c:idx val="4"/>
            <c:bubble3D val="0"/>
            <c:spPr>
              <a:pattFill prst="pct5">
                <a:fgClr>
                  <a:schemeClr val="bg1">
                    <a:lumMod val="50000"/>
                  </a:schemeClr>
                </a:fgClr>
                <a:bgClr>
                  <a:schemeClr val="bg1"/>
                </a:bgClr>
              </a:pattFill>
              <a:ln>
                <a:solidFill>
                  <a:schemeClr val="tx1"/>
                </a:solid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089B-4984-90CF-EAA1C1FC816C}"/>
              </c:ext>
            </c:extLst>
          </c:dPt>
          <c:dLbls>
            <c:dLbl>
              <c:idx val="0"/>
              <c:layout>
                <c:manualLayout>
                  <c:x val="-1.8347591789631586E-3"/>
                  <c:y val="-1.6556458672404371E-2"/>
                </c:manualLayout>
              </c:layout>
              <c:tx>
                <c:rich>
                  <a:bodyPr rot="0" spcFirstLastPara="1" vertOverflow="ellipsis" vert="horz" wrap="square" lIns="38100" tIns="19050" rIns="38100" bIns="19050" anchor="ctr" anchorCtr="0">
                    <a:noAutofit/>
                  </a:bodyPr>
                  <a:lstStyle/>
                  <a:p>
                    <a:pPr algn="ctr" hangingPunct="0">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b="0" spc="-30" baseline="0">
                        <a:solidFill>
                          <a:schemeClr val="tx1"/>
                        </a:solidFill>
                        <a:latin typeface="標楷體" panose="03000509000000000000" pitchFamily="65" charset="-120"/>
                        <a:ea typeface="標楷體" panose="03000509000000000000" pitchFamily="65" charset="-120"/>
                      </a:rPr>
                      <a:t>一般學校</a:t>
                    </a:r>
                    <a:r>
                      <a:rPr lang="zh-TW" altLang="en-US" b="0" spc="-40" baseline="0">
                        <a:solidFill>
                          <a:schemeClr val="tx1"/>
                        </a:solidFill>
                        <a:latin typeface="標楷體" panose="03000509000000000000" pitchFamily="65" charset="-120"/>
                        <a:ea typeface="標楷體" panose="03000509000000000000" pitchFamily="65" charset="-120"/>
                      </a:rPr>
                      <a:t>（註</a:t>
                    </a:r>
                    <a:r>
                      <a:rPr lang="en-US" altLang="zh-TW" b="0" spc="-40" baseline="0">
                        <a:solidFill>
                          <a:schemeClr val="tx1"/>
                        </a:solidFill>
                        <a:latin typeface="標楷體" panose="03000509000000000000" pitchFamily="65" charset="-120"/>
                        <a:ea typeface="標楷體" panose="03000509000000000000" pitchFamily="65" charset="-120"/>
                      </a:rPr>
                      <a:t>1</a:t>
                    </a:r>
                    <a:r>
                      <a:rPr lang="zh-TW" altLang="en-US" b="0" spc="-40" baseline="0">
                        <a:solidFill>
                          <a:schemeClr val="tx1"/>
                        </a:solidFill>
                        <a:latin typeface="標楷體" panose="03000509000000000000" pitchFamily="65" charset="-120"/>
                        <a:ea typeface="標楷體" panose="03000509000000000000" pitchFamily="65" charset="-120"/>
                      </a:rPr>
                      <a:t>）</a:t>
                    </a:r>
                    <a:r>
                      <a:rPr lang="zh-TW" altLang="en-US" b="0" baseline="0">
                        <a:solidFill>
                          <a:schemeClr val="tx1"/>
                        </a:solidFill>
                        <a:latin typeface="標楷體" panose="03000509000000000000" pitchFamily="65" charset="-120"/>
                        <a:ea typeface="標楷體" panose="03000509000000000000" pitchFamily="65" charset="-120"/>
                      </a:rPr>
                      <a:t>，</a:t>
                    </a:r>
                  </a:p>
                  <a:p>
                    <a:pPr algn="ctr" hangingPunct="0">
                      <a:defRPr b="0">
                        <a:solidFill>
                          <a:schemeClr val="tx1"/>
                        </a:solidFill>
                        <a:latin typeface="標楷體" panose="03000509000000000000" pitchFamily="65" charset="-120"/>
                        <a:ea typeface="標楷體" panose="03000509000000000000" pitchFamily="65" charset="-120"/>
                      </a:defRPr>
                    </a:pPr>
                    <a:fld id="{0168904E-3EBD-444D-9C7C-643B9C15A6EC}" type="VALUE">
                      <a:rPr lang="en-US" altLang="zh-TW" b="0" baseline="0">
                        <a:solidFill>
                          <a:schemeClr val="tx1"/>
                        </a:solidFill>
                        <a:latin typeface="標楷體" panose="03000509000000000000" pitchFamily="65" charset="-120"/>
                        <a:ea typeface="標楷體" panose="03000509000000000000" pitchFamily="65" charset="-120"/>
                      </a:rPr>
                      <a:pPr algn="ctr" hangingPunct="0">
                        <a:defRPr b="0">
                          <a:solidFill>
                            <a:schemeClr val="tx1"/>
                          </a:solidFill>
                          <a:latin typeface="標楷體" panose="03000509000000000000" pitchFamily="65" charset="-120"/>
                          <a:ea typeface="標楷體" panose="03000509000000000000" pitchFamily="65" charset="-120"/>
                        </a:defRPr>
                      </a:pPr>
                      <a:t>[值]</a:t>
                    </a:fld>
                    <a:r>
                      <a:rPr lang="zh-TW" altLang="en-US" b="0" baseline="0">
                        <a:solidFill>
                          <a:schemeClr val="tx1"/>
                        </a:solidFill>
                        <a:latin typeface="標楷體" panose="03000509000000000000" pitchFamily="65" charset="-120"/>
                        <a:ea typeface="標楷體" panose="03000509000000000000" pitchFamily="65" charset="-120"/>
                      </a:rPr>
                      <a:t>人，</a:t>
                    </a:r>
                  </a:p>
                  <a:p>
                    <a:pPr algn="ctr" hangingPunct="0">
                      <a:defRPr b="0">
                        <a:solidFill>
                          <a:schemeClr val="tx1"/>
                        </a:solidFill>
                        <a:latin typeface="標楷體" panose="03000509000000000000" pitchFamily="65" charset="-120"/>
                        <a:ea typeface="標楷體" panose="03000509000000000000" pitchFamily="65" charset="-120"/>
                      </a:defRPr>
                    </a:pPr>
                    <a:r>
                      <a:rPr lang="zh-TW" altLang="en-US" b="0" baseline="0">
                        <a:solidFill>
                          <a:schemeClr val="tx1"/>
                        </a:solidFill>
                        <a:latin typeface="標楷體" panose="03000509000000000000" pitchFamily="65" charset="-120"/>
                        <a:ea typeface="標楷體" panose="03000509000000000000" pitchFamily="65" charset="-120"/>
                      </a:rPr>
                      <a:t> </a:t>
                    </a:r>
                    <a:fld id="{9482FA44-8BEE-4001-97D9-65D8286CDFC9}" type="CELLREF">
                      <a:rPr lang="zh-TW" altLang="en-US" b="0" baseline="0">
                        <a:solidFill>
                          <a:schemeClr val="tx1"/>
                        </a:solidFill>
                        <a:latin typeface="標楷體" panose="03000509000000000000" pitchFamily="65" charset="-120"/>
                        <a:ea typeface="標楷體" panose="03000509000000000000" pitchFamily="65" charset="-120"/>
                      </a:rPr>
                      <a:pPr algn="ctr" hangingPunct="0">
                        <a:defRPr b="0">
                          <a:solidFill>
                            <a:schemeClr val="tx1"/>
                          </a:solidFill>
                          <a:latin typeface="標楷體" panose="03000509000000000000" pitchFamily="65" charset="-120"/>
                          <a:ea typeface="標楷體" panose="03000509000000000000" pitchFamily="65" charset="-120"/>
                        </a:defRPr>
                      </a:pPr>
                      <a:t>[CELLREF]</a:t>
                    </a:fld>
                    <a:endParaRPr lang="zh-TW" altLang="en-US" b="0" baseline="0">
                      <a:solidFill>
                        <a:schemeClr val="tx1"/>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0">
                  <a:noAutofit/>
                </a:bodyPr>
                <a:lstStyle/>
                <a:p>
                  <a:pPr algn="ctr" hangingPunct="0">
                    <a:defRPr sz="1000" b="0"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19246428543927391"/>
                      <c:h val="0.44953414687705867"/>
                    </c:manualLayout>
                  </c15:layout>
                  <c15:dlblFieldTable>
                    <c15:dlblFTEntry>
                      <c15:txfldGUID>{9482FA44-8BEE-4001-97D9-65D8286CDFC9}</c15:txfldGUID>
                      <c15:f>'報告(圖)'!$C$54</c15:f>
                      <c15:dlblFieldTableCache>
                        <c:ptCount val="1"/>
                        <c:pt idx="0">
                          <c:v>56.19％</c:v>
                        </c:pt>
                      </c15:dlblFieldTableCache>
                    </c15:dlblFTEntry>
                  </c15:dlblFieldTable>
                  <c15:showDataLabelsRange val="0"/>
                </c:ext>
                <c:ext xmlns:c16="http://schemas.microsoft.com/office/drawing/2014/chart" uri="{C3380CC4-5D6E-409C-BE32-E72D297353CC}">
                  <c16:uniqueId val="{00000001-089B-4984-90CF-EAA1C1FC816C}"/>
                </c:ext>
              </c:extLst>
            </c:dLbl>
            <c:dLbl>
              <c:idx val="1"/>
              <c:layout>
                <c:manualLayout>
                  <c:x val="-2.12974030207541E-3"/>
                  <c:y val="-2.2766078542970972E-2"/>
                </c:manualLayout>
              </c:layout>
              <c:tx>
                <c:rich>
                  <a:bodyPr rot="0" spcFirstLastPara="1" vertOverflow="ellipsis" vert="horz" wrap="square" lIns="38100" tIns="19050" rIns="38100" bIns="19050" anchor="ctr" anchorCtr="0">
                    <a:sp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latin typeface="標楷體" panose="03000509000000000000" pitchFamily="65" charset="-120"/>
                        <a:ea typeface="標楷體" panose="03000509000000000000" pitchFamily="65" charset="-120"/>
                      </a:rPr>
                      <a:t>非原住民族地區之</a:t>
                    </a:r>
                    <a:fld id="{9BD72825-7B63-4762-9A9E-4AC589340EB7}" type="CATEGORYNAME">
                      <a:rPr lang="zh-TW" altLang="en-US" b="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a:latin typeface="標楷體" panose="03000509000000000000" pitchFamily="65" charset="-120"/>
                        <a:ea typeface="標楷體" panose="03000509000000000000" pitchFamily="65" charset="-120"/>
                      </a:rPr>
                      <a:t>，</a:t>
                    </a:r>
                    <a:fld id="{B94A21DF-E17D-4612-97FB-60E193C0FDBF}" type="VALUE">
                      <a:rPr lang="en-US" altLang="zh-TW" b="0" baseline="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[值]</a:t>
                    </a:fld>
                    <a:r>
                      <a:rPr lang="zh-TW" altLang="en-US" b="0" baseline="0">
                        <a:latin typeface="標楷體" panose="03000509000000000000" pitchFamily="65" charset="-120"/>
                        <a:ea typeface="標楷體" panose="03000509000000000000" pitchFamily="65" charset="-120"/>
                      </a:rPr>
                      <a:t>人，</a:t>
                    </a:r>
                    <a:fld id="{42E57254-144E-48E2-B46F-EE39654C7F0F}" type="CELLREF">
                      <a:rPr lang="zh-TW" altLang="en-US" b="0" baseline="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[CELLREF]</a:t>
                    </a:fld>
                    <a:endParaRPr lang="zh-TW" altLang="en-US" b="0" baseline="0">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0">
                  <a:sp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dlblFieldTable>
                    <c15:dlblFTEntry>
                      <c15:txfldGUID>{42E57254-144E-48E2-B46F-EE39654C7F0F}</c15:txfldGUID>
                      <c15:f>'報告(圖)'!$C$55</c15:f>
                      <c15:dlblFieldTableCache>
                        <c:ptCount val="1"/>
                        <c:pt idx="0">
                          <c:v>10.84％</c:v>
                        </c:pt>
                      </c15:dlblFieldTableCache>
                    </c15:dlblFTEntry>
                  </c15:dlblFieldTable>
                  <c15:showDataLabelsRange val="0"/>
                </c:ext>
                <c:ext xmlns:c16="http://schemas.microsoft.com/office/drawing/2014/chart" uri="{C3380CC4-5D6E-409C-BE32-E72D297353CC}">
                  <c16:uniqueId val="{00000003-089B-4984-90CF-EAA1C1FC816C}"/>
                </c:ext>
              </c:extLst>
            </c:dLbl>
            <c:dLbl>
              <c:idx val="2"/>
              <c:layout>
                <c:manualLayout>
                  <c:x val="-1.009120729456383E-3"/>
                  <c:y val="-8.0791690775867606E-3"/>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spc="-40" baseline="0">
                        <a:latin typeface="標楷體" panose="03000509000000000000" pitchFamily="65" charset="-120"/>
                        <a:ea typeface="標楷體" panose="03000509000000000000" pitchFamily="65" charset="-120"/>
                      </a:rPr>
                      <a:t>原住民族地區之原住民族重點學校，</a:t>
                    </a:r>
                  </a:p>
                  <a:p>
                    <a:pPr algn="ctr">
                      <a:defRPr b="0">
                        <a:solidFill>
                          <a:sysClr val="windowText" lastClr="000000"/>
                        </a:solidFill>
                        <a:latin typeface="標楷體" panose="03000509000000000000" pitchFamily="65" charset="-120"/>
                        <a:ea typeface="標楷體" panose="03000509000000000000" pitchFamily="65" charset="-120"/>
                      </a:defRPr>
                    </a:pPr>
                    <a:fld id="{0716550D-3A70-4D39-A747-40470532D274}" type="VALUE">
                      <a:rPr lang="en-US" altLang="zh-TW" b="0" baseline="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[值]</a:t>
                    </a:fld>
                    <a:r>
                      <a:rPr lang="zh-TW" altLang="en-US" b="0" baseline="0">
                        <a:latin typeface="標楷體" panose="03000509000000000000" pitchFamily="65" charset="-120"/>
                        <a:ea typeface="標楷體" panose="03000509000000000000" pitchFamily="65" charset="-120"/>
                      </a:rPr>
                      <a:t>人，</a:t>
                    </a:r>
                  </a:p>
                  <a:p>
                    <a:pPr algn="ctr">
                      <a:defRPr b="0">
                        <a:solidFill>
                          <a:sysClr val="windowText" lastClr="000000"/>
                        </a:solidFill>
                        <a:latin typeface="標楷體" panose="03000509000000000000" pitchFamily="65" charset="-120"/>
                        <a:ea typeface="標楷體" panose="03000509000000000000" pitchFamily="65" charset="-120"/>
                      </a:defRPr>
                    </a:pPr>
                    <a:fld id="{B0ECF191-975C-4D3D-A8D4-ACF40DCDBB4D}" type="CELLREF">
                      <a:rPr lang="zh-TW" altLang="en-US" b="0" baseline="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[CELLREF]</a:t>
                    </a:fld>
                    <a:endParaRPr lang="zh-TW" altLang="en-US"/>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0095843447147071"/>
                      <c:h val="0.37730338488565418"/>
                    </c:manualLayout>
                  </c15:layout>
                  <c15:dlblFieldTable>
                    <c15:dlblFTEntry>
                      <c15:txfldGUID>{B0ECF191-975C-4D3D-A8D4-ACF40DCDBB4D}</c15:txfldGUID>
                      <c15:f>'報告(圖)'!$C$56</c15:f>
                      <c15:dlblFieldTableCache>
                        <c:ptCount val="1"/>
                        <c:pt idx="0">
                          <c:v>26.70％</c:v>
                        </c:pt>
                      </c15:dlblFieldTableCache>
                    </c15:dlblFTEntry>
                  </c15:dlblFieldTable>
                  <c15:showDataLabelsRange val="0"/>
                </c:ext>
                <c:ext xmlns:c16="http://schemas.microsoft.com/office/drawing/2014/chart" uri="{C3380CC4-5D6E-409C-BE32-E72D297353CC}">
                  <c16:uniqueId val="{00000005-089B-4984-90CF-EAA1C1FC816C}"/>
                </c:ext>
              </c:extLst>
            </c:dLbl>
            <c:dLbl>
              <c:idx val="3"/>
              <c:layout>
                <c:manualLayout>
                  <c:x val="-2.7165433868131528E-3"/>
                  <c:y val="5.0784768560329187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spc="-60" baseline="0">
                        <a:latin typeface="標楷體" panose="03000509000000000000" pitchFamily="65" charset="-120"/>
                        <a:ea typeface="標楷體" panose="03000509000000000000" pitchFamily="65" charset="-120"/>
                      </a:rPr>
                      <a:t>原住民族地區之非重點學校，</a:t>
                    </a:r>
                    <a:fld id="{DF713442-4086-47E9-AE82-C8C4324A81C9}" type="VALUE">
                      <a:rPr lang="en-US" altLang="zh-TW" b="0" baseline="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[值]</a:t>
                    </a:fld>
                    <a:r>
                      <a:rPr lang="zh-TW" altLang="en-US" b="0" baseline="0">
                        <a:latin typeface="標楷體" panose="03000509000000000000" pitchFamily="65" charset="-120"/>
                        <a:ea typeface="標楷體" panose="03000509000000000000" pitchFamily="65" charset="-120"/>
                      </a:rPr>
                      <a:t>人，</a:t>
                    </a:r>
                    <a:fld id="{4182B527-02D3-4E8C-B10A-63C8E910E23F}" type="CELLREF">
                      <a:rPr lang="zh-TW" altLang="en-US" b="0" baseline="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[CELLREF]</a:t>
                    </a:fld>
                    <a:endParaRPr lang="zh-TW" altLang="en-US" b="0" baseline="0">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0323995684392543"/>
                      <c:h val="0.2414589112615903"/>
                    </c:manualLayout>
                  </c15:layout>
                  <c15:dlblFieldTable>
                    <c15:dlblFTEntry>
                      <c15:txfldGUID>{4182B527-02D3-4E8C-B10A-63C8E910E23F}</c15:txfldGUID>
                      <c15:f>'報告(圖)'!$C$57</c15:f>
                      <c15:dlblFieldTableCache>
                        <c:ptCount val="1"/>
                        <c:pt idx="0">
                          <c:v>6.27％</c:v>
                        </c:pt>
                      </c15:dlblFieldTableCache>
                    </c15:dlblFTEntry>
                  </c15:dlblFieldTable>
                  <c15:showDataLabelsRange val="0"/>
                </c:ext>
                <c:ext xmlns:c16="http://schemas.microsoft.com/office/drawing/2014/chart" uri="{C3380CC4-5D6E-409C-BE32-E72D297353CC}">
                  <c16:uniqueId val="{00000007-089B-4984-90CF-EAA1C1FC816C}"/>
                </c:ext>
              </c:extLst>
            </c:dLbl>
            <c:dLbl>
              <c:idx val="4"/>
              <c:layout>
                <c:manualLayout>
                  <c:x val="-0.19803042657264278"/>
                  <c:y val="-2.4059442768857079E-2"/>
                </c:manualLayout>
              </c:layout>
              <c:tx>
                <c:rich>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baseline="0">
                        <a:latin typeface="標楷體" panose="03000509000000000000" pitchFamily="65" charset="-120"/>
                        <a:ea typeface="標楷體" panose="03000509000000000000" pitchFamily="65" charset="-120"/>
                      </a:rPr>
                      <a:t>原住民重點學校</a:t>
                    </a:r>
                  </a:p>
                  <a:p>
                    <a:pPr algn="ctr">
                      <a:defRPr b="0">
                        <a:solidFill>
                          <a:sysClr val="windowText" lastClr="000000"/>
                        </a:solidFill>
                        <a:latin typeface="標楷體" panose="03000509000000000000" pitchFamily="65" charset="-120"/>
                        <a:ea typeface="標楷體" panose="03000509000000000000" pitchFamily="65" charset="-120"/>
                      </a:defRPr>
                    </a:pPr>
                    <a:r>
                      <a:rPr lang="zh-TW" altLang="en-US" b="0" baseline="0">
                        <a:latin typeface="標楷體" panose="03000509000000000000" pitchFamily="65" charset="-120"/>
                        <a:ea typeface="標楷體" panose="03000509000000000000" pitchFamily="65" charset="-120"/>
                      </a:rPr>
                      <a:t>或原住民族地區學校， </a:t>
                    </a:r>
                  </a:p>
                  <a:p>
                    <a:pPr algn="ctr">
                      <a:defRPr b="0">
                        <a:solidFill>
                          <a:sysClr val="windowText" lastClr="000000"/>
                        </a:solidFill>
                        <a:latin typeface="標楷體" panose="03000509000000000000" pitchFamily="65" charset="-120"/>
                        <a:ea typeface="標楷體" panose="03000509000000000000" pitchFamily="65" charset="-120"/>
                      </a:defRPr>
                    </a:pPr>
                    <a:fld id="{6B43FBBB-C13D-4FE2-9F3E-845936590980}" type="VALUE">
                      <a:rPr lang="en-US" altLang="zh-TW" b="0" baseline="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[值]</a:t>
                    </a:fld>
                    <a:r>
                      <a:rPr lang="zh-TW" altLang="en-US" b="0" baseline="0">
                        <a:latin typeface="標楷體" panose="03000509000000000000" pitchFamily="65" charset="-120"/>
                        <a:ea typeface="標楷體" panose="03000509000000000000" pitchFamily="65" charset="-120"/>
                      </a:rPr>
                      <a:t>人，</a:t>
                    </a:r>
                    <a:endParaRPr lang="en-US" altLang="zh-TW" b="0" baseline="0">
                      <a:latin typeface="標楷體" panose="03000509000000000000" pitchFamily="65" charset="-120"/>
                      <a:ea typeface="標楷體" panose="03000509000000000000" pitchFamily="65" charset="-120"/>
                    </a:endParaRPr>
                  </a:p>
                  <a:p>
                    <a:pPr algn="ctr">
                      <a:defRPr b="0">
                        <a:solidFill>
                          <a:sysClr val="windowText" lastClr="000000"/>
                        </a:solidFill>
                        <a:latin typeface="標楷體" panose="03000509000000000000" pitchFamily="65" charset="-120"/>
                        <a:ea typeface="標楷體" panose="03000509000000000000" pitchFamily="65" charset="-120"/>
                      </a:defRPr>
                    </a:pPr>
                    <a:r>
                      <a:rPr lang="en-US" altLang="zh-TW" b="0" baseline="0">
                        <a:latin typeface="標楷體" panose="03000509000000000000" pitchFamily="65" charset="-120"/>
                        <a:ea typeface="標楷體" panose="03000509000000000000" pitchFamily="65" charset="-120"/>
                      </a:rPr>
                      <a:t> </a:t>
                    </a:r>
                    <a:fld id="{CD2526EE-ABFE-4CDA-8165-434A87151335}" type="CELLREF">
                      <a:rPr lang="zh-TW" altLang="en-US" b="0" baseline="0">
                        <a:latin typeface="標楷體" panose="03000509000000000000" pitchFamily="65" charset="-120"/>
                        <a:ea typeface="標楷體" panose="03000509000000000000" pitchFamily="65" charset="-120"/>
                      </a:rPr>
                      <a:pPr algn="ctr">
                        <a:defRPr b="0">
                          <a:solidFill>
                            <a:sysClr val="windowText" lastClr="000000"/>
                          </a:solidFill>
                          <a:latin typeface="標楷體" panose="03000509000000000000" pitchFamily="65" charset="-120"/>
                          <a:ea typeface="標楷體" panose="03000509000000000000" pitchFamily="65" charset="-120"/>
                        </a:defRPr>
                      </a:pPr>
                      <a:t>[CELLREF]</a:t>
                    </a:fld>
                    <a:endParaRPr lang="en-US" altLang="zh-TW" b="0" baseline="0">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4388195906675417"/>
                      <c:h val="0.31614823047517465"/>
                    </c:manualLayout>
                  </c15:layout>
                  <c15:dlblFieldTable>
                    <c15:dlblFTEntry>
                      <c15:txfldGUID>{CD2526EE-ABFE-4CDA-8165-434A87151335}</c15:txfldGUID>
                      <c15:f>'報告(圖)'!$C$59</c15:f>
                      <c15:dlblFieldTableCache>
                        <c:ptCount val="1"/>
                        <c:pt idx="0">
                          <c:v>43.81％</c:v>
                        </c:pt>
                      </c15:dlblFieldTableCache>
                    </c15:dlblFTEntry>
                  </c15:dlblFieldTable>
                  <c15:showDataLabelsRange val="0"/>
                </c:ext>
                <c:ext xmlns:c16="http://schemas.microsoft.com/office/drawing/2014/chart" uri="{C3380CC4-5D6E-409C-BE32-E72D297353CC}">
                  <c16:uniqueId val="{00000009-089B-4984-90CF-EAA1C1FC816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'報告(圖)'!$A$54:$A$57</c:f>
              <c:strCache>
                <c:ptCount val="4"/>
                <c:pt idx="0">
                  <c:v>非原住民重點學校、非原住民族地區學校</c:v>
                </c:pt>
                <c:pt idx="1">
                  <c:v>原住民重點學校</c:v>
                </c:pt>
                <c:pt idx="2">
                  <c:v>原住民重點學校、原住民族地區學校</c:v>
                </c:pt>
                <c:pt idx="3">
                  <c:v>原住民族地區學校</c:v>
                </c:pt>
              </c:strCache>
            </c:strRef>
          </c:cat>
          <c:val>
            <c:numRef>
              <c:f>'報告(圖)'!$B$54:$B$57</c:f>
              <c:numCache>
                <c:formatCode>_-* #,##0_-;\-* #,##0_-;_-* "-"??_-;_-@_-</c:formatCode>
                <c:ptCount val="4"/>
                <c:pt idx="0">
                  <c:v>49190</c:v>
                </c:pt>
                <c:pt idx="1">
                  <c:v>9493</c:v>
                </c:pt>
                <c:pt idx="2">
                  <c:v>23370</c:v>
                </c:pt>
                <c:pt idx="3">
                  <c:v>5485</c:v>
                </c:pt>
              </c:numCache>
            </c:numRef>
          </c:val>
          <c:extLst>
            <c:ext xmlns:c16="http://schemas.microsoft.com/office/drawing/2014/chart" uri="{C3380CC4-5D6E-409C-BE32-E72D297353CC}">
              <c16:uniqueId val="{0000000A-089B-4984-90CF-EAA1C1FC816C}"/>
            </c:ext>
          </c:extLst>
        </c:ser>
        <c:ser>
          <c:idx val="1"/>
          <c:order val="1"/>
          <c:tx>
            <c:v>占比</c:v>
          </c:tx>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C-089B-4984-90CF-EAA1C1FC816C}"/>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E-089B-4984-90CF-EAA1C1FC816C}"/>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0-089B-4984-90CF-EAA1C1FC816C}"/>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2-089B-4984-90CF-EAA1C1FC816C}"/>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14-089B-4984-90CF-EAA1C1FC816C}"/>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zh-TW"/>
                </a:p>
              </c:txPr>
              <c:dLblPos val="bestFit"/>
              <c:showLegendKey val="0"/>
              <c:showVal val="1"/>
              <c:showCatName val="1"/>
              <c:showSerName val="0"/>
              <c:showPercent val="0"/>
              <c:showBubbleSize val="0"/>
              <c:extLst>
                <c:ext xmlns:c16="http://schemas.microsoft.com/office/drawing/2014/chart" uri="{C3380CC4-5D6E-409C-BE32-E72D297353CC}">
                  <c16:uniqueId val="{0000000C-089B-4984-90CF-EAA1C1FC816C}"/>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zh-TW"/>
                </a:p>
              </c:txPr>
              <c:dLblPos val="bestFit"/>
              <c:showLegendKey val="0"/>
              <c:showVal val="1"/>
              <c:showCatName val="1"/>
              <c:showSerName val="0"/>
              <c:showPercent val="0"/>
              <c:showBubbleSize val="0"/>
              <c:extLst>
                <c:ext xmlns:c16="http://schemas.microsoft.com/office/drawing/2014/chart" uri="{C3380CC4-5D6E-409C-BE32-E72D297353CC}">
                  <c16:uniqueId val="{0000000E-089B-4984-90CF-EAA1C1FC816C}"/>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zh-TW"/>
                </a:p>
              </c:txPr>
              <c:dLblPos val="bestFit"/>
              <c:showLegendKey val="0"/>
              <c:showVal val="1"/>
              <c:showCatName val="1"/>
              <c:showSerName val="0"/>
              <c:showPercent val="0"/>
              <c:showBubbleSize val="0"/>
              <c:extLst>
                <c:ext xmlns:c16="http://schemas.microsoft.com/office/drawing/2014/chart" uri="{C3380CC4-5D6E-409C-BE32-E72D297353CC}">
                  <c16:uniqueId val="{00000010-089B-4984-90CF-EAA1C1FC816C}"/>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zh-TW"/>
                </a:p>
              </c:txPr>
              <c:dLblPos val="bestFit"/>
              <c:showLegendKey val="0"/>
              <c:showVal val="1"/>
              <c:showCatName val="1"/>
              <c:showSerName val="0"/>
              <c:showPercent val="0"/>
              <c:showBubbleSize val="0"/>
              <c:extLst>
                <c:ext xmlns:c16="http://schemas.microsoft.com/office/drawing/2014/chart" uri="{C3380CC4-5D6E-409C-BE32-E72D297353CC}">
                  <c16:uniqueId val="{00000012-089B-4984-90CF-EAA1C1FC816C}"/>
                </c:ext>
              </c:extLst>
            </c:dLbl>
            <c:dLbl>
              <c:idx val="4"/>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zh-TW"/>
                </a:p>
              </c:txPr>
              <c:dLblPos val="bestFit"/>
              <c:showLegendKey val="0"/>
              <c:showVal val="1"/>
              <c:showCatName val="1"/>
              <c:showSerName val="0"/>
              <c:showPercent val="0"/>
              <c:showBubbleSize val="0"/>
              <c:extLst>
                <c:ext xmlns:c16="http://schemas.microsoft.com/office/drawing/2014/chart" uri="{C3380CC4-5D6E-409C-BE32-E72D297353CC}">
                  <c16:uniqueId val="{00000014-089B-4984-90CF-EAA1C1FC816C}"/>
                </c:ext>
              </c:extLst>
            </c:dLbl>
            <c:spPr>
              <a:noFill/>
              <a:ln>
                <a:noFill/>
              </a:ln>
              <a:effectLst/>
            </c:spPr>
            <c:dLblPos val="bestFit"/>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val>
            <c:numRef>
              <c:f>'報告(圖)'!$D$54:$D$57</c:f>
              <c:numCache>
                <c:formatCode>0.00%</c:formatCode>
                <c:ptCount val="4"/>
                <c:pt idx="0">
                  <c:v>0.56192739153282001</c:v>
                </c:pt>
                <c:pt idx="1">
                  <c:v>0.10844433274692133</c:v>
                </c:pt>
                <c:pt idx="2">
                  <c:v>0.26696977312709907</c:v>
                </c:pt>
                <c:pt idx="3">
                  <c:v>6.265850259315954E-2</c:v>
                </c:pt>
              </c:numCache>
            </c:numRef>
          </c:val>
          <c:extLst>
            <c:ext xmlns:c16="http://schemas.microsoft.com/office/drawing/2014/chart" uri="{C3380CC4-5D6E-409C-BE32-E72D297353CC}">
              <c16:uniqueId val="{00000015-089B-4984-90CF-EAA1C1FC816C}"/>
            </c:ext>
          </c:extLst>
        </c:ser>
        <c:dLbls>
          <c:dLblPos val="bestFit"/>
          <c:showLegendKey val="0"/>
          <c:showVal val="1"/>
          <c:showCatName val="1"/>
          <c:showSerName val="0"/>
          <c:showPercent val="0"/>
          <c:showBubbleSize val="0"/>
          <c:showLeaderLines val="1"/>
        </c:dLbls>
        <c:gapWidth val="100"/>
        <c:splitType val="pos"/>
        <c:splitPos val="3"/>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工作表1!$B$1</c:f>
              <c:strCache>
                <c:ptCount val="1"/>
                <c:pt idx="0">
                  <c:v>欄2</c:v>
                </c:pt>
              </c:strCache>
            </c:strRef>
          </c:tx>
          <c:spPr>
            <a:solidFill>
              <a:sysClr val="window" lastClr="FFFFFF">
                <a:lumMod val="50000"/>
              </a:sys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工作表1!$A$2:$A$6</c:f>
              <c:numCache>
                <c:formatCode>General</c:formatCode>
                <c:ptCount val="5"/>
                <c:pt idx="0">
                  <c:v>108</c:v>
                </c:pt>
                <c:pt idx="1">
                  <c:v>109</c:v>
                </c:pt>
                <c:pt idx="2">
                  <c:v>110</c:v>
                </c:pt>
                <c:pt idx="3">
                  <c:v>111</c:v>
                </c:pt>
                <c:pt idx="4">
                  <c:v>112</c:v>
                </c:pt>
              </c:numCache>
            </c:numRef>
          </c:cat>
          <c:val>
            <c:numRef>
              <c:f>工作表1!$B$2:$B$6</c:f>
              <c:numCache>
                <c:formatCode>General</c:formatCode>
                <c:ptCount val="5"/>
                <c:pt idx="0">
                  <c:v>7</c:v>
                </c:pt>
                <c:pt idx="1">
                  <c:v>8</c:v>
                </c:pt>
                <c:pt idx="2">
                  <c:v>5</c:v>
                </c:pt>
                <c:pt idx="3">
                  <c:v>4</c:v>
                </c:pt>
                <c:pt idx="4">
                  <c:v>12</c:v>
                </c:pt>
              </c:numCache>
            </c:numRef>
          </c:val>
          <c:extLst>
            <c:ext xmlns:c16="http://schemas.microsoft.com/office/drawing/2014/chart" uri="{C3380CC4-5D6E-409C-BE32-E72D297353CC}">
              <c16:uniqueId val="{00000000-B7C9-41AC-84CB-670BD96964D1}"/>
            </c:ext>
          </c:extLst>
        </c:ser>
        <c:dLbls>
          <c:showLegendKey val="0"/>
          <c:showVal val="1"/>
          <c:showCatName val="0"/>
          <c:showSerName val="0"/>
          <c:showPercent val="0"/>
          <c:showBubbleSize val="0"/>
        </c:dLbls>
        <c:gapWidth val="160"/>
        <c:overlap val="3"/>
        <c:axId val="1671935104"/>
        <c:axId val="1671933856"/>
      </c:barChart>
      <c:catAx>
        <c:axId val="1671935104"/>
        <c:scaling>
          <c:orientation val="minMax"/>
        </c:scaling>
        <c:delete val="0"/>
        <c:axPos val="b"/>
        <c:numFmt formatCode="General" sourceLinked="1"/>
        <c:majorTickMark val="in"/>
        <c:minorTickMark val="none"/>
        <c:tickLblPos val="nextTo"/>
        <c:spPr>
          <a:noFill/>
          <a:ln w="9525" cap="flat" cmpd="sng" algn="ctr">
            <a:solidFill>
              <a:schemeClr val="tx1">
                <a:lumMod val="95000"/>
                <a:lumOff val="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71933856"/>
        <c:crosses val="autoZero"/>
        <c:auto val="1"/>
        <c:lblAlgn val="ctr"/>
        <c:lblOffset val="100"/>
        <c:noMultiLvlLbl val="0"/>
      </c:catAx>
      <c:valAx>
        <c:axId val="1671933856"/>
        <c:scaling>
          <c:orientation val="minMax"/>
        </c:scaling>
        <c:delete val="0"/>
        <c:axPos val="l"/>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crossAx val="1671935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r>
              <a:rPr lang="zh-TW" altLang="zh-TW" sz="1200" b="1" i="0" u="none" strike="noStrike" baseline="0">
                <a:solidFill>
                  <a:schemeClr val="tx1"/>
                </a:solidFill>
                <a:effectLst/>
                <a:latin typeface="標楷體" panose="03000509000000000000" pitchFamily="65" charset="-120"/>
                <a:ea typeface="標楷體" panose="03000509000000000000" pitchFamily="65" charset="-120"/>
              </a:rPr>
              <a:t>圖</a:t>
            </a:r>
            <a:r>
              <a:rPr lang="zh-TW" altLang="en-US" sz="1200" b="1" i="0" u="none" strike="noStrike" baseline="0">
                <a:solidFill>
                  <a:schemeClr val="tx1"/>
                </a:solidFill>
                <a:effectLst/>
                <a:latin typeface="標楷體" panose="03000509000000000000" pitchFamily="65" charset="-120"/>
                <a:ea typeface="標楷體" panose="03000509000000000000" pitchFamily="65" charset="-120"/>
              </a:rPr>
              <a:t> </a:t>
            </a:r>
            <a:r>
              <a:rPr lang="en-US" altLang="zh-TW" sz="1200" b="1" i="0" u="none" strike="noStrike" baseline="0">
                <a:solidFill>
                  <a:schemeClr val="tx1"/>
                </a:solidFill>
                <a:effectLst/>
                <a:latin typeface="標楷體" panose="03000509000000000000" pitchFamily="65" charset="-120"/>
                <a:ea typeface="標楷體" panose="03000509000000000000" pitchFamily="65" charset="-120"/>
              </a:rPr>
              <a:t>2</a:t>
            </a:r>
            <a:r>
              <a:rPr lang="zh-TW" altLang="en-US" sz="1200" b="1" i="0" u="none" strike="noStrike" baseline="0">
                <a:solidFill>
                  <a:schemeClr val="tx1"/>
                </a:solidFill>
                <a:effectLst/>
                <a:latin typeface="標楷體" panose="03000509000000000000" pitchFamily="65" charset="-120"/>
                <a:ea typeface="標楷體" panose="03000509000000000000" pitchFamily="65" charset="-120"/>
              </a:rPr>
              <a:t> </a:t>
            </a:r>
            <a:r>
              <a:rPr lang="en-US" altLang="zh-TW" sz="1200" b="1" i="0" u="none" strike="noStrike" baseline="0">
                <a:solidFill>
                  <a:schemeClr val="tx1"/>
                </a:solidFill>
                <a:effectLst/>
                <a:latin typeface="標楷體" panose="03000509000000000000" pitchFamily="65" charset="-120"/>
                <a:ea typeface="標楷體" panose="03000509000000000000" pitchFamily="65" charset="-120"/>
              </a:rPr>
              <a:t> </a:t>
            </a:r>
            <a:r>
              <a:rPr lang="zh-TW" altLang="en-US" sz="1200" b="1" i="0" u="none" strike="noStrike" baseline="0">
                <a:solidFill>
                  <a:schemeClr val="tx1"/>
                </a:solidFill>
                <a:effectLst/>
                <a:latin typeface="標楷體" panose="03000509000000000000" pitchFamily="65" charset="-120"/>
                <a:ea typeface="標楷體" panose="03000509000000000000" pitchFamily="65" charset="-120"/>
              </a:rPr>
              <a:t>家庭</a:t>
            </a:r>
            <a:r>
              <a:rPr lang="zh-TW" altLang="en-US" sz="1200" b="1" i="0" u="none" strike="noStrike" baseline="0">
                <a:solidFill>
                  <a:sysClr val="windowText" lastClr="000000"/>
                </a:solidFill>
                <a:effectLst/>
                <a:latin typeface="標楷體" panose="03000509000000000000" pitchFamily="65" charset="-120"/>
                <a:ea typeface="標楷體" panose="03000509000000000000" pitchFamily="65" charset="-120"/>
              </a:rPr>
              <a:t>所得分配</a:t>
            </a:r>
            <a:r>
              <a:rPr lang="zh-TW" altLang="zh-TW" sz="1200" b="1" i="0" u="none" strike="noStrike" baseline="0">
                <a:solidFill>
                  <a:schemeClr val="tx1"/>
                </a:solidFill>
                <a:effectLst/>
                <a:latin typeface="標楷體" panose="03000509000000000000" pitchFamily="65" charset="-120"/>
                <a:ea typeface="標楷體" panose="03000509000000000000" pitchFamily="65" charset="-120"/>
              </a:rPr>
              <a:t>吉尼係數變動趨勢</a:t>
            </a:r>
            <a:endParaRPr lang="zh-TW" altLang="en-US" sz="1200">
              <a:solidFill>
                <a:schemeClr val="tx1"/>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solidFill>
              <a:latin typeface="+mn-lt"/>
              <a:ea typeface="+mn-ea"/>
              <a:cs typeface="+mn-cs"/>
            </a:defRPr>
          </a:pPr>
          <a:endParaRPr lang="zh-TW"/>
        </a:p>
      </c:txPr>
    </c:title>
    <c:autoTitleDeleted val="0"/>
    <c:plotArea>
      <c:layout>
        <c:manualLayout>
          <c:layoutTarget val="inner"/>
          <c:xMode val="edge"/>
          <c:yMode val="edge"/>
          <c:x val="0.1038727034120735"/>
          <c:y val="0.15696649029982362"/>
          <c:w val="0.84057174103237109"/>
          <c:h val="0.63106972739518674"/>
        </c:manualLayout>
      </c:layout>
      <c:lineChart>
        <c:grouping val="standard"/>
        <c:varyColors val="0"/>
        <c:ser>
          <c:idx val="1"/>
          <c:order val="0"/>
          <c:tx>
            <c:strRef>
              <c:f>工作表2!$B$1</c:f>
              <c:strCache>
                <c:ptCount val="1"/>
                <c:pt idx="0">
                  <c:v>吉尼係數</c:v>
                </c:pt>
              </c:strCache>
            </c:strRef>
          </c:tx>
          <c:spPr>
            <a:ln w="25400" cap="rnd">
              <a:solidFill>
                <a:schemeClr val="tx1"/>
              </a:solidFill>
              <a:round/>
            </a:ln>
            <a:effectLst/>
          </c:spPr>
          <c:marker>
            <c:symbol val="circle"/>
            <c:size val="5"/>
            <c:spPr>
              <a:solidFill>
                <a:schemeClr val="bg1"/>
              </a:solidFill>
              <a:ln w="9525">
                <a:solidFill>
                  <a:schemeClr val="tx1"/>
                </a:solidFill>
              </a:ln>
              <a:effectLst/>
            </c:spPr>
          </c:marker>
          <c:dLbls>
            <c:dLbl>
              <c:idx val="0"/>
              <c:layout>
                <c:manualLayout>
                  <c:x val="-5.000000000000001E-2"/>
                  <c:y val="-4.2445705068537593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spc="-3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193-48F4-8CFD-0E0529DF229D}"/>
                </c:ext>
              </c:extLst>
            </c:dLbl>
            <c:dLbl>
              <c:idx val="1"/>
              <c:layout>
                <c:manualLayout>
                  <c:x val="-5.5555555555555552E-2"/>
                  <c:y val="3.46553715825953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193-48F4-8CFD-0E0529DF229D}"/>
                </c:ext>
              </c:extLst>
            </c:dLbl>
            <c:dLbl>
              <c:idx val="2"/>
              <c:layout>
                <c:manualLayout>
                  <c:x val="-5.2777777777777778E-2"/>
                  <c:y val="3.46553715825953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193-48F4-8CFD-0E0529DF229D}"/>
                </c:ext>
              </c:extLst>
            </c:dLbl>
            <c:dLbl>
              <c:idx val="3"/>
              <c:layout>
                <c:manualLayout>
                  <c:x val="-5.5555555555555552E-2"/>
                  <c:y val="-4.235656526761648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193-48F4-8CFD-0E0529DF229D}"/>
                </c:ext>
              </c:extLst>
            </c:dLbl>
            <c:dLbl>
              <c:idx val="4"/>
              <c:layout>
                <c:manualLayout>
                  <c:x val="-5.2777777777777778E-2"/>
                  <c:y val="3.46553715825953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193-48F4-8CFD-0E0529DF229D}"/>
                </c:ext>
              </c:extLst>
            </c:dLbl>
            <c:dLbl>
              <c:idx val="5"/>
              <c:layout>
                <c:manualLayout>
                  <c:x val="-2.5000000000000001E-2"/>
                  <c:y val="3.465537158259530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193-48F4-8CFD-0E0529DF229D}"/>
                </c:ext>
              </c:extLst>
            </c:dLbl>
            <c:dLbl>
              <c:idx val="6"/>
              <c:layout>
                <c:manualLayout>
                  <c:x val="-1.9444444444444445E-2"/>
                  <c:y val="3.08047747400847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193-48F4-8CFD-0E0529DF229D}"/>
                </c:ext>
              </c:extLst>
            </c:dLbl>
            <c:dLbl>
              <c:idx val="7"/>
              <c:layout>
                <c:manualLayout>
                  <c:x val="-1.6666666666666666E-2"/>
                  <c:y val="3.080477474008471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193-48F4-8CFD-0E0529DF229D}"/>
                </c:ext>
              </c:extLst>
            </c:dLbl>
            <c:dLbl>
              <c:idx val="8"/>
              <c:layout>
                <c:manualLayout>
                  <c:x val="-1.6666666666666767E-2"/>
                  <c:y val="2.31035810550635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193-48F4-8CFD-0E0529DF229D}"/>
                </c:ext>
              </c:extLst>
            </c:dLbl>
            <c:dLbl>
              <c:idx val="9"/>
              <c:layout>
                <c:manualLayout>
                  <c:x val="-1.6666666666666666E-2"/>
                  <c:y val="2.31035810550635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193-48F4-8CFD-0E0529DF229D}"/>
                </c:ext>
              </c:extLst>
            </c:dLbl>
            <c:dLbl>
              <c:idx val="10"/>
              <c:layout>
                <c:manualLayout>
                  <c:x val="-4.1666666666666664E-2"/>
                  <c:y val="-3.850596842510592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193-48F4-8CFD-0E0529DF229D}"/>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工作表2!$A$2:$A$12</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工作表2!$B$2:$B$12</c:f>
              <c:numCache>
                <c:formatCode>0.000_ </c:formatCode>
                <c:ptCount val="11"/>
                <c:pt idx="0">
                  <c:v>0.33800000000000002</c:v>
                </c:pt>
                <c:pt idx="1">
                  <c:v>0.33600000000000002</c:v>
                </c:pt>
                <c:pt idx="2">
                  <c:v>0.33600000000000002</c:v>
                </c:pt>
                <c:pt idx="3">
                  <c:v>0.33800000000000002</c:v>
                </c:pt>
                <c:pt idx="4">
                  <c:v>0.33600000000000002</c:v>
                </c:pt>
                <c:pt idx="5">
                  <c:v>0.33700000000000002</c:v>
                </c:pt>
                <c:pt idx="6">
                  <c:v>0.33800000000000002</c:v>
                </c:pt>
                <c:pt idx="7">
                  <c:v>0.33900000000000002</c:v>
                </c:pt>
                <c:pt idx="8">
                  <c:v>0.34</c:v>
                </c:pt>
                <c:pt idx="9">
                  <c:v>0.34100000000000003</c:v>
                </c:pt>
                <c:pt idx="10">
                  <c:v>0.34200000000000003</c:v>
                </c:pt>
              </c:numCache>
            </c:numRef>
          </c:val>
          <c:smooth val="0"/>
          <c:extLst>
            <c:ext xmlns:c16="http://schemas.microsoft.com/office/drawing/2014/chart" uri="{C3380CC4-5D6E-409C-BE32-E72D297353CC}">
              <c16:uniqueId val="{0000000B-6193-48F4-8CFD-0E0529DF229D}"/>
            </c:ext>
          </c:extLst>
        </c:ser>
        <c:dLbls>
          <c:showLegendKey val="0"/>
          <c:showVal val="0"/>
          <c:showCatName val="0"/>
          <c:showSerName val="0"/>
          <c:showPercent val="0"/>
          <c:showBubbleSize val="0"/>
        </c:dLbls>
        <c:marker val="1"/>
        <c:smooth val="0"/>
        <c:axId val="1649293471"/>
        <c:axId val="1649293887"/>
      </c:lineChart>
      <c:catAx>
        <c:axId val="1649293471"/>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49293887"/>
        <c:crosses val="autoZero"/>
        <c:auto val="1"/>
        <c:lblAlgn val="ctr"/>
        <c:lblOffset val="100"/>
        <c:noMultiLvlLbl val="0"/>
      </c:catAx>
      <c:valAx>
        <c:axId val="1649293887"/>
        <c:scaling>
          <c:orientation val="minMax"/>
          <c:min val="0.33500000000000008"/>
        </c:scaling>
        <c:delete val="0"/>
        <c:axPos val="l"/>
        <c:numFmt formatCode="0.000_ "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49293471"/>
        <c:crosses val="autoZero"/>
        <c:crossBetween val="between"/>
        <c:majorUnit val="2.0000000000000005E-3"/>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en-US"/>
              <a:t>  </a:t>
            </a:r>
            <a:r>
              <a:rPr lang="zh-TW" altLang="zh-TW" sz="1200" b="1" i="0" baseline="0">
                <a:solidFill>
                  <a:schemeClr val="tx1"/>
                </a:solidFill>
                <a:effectLst/>
              </a:rPr>
              <a:t>圖</a:t>
            </a:r>
            <a:r>
              <a:rPr lang="zh-TW" altLang="en-US" sz="1200" b="1" i="0" baseline="0">
                <a:solidFill>
                  <a:schemeClr val="tx1"/>
                </a:solidFill>
                <a:effectLst/>
              </a:rPr>
              <a:t> </a:t>
            </a:r>
            <a:r>
              <a:rPr lang="en-US" altLang="zh-TW" sz="1200" b="1" i="0" baseline="0">
                <a:solidFill>
                  <a:schemeClr val="tx1"/>
                </a:solidFill>
                <a:effectLst/>
              </a:rPr>
              <a:t>3</a:t>
            </a:r>
            <a:r>
              <a:rPr lang="zh-TW" altLang="en-US" sz="1200" b="1" i="0" baseline="0">
                <a:solidFill>
                  <a:schemeClr val="tx1"/>
                </a:solidFill>
                <a:effectLst/>
              </a:rPr>
              <a:t>  五等分位所得差距倍數</a:t>
            </a:r>
            <a:r>
              <a:rPr lang="zh-TW" altLang="zh-TW" sz="1200" b="1" i="0" u="none" strike="noStrike" baseline="0">
                <a:solidFill>
                  <a:sysClr val="windowText" lastClr="000000"/>
                </a:solidFill>
                <a:effectLst/>
              </a:rPr>
              <a:t>變動趨勢</a:t>
            </a:r>
            <a:endParaRPr lang="zh-TW" altLang="zh-TW" sz="1200">
              <a:solidFill>
                <a:sysClr val="windowText" lastClr="000000"/>
              </a:solidFill>
              <a:effectLst/>
            </a:endParaRP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8.7226815398075239E-2"/>
          <c:y val="0.14992789694391651"/>
          <c:w val="0.85738183589120331"/>
          <c:h val="0.62351163001176579"/>
        </c:manualLayout>
      </c:layout>
      <c:lineChart>
        <c:grouping val="standard"/>
        <c:varyColors val="0"/>
        <c:ser>
          <c:idx val="1"/>
          <c:order val="0"/>
          <c:tx>
            <c:strRef>
              <c:f>工作表3!$B$1</c:f>
              <c:strCache>
                <c:ptCount val="1"/>
                <c:pt idx="0">
                  <c:v>政府移轉收支前差距倍數</c:v>
                </c:pt>
              </c:strCache>
            </c:strRef>
          </c:tx>
          <c:spPr>
            <a:ln w="28575" cap="rnd">
              <a:solidFill>
                <a:schemeClr val="bg1">
                  <a:lumMod val="65000"/>
                </a:schemeClr>
              </a:solidFill>
              <a:round/>
            </a:ln>
            <a:effectLst/>
          </c:spPr>
          <c:marker>
            <c:symbol val="circle"/>
            <c:size val="5"/>
            <c:spPr>
              <a:solidFill>
                <a:schemeClr val="tx1"/>
              </a:solidFill>
              <a:ln w="9525">
                <a:solidFill>
                  <a:schemeClr val="tx1"/>
                </a:solidFill>
              </a:ln>
              <a:effectLst/>
            </c:spPr>
          </c:marker>
          <c:dLbls>
            <c:dLbl>
              <c:idx val="0"/>
              <c:layout>
                <c:manualLayout>
                  <c:x val="-4.8611111111111112E-2"/>
                  <c:y val="-5.023148148148148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411-4304-812E-F299D2F9E5B0}"/>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工作表3!$A$2:$A$12</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工作表3!$B$2:$B$12</c:f>
              <c:numCache>
                <c:formatCode>0.00_ </c:formatCode>
                <c:ptCount val="11"/>
                <c:pt idx="0">
                  <c:v>7.7</c:v>
                </c:pt>
                <c:pt idx="1">
                  <c:v>7.53</c:v>
                </c:pt>
                <c:pt idx="2">
                  <c:v>7.4</c:v>
                </c:pt>
                <c:pt idx="3">
                  <c:v>7.33</c:v>
                </c:pt>
                <c:pt idx="4">
                  <c:v>7.28</c:v>
                </c:pt>
                <c:pt idx="5">
                  <c:v>7.25</c:v>
                </c:pt>
                <c:pt idx="6">
                  <c:v>7.25</c:v>
                </c:pt>
                <c:pt idx="7">
                  <c:v>7.26</c:v>
                </c:pt>
                <c:pt idx="8">
                  <c:v>7.43</c:v>
                </c:pt>
                <c:pt idx="9">
                  <c:v>7.63</c:v>
                </c:pt>
                <c:pt idx="10">
                  <c:v>7.5</c:v>
                </c:pt>
              </c:numCache>
            </c:numRef>
          </c:val>
          <c:smooth val="0"/>
          <c:extLst>
            <c:ext xmlns:c16="http://schemas.microsoft.com/office/drawing/2014/chart" uri="{C3380CC4-5D6E-409C-BE32-E72D297353CC}">
              <c16:uniqueId val="{00000001-A411-4304-812E-F299D2F9E5B0}"/>
            </c:ext>
          </c:extLst>
        </c:ser>
        <c:ser>
          <c:idx val="2"/>
          <c:order val="1"/>
          <c:tx>
            <c:strRef>
              <c:f>工作表3!$C$1</c:f>
              <c:strCache>
                <c:ptCount val="1"/>
                <c:pt idx="0">
                  <c:v>政府移轉收支後差距倍數</c:v>
                </c:pt>
              </c:strCache>
            </c:strRef>
          </c:tx>
          <c:spPr>
            <a:ln w="28575" cap="rnd">
              <a:solidFill>
                <a:schemeClr val="tx1"/>
              </a:solidFill>
              <a:round/>
            </a:ln>
            <a:effectLst/>
          </c:spPr>
          <c:marker>
            <c:symbol val="diamond"/>
            <c:size val="6"/>
            <c:spPr>
              <a:solidFill>
                <a:schemeClr val="bg1"/>
              </a:solidFill>
              <a:ln w="9525">
                <a:solidFill>
                  <a:schemeClr val="tx1"/>
                </a:solidFill>
              </a:ln>
              <a:effectLst/>
            </c:spPr>
          </c:marker>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工作表3!$A$2:$A$12</c:f>
              <c:numCache>
                <c:formatCode>General</c:formatCode>
                <c:ptCount val="11"/>
                <c:pt idx="0">
                  <c:v>101</c:v>
                </c:pt>
                <c:pt idx="1">
                  <c:v>102</c:v>
                </c:pt>
                <c:pt idx="2">
                  <c:v>103</c:v>
                </c:pt>
                <c:pt idx="3">
                  <c:v>104</c:v>
                </c:pt>
                <c:pt idx="4">
                  <c:v>105</c:v>
                </c:pt>
                <c:pt idx="5">
                  <c:v>106</c:v>
                </c:pt>
                <c:pt idx="6">
                  <c:v>107</c:v>
                </c:pt>
                <c:pt idx="7">
                  <c:v>108</c:v>
                </c:pt>
                <c:pt idx="8">
                  <c:v>109</c:v>
                </c:pt>
                <c:pt idx="9">
                  <c:v>110</c:v>
                </c:pt>
                <c:pt idx="10">
                  <c:v>111</c:v>
                </c:pt>
              </c:numCache>
            </c:numRef>
          </c:cat>
          <c:val>
            <c:numRef>
              <c:f>工作表3!$C$2:$C$12</c:f>
              <c:numCache>
                <c:formatCode>0.00_ </c:formatCode>
                <c:ptCount val="11"/>
                <c:pt idx="0">
                  <c:v>6.13</c:v>
                </c:pt>
                <c:pt idx="1">
                  <c:v>6.08</c:v>
                </c:pt>
                <c:pt idx="2">
                  <c:v>6.05</c:v>
                </c:pt>
                <c:pt idx="3">
                  <c:v>6.06</c:v>
                </c:pt>
                <c:pt idx="4">
                  <c:v>6.08</c:v>
                </c:pt>
                <c:pt idx="5">
                  <c:v>6.07</c:v>
                </c:pt>
                <c:pt idx="6">
                  <c:v>6.09</c:v>
                </c:pt>
                <c:pt idx="7">
                  <c:v>6.1</c:v>
                </c:pt>
                <c:pt idx="8">
                  <c:v>6.13</c:v>
                </c:pt>
                <c:pt idx="9">
                  <c:v>6.15</c:v>
                </c:pt>
                <c:pt idx="10">
                  <c:v>6.15</c:v>
                </c:pt>
              </c:numCache>
            </c:numRef>
          </c:val>
          <c:smooth val="0"/>
          <c:extLst>
            <c:ext xmlns:c16="http://schemas.microsoft.com/office/drawing/2014/chart" uri="{C3380CC4-5D6E-409C-BE32-E72D297353CC}">
              <c16:uniqueId val="{00000002-A411-4304-812E-F299D2F9E5B0}"/>
            </c:ext>
          </c:extLst>
        </c:ser>
        <c:dLbls>
          <c:showLegendKey val="0"/>
          <c:showVal val="0"/>
          <c:showCatName val="0"/>
          <c:showSerName val="0"/>
          <c:showPercent val="0"/>
          <c:showBubbleSize val="0"/>
        </c:dLbls>
        <c:marker val="1"/>
        <c:smooth val="0"/>
        <c:axId val="1568381519"/>
        <c:axId val="1568378191"/>
      </c:lineChart>
      <c:catAx>
        <c:axId val="1568381519"/>
        <c:scaling>
          <c:orientation val="minMax"/>
        </c:scaling>
        <c:delete val="0"/>
        <c:axPos val="b"/>
        <c:numFmt formatCode="General" sourceLinked="1"/>
        <c:majorTickMark val="in"/>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68378191"/>
        <c:crosses val="autoZero"/>
        <c:auto val="1"/>
        <c:lblAlgn val="ctr"/>
        <c:lblOffset val="100"/>
        <c:noMultiLvlLbl val="0"/>
      </c:catAx>
      <c:valAx>
        <c:axId val="1568378191"/>
        <c:scaling>
          <c:orientation val="minMax"/>
          <c:min val="5.5"/>
        </c:scaling>
        <c:delete val="0"/>
        <c:axPos val="l"/>
        <c:numFmt formatCode="0.0_ "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68381519"/>
        <c:crosses val="autoZero"/>
        <c:crossBetween val="between"/>
      </c:valAx>
      <c:spPr>
        <a:noFill/>
        <a:ln>
          <a:noFill/>
        </a:ln>
        <a:effectLst/>
      </c:spPr>
    </c:plotArea>
    <c:legend>
      <c:legendPos val="b"/>
      <c:layout>
        <c:manualLayout>
          <c:xMode val="edge"/>
          <c:yMode val="edge"/>
          <c:x val="8.9999956901938974E-2"/>
          <c:y val="0.83771623374664383"/>
          <c:w val="0.82"/>
          <c:h val="6.1509900990099009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797758873804547E-2"/>
          <c:y val="0.15552094031724295"/>
          <c:w val="0.86636076881823709"/>
          <c:h val="0.60175347057521422"/>
        </c:manualLayout>
      </c:layout>
      <c:barChart>
        <c:barDir val="col"/>
        <c:grouping val="clustered"/>
        <c:varyColors val="0"/>
        <c:ser>
          <c:idx val="1"/>
          <c:order val="0"/>
          <c:tx>
            <c:strRef>
              <c:f>Sheet1!$H$21</c:f>
              <c:strCache>
                <c:ptCount val="1"/>
                <c:pt idx="0">
                  <c:v>薪資所得稅收</c:v>
                </c:pt>
              </c:strCache>
            </c:strRef>
          </c:tx>
          <c:spPr>
            <a:solidFill>
              <a:sysClr val="window" lastClr="FFFFFF">
                <a:lumMod val="85000"/>
              </a:sys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Sheet1!$A$23:$A$32</c:f>
              <c:numCache>
                <c:formatCode>General</c:formatCode>
                <c:ptCount val="9"/>
                <c:pt idx="0">
                  <c:v>102</c:v>
                </c:pt>
                <c:pt idx="1">
                  <c:v>103</c:v>
                </c:pt>
                <c:pt idx="2">
                  <c:v>104</c:v>
                </c:pt>
                <c:pt idx="3">
                  <c:v>105</c:v>
                </c:pt>
                <c:pt idx="4">
                  <c:v>106</c:v>
                </c:pt>
                <c:pt idx="5">
                  <c:v>107</c:v>
                </c:pt>
                <c:pt idx="6">
                  <c:v>108</c:v>
                </c:pt>
                <c:pt idx="7">
                  <c:v>109</c:v>
                </c:pt>
                <c:pt idx="8">
                  <c:v>110</c:v>
                </c:pt>
              </c:numCache>
              <c:extLst/>
            </c:numRef>
          </c:cat>
          <c:val>
            <c:numRef>
              <c:f>Sheet1!$H$23:$H$32</c:f>
              <c:numCache>
                <c:formatCode>_-* #,##0_-;\-* #,##0_-;_-* "-"??_-;_-@_-</c:formatCode>
                <c:ptCount val="9"/>
                <c:pt idx="0">
                  <c:v>1567.73172</c:v>
                </c:pt>
                <c:pt idx="1">
                  <c:v>1764.8756100000001</c:v>
                </c:pt>
                <c:pt idx="2">
                  <c:v>1805.63338</c:v>
                </c:pt>
                <c:pt idx="3">
                  <c:v>1868.1381699999999</c:v>
                </c:pt>
                <c:pt idx="4">
                  <c:v>1899.8863200000001</c:v>
                </c:pt>
                <c:pt idx="5">
                  <c:v>1602.2554399999999</c:v>
                </c:pt>
                <c:pt idx="6">
                  <c:v>1609.61537</c:v>
                </c:pt>
                <c:pt idx="7">
                  <c:v>1696.1711299999999</c:v>
                </c:pt>
                <c:pt idx="8">
                  <c:v>1969.8128899999999</c:v>
                </c:pt>
              </c:numCache>
              <c:extLst/>
            </c:numRef>
          </c:val>
          <c:extLst>
            <c:ext xmlns:c16="http://schemas.microsoft.com/office/drawing/2014/chart" uri="{C3380CC4-5D6E-409C-BE32-E72D297353CC}">
              <c16:uniqueId val="{00000000-BF69-4B01-BC1E-58B004C0A12C}"/>
            </c:ext>
          </c:extLst>
        </c:ser>
        <c:dLbls>
          <c:showLegendKey val="0"/>
          <c:showVal val="0"/>
          <c:showCatName val="0"/>
          <c:showSerName val="0"/>
          <c:showPercent val="0"/>
          <c:showBubbleSize val="0"/>
        </c:dLbls>
        <c:gapWidth val="219"/>
        <c:overlap val="-27"/>
        <c:axId val="1878611807"/>
        <c:axId val="1878612223"/>
      </c:barChart>
      <c:lineChart>
        <c:grouping val="standard"/>
        <c:varyColors val="0"/>
        <c:ser>
          <c:idx val="2"/>
          <c:order val="1"/>
          <c:tx>
            <c:strRef>
              <c:f>Sheet1!$I$21</c:f>
              <c:strCache>
                <c:ptCount val="1"/>
                <c:pt idx="0">
                  <c:v>薪資所得稅收占綜合所得稅收比率</c:v>
                </c:pt>
              </c:strCache>
            </c:strRef>
          </c:tx>
          <c:spPr>
            <a:ln w="25400" cap="rnd">
              <a:solidFill>
                <a:sysClr val="windowText" lastClr="000000"/>
              </a:solidFill>
              <a:round/>
            </a:ln>
            <a:effectLst/>
          </c:spPr>
          <c:marker>
            <c:symbol val="circle"/>
            <c:size val="6"/>
            <c:spPr>
              <a:solidFill>
                <a:sysClr val="windowText" lastClr="000000"/>
              </a:solidFill>
              <a:ln w="9525">
                <a:solidFill>
                  <a:sysClr val="windowText" lastClr="000000"/>
                </a:solidFill>
              </a:ln>
              <a:effectLst/>
            </c:spPr>
          </c:marker>
          <c:dLbls>
            <c:numFmt formatCode="#,##0.00_);[Red]\(#,##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Sheet1!$A$23:$A$32</c:f>
              <c:numCache>
                <c:formatCode>General</c:formatCode>
                <c:ptCount val="9"/>
                <c:pt idx="0">
                  <c:v>102</c:v>
                </c:pt>
                <c:pt idx="1">
                  <c:v>103</c:v>
                </c:pt>
                <c:pt idx="2">
                  <c:v>104</c:v>
                </c:pt>
                <c:pt idx="3">
                  <c:v>105</c:v>
                </c:pt>
                <c:pt idx="4">
                  <c:v>106</c:v>
                </c:pt>
                <c:pt idx="5">
                  <c:v>107</c:v>
                </c:pt>
                <c:pt idx="6">
                  <c:v>108</c:v>
                </c:pt>
                <c:pt idx="7">
                  <c:v>109</c:v>
                </c:pt>
                <c:pt idx="8">
                  <c:v>110</c:v>
                </c:pt>
              </c:numCache>
              <c:extLst/>
            </c:numRef>
          </c:cat>
          <c:val>
            <c:numRef>
              <c:f>Sheet1!$I$23:$I$32</c:f>
              <c:numCache>
                <c:formatCode>General</c:formatCode>
                <c:ptCount val="9"/>
                <c:pt idx="0">
                  <c:v>55.1</c:v>
                </c:pt>
                <c:pt idx="1">
                  <c:v>45.86</c:v>
                </c:pt>
                <c:pt idx="2">
                  <c:v>56.42</c:v>
                </c:pt>
                <c:pt idx="3">
                  <c:v>57.62</c:v>
                </c:pt>
                <c:pt idx="4">
                  <c:v>57.3</c:v>
                </c:pt>
                <c:pt idx="5">
                  <c:v>54.81</c:v>
                </c:pt>
                <c:pt idx="6">
                  <c:v>52.72</c:v>
                </c:pt>
                <c:pt idx="7">
                  <c:v>55.12</c:v>
                </c:pt>
                <c:pt idx="8">
                  <c:v>55.77</c:v>
                </c:pt>
              </c:numCache>
              <c:extLst/>
            </c:numRef>
          </c:val>
          <c:smooth val="0"/>
          <c:extLst>
            <c:ext xmlns:c16="http://schemas.microsoft.com/office/drawing/2014/chart" uri="{C3380CC4-5D6E-409C-BE32-E72D297353CC}">
              <c16:uniqueId val="{00000001-BF69-4B01-BC1E-58B004C0A12C}"/>
            </c:ext>
          </c:extLst>
        </c:ser>
        <c:dLbls>
          <c:showLegendKey val="0"/>
          <c:showVal val="0"/>
          <c:showCatName val="0"/>
          <c:showSerName val="0"/>
          <c:showPercent val="0"/>
          <c:showBubbleSize val="0"/>
        </c:dLbls>
        <c:marker val="1"/>
        <c:smooth val="0"/>
        <c:axId val="1878610143"/>
        <c:axId val="1878613471"/>
      </c:lineChart>
      <c:catAx>
        <c:axId val="1878611807"/>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t>年度</a:t>
                </a:r>
              </a:p>
            </c:rich>
          </c:tx>
          <c:layout>
            <c:manualLayout>
              <c:xMode val="edge"/>
              <c:yMode val="edge"/>
              <c:x val="0.93689320388349517"/>
              <c:y val="0.832285368802902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78612223"/>
        <c:crosses val="autoZero"/>
        <c:auto val="1"/>
        <c:lblAlgn val="ctr"/>
        <c:lblOffset val="100"/>
        <c:noMultiLvlLbl val="0"/>
      </c:catAx>
      <c:valAx>
        <c:axId val="1878612223"/>
        <c:scaling>
          <c:orientation val="minMax"/>
          <c:min val="1.0000000000000005E-8"/>
        </c:scaling>
        <c:delete val="0"/>
        <c:axPos val="l"/>
        <c:majorGridlines>
          <c:spPr>
            <a:ln w="9525" cap="flat" cmpd="sng" algn="ctr">
              <a:noFill/>
              <a:round/>
            </a:ln>
            <a:effectLst/>
          </c:spPr>
        </c:majorGridlines>
        <c:title>
          <c:tx>
            <c:rich>
              <a:bodyPr rot="0" spcFirstLastPara="1" vertOverflow="ellipsis"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900"/>
                  <a:t>億元</a:t>
                </a:r>
              </a:p>
            </c:rich>
          </c:tx>
          <c:layout>
            <c:manualLayout>
              <c:xMode val="edge"/>
              <c:yMode val="edge"/>
              <c:x val="0"/>
              <c:y val="9.8082619190673461E-4"/>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_-* #,##0_-;\-* #,##0_-;_-* &quot;-&quot;??_-;_-@_-" sourceLinked="1"/>
        <c:majorTickMark val="out"/>
        <c:minorTickMark val="none"/>
        <c:tickLblPos val="nextTo"/>
        <c:spPr>
          <a:noFill/>
          <a:ln>
            <a:solidFill>
              <a:sysClr val="window" lastClr="FFFFFF">
                <a:lumMod val="8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78611807"/>
        <c:crosses val="autoZero"/>
        <c:crossBetween val="between"/>
      </c:valAx>
      <c:valAx>
        <c:axId val="1878613471"/>
        <c:scaling>
          <c:orientation val="minMax"/>
          <c:max val="60"/>
          <c:min val="10"/>
        </c:scaling>
        <c:delete val="0"/>
        <c:axPos val="r"/>
        <c:title>
          <c:tx>
            <c:rich>
              <a:bodyPr rot="0" spcFirstLastPara="1" vertOverflow="ellipsis"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1000">
                    <a:latin typeface="標楷體" panose="03000509000000000000" pitchFamily="65" charset="-120"/>
                    <a:ea typeface="標楷體" panose="03000509000000000000" pitchFamily="65" charset="-120"/>
                  </a:rPr>
                  <a:t>％</a:t>
                </a:r>
              </a:p>
            </c:rich>
          </c:tx>
          <c:layout>
            <c:manualLayout>
              <c:xMode val="edge"/>
              <c:yMode val="edge"/>
              <c:x val="0.96763754045307426"/>
              <c:y val="1.710321276345898E-2"/>
            </c:manualLayout>
          </c:layout>
          <c:overlay val="0"/>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out"/>
        <c:minorTickMark val="none"/>
        <c:tickLblPos val="nextTo"/>
        <c:spPr>
          <a:noFill/>
          <a:ln>
            <a:solidFill>
              <a:sysClr val="window" lastClr="FFFFFF">
                <a:lumMod val="8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878610143"/>
        <c:crosses val="max"/>
        <c:crossBetween val="between"/>
        <c:majorUnit val="10"/>
      </c:valAx>
      <c:catAx>
        <c:axId val="1878610143"/>
        <c:scaling>
          <c:orientation val="minMax"/>
        </c:scaling>
        <c:delete val="1"/>
        <c:axPos val="b"/>
        <c:numFmt formatCode="General" sourceLinked="1"/>
        <c:majorTickMark val="out"/>
        <c:minorTickMark val="none"/>
        <c:tickLblPos val="nextTo"/>
        <c:crossAx val="1878613471"/>
        <c:crosses val="autoZero"/>
        <c:auto val="1"/>
        <c:lblAlgn val="ctr"/>
        <c:lblOffset val="100"/>
        <c:noMultiLvlLbl val="0"/>
      </c:catAx>
      <c:spPr>
        <a:noFill/>
        <a:ln>
          <a:noFill/>
        </a:ln>
        <a:effectLst/>
      </c:spPr>
    </c:plotArea>
    <c:legend>
      <c:legendPos val="b"/>
      <c:layout>
        <c:manualLayout>
          <c:xMode val="edge"/>
          <c:yMode val="edge"/>
          <c:x val="0.18605797688469203"/>
          <c:y val="0.89898373983739821"/>
          <c:w val="0.62788387239209631"/>
          <c:h val="0.1010162601626016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900">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67125984251971"/>
          <c:y val="0.14854903439993566"/>
          <c:w val="0.87812464491984554"/>
          <c:h val="0.64713038027696346"/>
        </c:manualLayout>
      </c:layout>
      <c:barChart>
        <c:barDir val="col"/>
        <c:grouping val="stacked"/>
        <c:varyColors val="0"/>
        <c:ser>
          <c:idx val="0"/>
          <c:order val="0"/>
          <c:tx>
            <c:strRef>
              <c:f>'20分位'!$J$1</c:f>
              <c:strCache>
                <c:ptCount val="1"/>
                <c:pt idx="0">
                  <c:v>薪資所得占比</c:v>
                </c:pt>
              </c:strCache>
            </c:strRef>
          </c:tx>
          <c:spPr>
            <a:solidFill>
              <a:schemeClr val="bg2">
                <a:lumMod val="75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'20分位'!$A$21:$A$24</c:f>
              <c:strCache>
                <c:ptCount val="4"/>
                <c:pt idx="0">
                  <c:v>所得前5％報稅戶</c:v>
                </c:pt>
                <c:pt idx="1">
                  <c:v>所得前10％報稅戶</c:v>
                </c:pt>
                <c:pt idx="2">
                  <c:v>所得前20％報稅戶</c:v>
                </c:pt>
                <c:pt idx="3">
                  <c:v>全體報稅戶</c:v>
                </c:pt>
              </c:strCache>
            </c:strRef>
          </c:cat>
          <c:val>
            <c:numRef>
              <c:f>'20分位'!$J$21:$J$24</c:f>
              <c:numCache>
                <c:formatCode>0.00</c:formatCode>
                <c:ptCount val="4"/>
                <c:pt idx="0">
                  <c:v>60.323109340578554</c:v>
                </c:pt>
                <c:pt idx="1">
                  <c:v>64.653263950236763</c:v>
                </c:pt>
                <c:pt idx="2">
                  <c:v>67.685369201738709</c:v>
                </c:pt>
                <c:pt idx="3">
                  <c:v>71.033869362220528</c:v>
                </c:pt>
              </c:numCache>
            </c:numRef>
          </c:val>
          <c:extLst>
            <c:ext xmlns:c16="http://schemas.microsoft.com/office/drawing/2014/chart" uri="{C3380CC4-5D6E-409C-BE32-E72D297353CC}">
              <c16:uniqueId val="{00000000-11CE-4A0F-96CB-73071E2CA286}"/>
            </c:ext>
          </c:extLst>
        </c:ser>
        <c:ser>
          <c:idx val="1"/>
          <c:order val="1"/>
          <c:tx>
            <c:strRef>
              <c:f>'20分位'!$K$1</c:f>
              <c:strCache>
                <c:ptCount val="1"/>
                <c:pt idx="0">
                  <c:v>資本所得占比</c:v>
                </c:pt>
              </c:strCache>
            </c:strRef>
          </c:tx>
          <c:spPr>
            <a:pattFill prst="wdDnDiag">
              <a:fgClr>
                <a:sysClr val="window" lastClr="FFFFFF">
                  <a:lumMod val="75000"/>
                </a:sysClr>
              </a:fgClr>
              <a:bgClr>
                <a:sysClr val="window" lastClr="FFFFFF"/>
              </a:bgClr>
            </a:patt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'20分位'!$A$21:$A$24</c:f>
              <c:strCache>
                <c:ptCount val="4"/>
                <c:pt idx="0">
                  <c:v>所得前5％報稅戶</c:v>
                </c:pt>
                <c:pt idx="1">
                  <c:v>所得前10％報稅戶</c:v>
                </c:pt>
                <c:pt idx="2">
                  <c:v>所得前20％報稅戶</c:v>
                </c:pt>
                <c:pt idx="3">
                  <c:v>全體報稅戶</c:v>
                </c:pt>
              </c:strCache>
            </c:strRef>
          </c:cat>
          <c:val>
            <c:numRef>
              <c:f>'20分位'!$K$21:$K$24</c:f>
              <c:numCache>
                <c:formatCode>0.00</c:formatCode>
                <c:ptCount val="4"/>
                <c:pt idx="0">
                  <c:v>30.569700224068953</c:v>
                </c:pt>
                <c:pt idx="1">
                  <c:v>26.70625396839203</c:v>
                </c:pt>
                <c:pt idx="2">
                  <c:v>23.956738981641646</c:v>
                </c:pt>
                <c:pt idx="3">
                  <c:v>20.920478119465916</c:v>
                </c:pt>
              </c:numCache>
            </c:numRef>
          </c:val>
          <c:extLst>
            <c:ext xmlns:c16="http://schemas.microsoft.com/office/drawing/2014/chart" uri="{C3380CC4-5D6E-409C-BE32-E72D297353CC}">
              <c16:uniqueId val="{00000001-11CE-4A0F-96CB-73071E2CA286}"/>
            </c:ext>
          </c:extLst>
        </c:ser>
        <c:ser>
          <c:idx val="2"/>
          <c:order val="2"/>
          <c:tx>
            <c:strRef>
              <c:f>'20分位'!$L$1</c:f>
              <c:strCache>
                <c:ptCount val="1"/>
                <c:pt idx="0">
                  <c:v>其他所得占比</c:v>
                </c:pt>
              </c:strCache>
            </c:strRef>
          </c:tx>
          <c:spPr>
            <a:solidFill>
              <a:schemeClr val="bg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'20分位'!$A$21:$A$24</c:f>
              <c:strCache>
                <c:ptCount val="4"/>
                <c:pt idx="0">
                  <c:v>所得前5％報稅戶</c:v>
                </c:pt>
                <c:pt idx="1">
                  <c:v>所得前10％報稅戶</c:v>
                </c:pt>
                <c:pt idx="2">
                  <c:v>所得前20％報稅戶</c:v>
                </c:pt>
                <c:pt idx="3">
                  <c:v>全體報稅戶</c:v>
                </c:pt>
              </c:strCache>
            </c:strRef>
          </c:cat>
          <c:val>
            <c:numRef>
              <c:f>'20分位'!$L$21:$L$24</c:f>
              <c:numCache>
                <c:formatCode>0.00</c:formatCode>
                <c:ptCount val="4"/>
                <c:pt idx="0">
                  <c:v>9.1071904353524999</c:v>
                </c:pt>
                <c:pt idx="1">
                  <c:v>8.6404820813712142</c:v>
                </c:pt>
                <c:pt idx="2">
                  <c:v>8.3578918166196416</c:v>
                </c:pt>
                <c:pt idx="3">
                  <c:v>8.0456525183135597</c:v>
                </c:pt>
              </c:numCache>
            </c:numRef>
          </c:val>
          <c:extLst>
            <c:ext xmlns:c16="http://schemas.microsoft.com/office/drawing/2014/chart" uri="{C3380CC4-5D6E-409C-BE32-E72D297353CC}">
              <c16:uniqueId val="{00000002-11CE-4A0F-96CB-73071E2CA286}"/>
            </c:ext>
          </c:extLst>
        </c:ser>
        <c:dLbls>
          <c:dLblPos val="ctr"/>
          <c:showLegendKey val="0"/>
          <c:showVal val="1"/>
          <c:showCatName val="0"/>
          <c:showSerName val="0"/>
          <c:showPercent val="0"/>
          <c:showBubbleSize val="0"/>
        </c:dLbls>
        <c:gapWidth val="150"/>
        <c:overlap val="100"/>
        <c:axId val="862640192"/>
        <c:axId val="862635200"/>
      </c:barChart>
      <c:catAx>
        <c:axId val="862640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862635200"/>
        <c:crosses val="autoZero"/>
        <c:auto val="1"/>
        <c:lblAlgn val="ctr"/>
        <c:lblOffset val="100"/>
        <c:noMultiLvlLbl val="0"/>
      </c:catAx>
      <c:valAx>
        <c:axId val="862635200"/>
        <c:scaling>
          <c:orientation val="minMax"/>
          <c:max val="100"/>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3.1944366329208849E-2"/>
              <c:y val="5.9225689427074525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out"/>
        <c:minorTickMark val="none"/>
        <c:tickLblPos val="nextTo"/>
        <c:spPr>
          <a:noFill/>
          <a:ln>
            <a:solidFill>
              <a:sysClr val="window" lastClr="FFFFFF">
                <a:lumMod val="85000"/>
              </a:sys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862640192"/>
        <c:crosses val="autoZero"/>
        <c:crossBetween val="between"/>
      </c:valAx>
      <c:spPr>
        <a:noFill/>
        <a:ln>
          <a:noFill/>
        </a:ln>
        <a:effectLst/>
      </c:spPr>
    </c:plotArea>
    <c:legend>
      <c:legendPos val="b"/>
      <c:layout>
        <c:manualLayout>
          <c:xMode val="edge"/>
          <c:yMode val="edge"/>
          <c:x val="0.19227777777777777"/>
          <c:y val="0.90497131931166352"/>
          <c:w val="0.621"/>
          <c:h val="9.502868068833651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1025211741197822"/>
          <c:y val="9.6870748299319728E-2"/>
          <c:w val="0.65049128474325324"/>
          <c:h val="0.85632932048117461"/>
        </c:manualLayout>
      </c:layout>
      <c:barChart>
        <c:barDir val="bar"/>
        <c:grouping val="clustered"/>
        <c:varyColors val="0"/>
        <c:ser>
          <c:idx val="0"/>
          <c:order val="0"/>
          <c:spPr>
            <a:solidFill>
              <a:sysClr val="window" lastClr="FFFFFF">
                <a:lumMod val="50000"/>
              </a:sys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工作表1!$A$2:$A$30</c:f>
              <c:strCache>
                <c:ptCount val="29"/>
                <c:pt idx="0">
                  <c:v>原子能委員會</c:v>
                </c:pt>
                <c:pt idx="1">
                  <c:v>國發會</c:v>
                </c:pt>
                <c:pt idx="2">
                  <c:v>外交部</c:v>
                </c:pt>
                <c:pt idx="3">
                  <c:v>僑務委員會</c:v>
                </c:pt>
                <c:pt idx="4">
                  <c:v>數位發展部</c:v>
                </c:pt>
                <c:pt idx="5">
                  <c:v>大陸委員會</c:v>
                </c:pt>
                <c:pt idx="6">
                  <c:v>原住民族委員會</c:v>
                </c:pt>
                <c:pt idx="7">
                  <c:v>海洋委員會</c:v>
                </c:pt>
                <c:pt idx="8">
                  <c:v>中央銀行</c:v>
                </c:pt>
                <c:pt idx="9">
                  <c:v>國防部</c:v>
                </c:pt>
                <c:pt idx="10">
                  <c:v>法務部</c:v>
                </c:pt>
                <c:pt idx="11">
                  <c:v>行政院人事行政總處</c:v>
                </c:pt>
                <c:pt idx="12">
                  <c:v>公平交易委員會</c:v>
                </c:pt>
                <c:pt idx="13">
                  <c:v>工程會</c:v>
                </c:pt>
                <c:pt idx="14">
                  <c:v>國軍退除役官兵輔導委員會</c:v>
                </c:pt>
                <c:pt idx="15">
                  <c:v>國家通訊傳播委員會</c:v>
                </c:pt>
                <c:pt idx="16">
                  <c:v>行政院主計總處</c:v>
                </c:pt>
                <c:pt idx="17">
                  <c:v>交通部</c:v>
                </c:pt>
                <c:pt idx="18">
                  <c:v>教育部</c:v>
                </c:pt>
                <c:pt idx="19">
                  <c:v>衛生福利部</c:v>
                </c:pt>
                <c:pt idx="20">
                  <c:v>環境部</c:v>
                </c:pt>
                <c:pt idx="21">
                  <c:v>國家科學及技術委員會</c:v>
                </c:pt>
                <c:pt idx="22">
                  <c:v>勞動部</c:v>
                </c:pt>
                <c:pt idx="23">
                  <c:v>文化部</c:v>
                </c:pt>
                <c:pt idx="24">
                  <c:v>農業部</c:v>
                </c:pt>
                <c:pt idx="25">
                  <c:v>經濟部</c:v>
                </c:pt>
                <c:pt idx="26">
                  <c:v>內政部</c:v>
                </c:pt>
                <c:pt idx="27">
                  <c:v>金管會</c:v>
                </c:pt>
                <c:pt idx="28">
                  <c:v>財政部</c:v>
                </c:pt>
              </c:strCache>
            </c:strRef>
          </c:cat>
          <c:val>
            <c:numRef>
              <c:f>工作表1!$B$2:$B$30</c:f>
              <c:numCache>
                <c:formatCode>General</c:formatCode>
                <c:ptCount val="29"/>
                <c:pt idx="0">
                  <c:v>1</c:v>
                </c:pt>
                <c:pt idx="1">
                  <c:v>1</c:v>
                </c:pt>
                <c:pt idx="2">
                  <c:v>4</c:v>
                </c:pt>
                <c:pt idx="3">
                  <c:v>4</c:v>
                </c:pt>
                <c:pt idx="4">
                  <c:v>4</c:v>
                </c:pt>
                <c:pt idx="5">
                  <c:v>5</c:v>
                </c:pt>
                <c:pt idx="6">
                  <c:v>6</c:v>
                </c:pt>
                <c:pt idx="7">
                  <c:v>9</c:v>
                </c:pt>
                <c:pt idx="8">
                  <c:v>11</c:v>
                </c:pt>
                <c:pt idx="9">
                  <c:v>11</c:v>
                </c:pt>
                <c:pt idx="10">
                  <c:v>12</c:v>
                </c:pt>
                <c:pt idx="11">
                  <c:v>13</c:v>
                </c:pt>
                <c:pt idx="12">
                  <c:v>18</c:v>
                </c:pt>
                <c:pt idx="13">
                  <c:v>24</c:v>
                </c:pt>
                <c:pt idx="14">
                  <c:v>25</c:v>
                </c:pt>
                <c:pt idx="15">
                  <c:v>31</c:v>
                </c:pt>
                <c:pt idx="16">
                  <c:v>41</c:v>
                </c:pt>
                <c:pt idx="17">
                  <c:v>43</c:v>
                </c:pt>
                <c:pt idx="18">
                  <c:v>55</c:v>
                </c:pt>
                <c:pt idx="19">
                  <c:v>67</c:v>
                </c:pt>
                <c:pt idx="20">
                  <c:v>68</c:v>
                </c:pt>
                <c:pt idx="21">
                  <c:v>70</c:v>
                </c:pt>
                <c:pt idx="22">
                  <c:v>102</c:v>
                </c:pt>
                <c:pt idx="23">
                  <c:v>104</c:v>
                </c:pt>
                <c:pt idx="24">
                  <c:v>110</c:v>
                </c:pt>
                <c:pt idx="25">
                  <c:v>134</c:v>
                </c:pt>
                <c:pt idx="26">
                  <c:v>179</c:v>
                </c:pt>
                <c:pt idx="27">
                  <c:v>318</c:v>
                </c:pt>
                <c:pt idx="28">
                  <c:v>362</c:v>
                </c:pt>
              </c:numCache>
            </c:numRef>
          </c:val>
          <c:extLst>
            <c:ext xmlns:c16="http://schemas.microsoft.com/office/drawing/2014/chart" uri="{C3380CC4-5D6E-409C-BE32-E72D297353CC}">
              <c16:uniqueId val="{00000000-8039-4B2B-A2D3-E128B818E9CB}"/>
            </c:ext>
          </c:extLst>
        </c:ser>
        <c:dLbls>
          <c:dLblPos val="outEnd"/>
          <c:showLegendKey val="0"/>
          <c:showVal val="1"/>
          <c:showCatName val="0"/>
          <c:showSerName val="0"/>
          <c:showPercent val="0"/>
          <c:showBubbleSize val="0"/>
        </c:dLbls>
        <c:gapWidth val="182"/>
        <c:axId val="1122661263"/>
        <c:axId val="1122660431"/>
      </c:barChart>
      <c:catAx>
        <c:axId val="112266126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22660431"/>
        <c:crosses val="autoZero"/>
        <c:auto val="1"/>
        <c:lblAlgn val="ctr"/>
        <c:lblOffset val="100"/>
        <c:noMultiLvlLbl val="0"/>
      </c:catAx>
      <c:valAx>
        <c:axId val="1122660431"/>
        <c:scaling>
          <c:orientation val="minMax"/>
        </c:scaling>
        <c:delete val="0"/>
        <c:axPos val="b"/>
        <c:majorGridlines>
          <c:spPr>
            <a:ln w="9525" cap="flat" cmpd="sng" algn="ctr">
              <a:noFill/>
              <a:round/>
            </a:ln>
            <a:effectLst/>
          </c:spPr>
        </c:majorGridlines>
        <c:numFmt formatCode="General" sourceLinked="1"/>
        <c:majorTickMark val="in"/>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12266126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i="0" u="none" strike="noStrike" baseline="0">
                <a:solidFill>
                  <a:schemeClr val="tx1"/>
                </a:solidFill>
                <a:effectLst/>
              </a:rPr>
              <a:t>7</a:t>
            </a:r>
            <a:r>
              <a:rPr lang="zh-TW" altLang="zh-TW" sz="1200" b="1" i="0" u="none" strike="noStrike" baseline="0">
                <a:effectLst/>
              </a:rPr>
              <a:t>　</a:t>
            </a:r>
            <a:r>
              <a:rPr lang="zh-TW" altLang="en-US" sz="1200" b="1">
                <a:solidFill>
                  <a:sysClr val="windowText" lastClr="000000"/>
                </a:solidFill>
                <a:latin typeface="標楷體" panose="03000509000000000000" pitchFamily="65" charset="-120"/>
                <a:ea typeface="標楷體" panose="03000509000000000000" pitchFamily="65" charset="-120"/>
              </a:rPr>
              <a:t>我國技術輸入及輸出貿易情形</a:t>
            </a:r>
          </a:p>
        </c:rich>
      </c:tx>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lineChart>
        <c:grouping val="standard"/>
        <c:varyColors val="0"/>
        <c:ser>
          <c:idx val="0"/>
          <c:order val="0"/>
          <c:tx>
            <c:strRef>
              <c:f>技術輸出及輸入!$B$1</c:f>
              <c:strCache>
                <c:ptCount val="1"/>
                <c:pt idx="0">
                  <c:v>技術輸入</c:v>
                </c:pt>
              </c:strCache>
            </c:strRef>
          </c:tx>
          <c:spPr>
            <a:ln w="28575" cap="rnd">
              <a:solidFill>
                <a:srgbClr val="7F7F7F"/>
              </a:solidFill>
              <a:round/>
            </a:ln>
            <a:effectLst/>
          </c:spPr>
          <c:marker>
            <c:symbol val="square"/>
            <c:size val="7"/>
            <c:spPr>
              <a:solidFill>
                <a:srgbClr val="7F7F7F"/>
              </a:solidFill>
              <a:ln w="9525">
                <a:solidFill>
                  <a:srgbClr val="7F7F7F"/>
                </a:solidFill>
              </a:ln>
              <a:effectLst/>
            </c:spPr>
          </c:marker>
          <c:cat>
            <c:numRef>
              <c:f>技術輸出及輸入!$A$2:$A$9</c:f>
              <c:numCache>
                <c:formatCode>General</c:formatCode>
                <c:ptCount val="8"/>
                <c:pt idx="0">
                  <c:v>102</c:v>
                </c:pt>
                <c:pt idx="1">
                  <c:v>103</c:v>
                </c:pt>
                <c:pt idx="2">
                  <c:v>104</c:v>
                </c:pt>
                <c:pt idx="3">
                  <c:v>106</c:v>
                </c:pt>
                <c:pt idx="4">
                  <c:v>107</c:v>
                </c:pt>
                <c:pt idx="5">
                  <c:v>108</c:v>
                </c:pt>
                <c:pt idx="6">
                  <c:v>109</c:v>
                </c:pt>
                <c:pt idx="7">
                  <c:v>111</c:v>
                </c:pt>
              </c:numCache>
            </c:numRef>
          </c:cat>
          <c:val>
            <c:numRef>
              <c:f>技術輸出及輸入!$B$2:$B$9</c:f>
              <c:numCache>
                <c:formatCode>#,##0_);[Red]\(#,##0\)</c:formatCode>
                <c:ptCount val="8"/>
                <c:pt idx="0">
                  <c:v>151302.177</c:v>
                </c:pt>
                <c:pt idx="1">
                  <c:v>163193.64300000001</c:v>
                </c:pt>
                <c:pt idx="2">
                  <c:v>160126.53900000002</c:v>
                </c:pt>
                <c:pt idx="3">
                  <c:v>79081.198000000004</c:v>
                </c:pt>
                <c:pt idx="4">
                  <c:v>60625.172999999995</c:v>
                </c:pt>
                <c:pt idx="5">
                  <c:v>55334.486999999994</c:v>
                </c:pt>
                <c:pt idx="6">
                  <c:v>61083.560000000005</c:v>
                </c:pt>
                <c:pt idx="7">
                  <c:v>59316</c:v>
                </c:pt>
              </c:numCache>
            </c:numRef>
          </c:val>
          <c:smooth val="0"/>
          <c:extLst>
            <c:ext xmlns:c16="http://schemas.microsoft.com/office/drawing/2014/chart" uri="{C3380CC4-5D6E-409C-BE32-E72D297353CC}">
              <c16:uniqueId val="{00000000-665D-4275-86C2-535DE3AA7CCF}"/>
            </c:ext>
          </c:extLst>
        </c:ser>
        <c:ser>
          <c:idx val="1"/>
          <c:order val="1"/>
          <c:tx>
            <c:strRef>
              <c:f>技術輸出及輸入!$C$1</c:f>
              <c:strCache>
                <c:ptCount val="1"/>
                <c:pt idx="0">
                  <c:v>技術輸出</c:v>
                </c:pt>
              </c:strCache>
            </c:strRef>
          </c:tx>
          <c:spPr>
            <a:ln w="28575" cap="rnd">
              <a:solidFill>
                <a:sysClr val="window" lastClr="FFFFFF">
                  <a:lumMod val="85000"/>
                </a:sysClr>
              </a:solidFill>
              <a:round/>
            </a:ln>
            <a:effectLst/>
          </c:spPr>
          <c:marker>
            <c:symbol val="circle"/>
            <c:size val="7"/>
            <c:spPr>
              <a:solidFill>
                <a:sysClr val="window" lastClr="FFFFFF">
                  <a:lumMod val="85000"/>
                </a:sysClr>
              </a:solidFill>
              <a:ln w="9525">
                <a:solidFill>
                  <a:sysClr val="window" lastClr="FFFFFF">
                    <a:lumMod val="85000"/>
                    <a:alpha val="90000"/>
                  </a:sysClr>
                </a:solidFill>
              </a:ln>
              <a:effectLst/>
            </c:spPr>
          </c:marker>
          <c:cat>
            <c:numRef>
              <c:f>技術輸出及輸入!$A$2:$A$9</c:f>
              <c:numCache>
                <c:formatCode>General</c:formatCode>
                <c:ptCount val="8"/>
                <c:pt idx="0">
                  <c:v>102</c:v>
                </c:pt>
                <c:pt idx="1">
                  <c:v>103</c:v>
                </c:pt>
                <c:pt idx="2">
                  <c:v>104</c:v>
                </c:pt>
                <c:pt idx="3">
                  <c:v>106</c:v>
                </c:pt>
                <c:pt idx="4">
                  <c:v>107</c:v>
                </c:pt>
                <c:pt idx="5">
                  <c:v>108</c:v>
                </c:pt>
                <c:pt idx="6">
                  <c:v>109</c:v>
                </c:pt>
                <c:pt idx="7">
                  <c:v>111</c:v>
                </c:pt>
              </c:numCache>
            </c:numRef>
          </c:cat>
          <c:val>
            <c:numRef>
              <c:f>技術輸出及輸入!$C$2:$C$9</c:f>
              <c:numCache>
                <c:formatCode>#,##0_);[Red]\(#,##0\)</c:formatCode>
                <c:ptCount val="8"/>
                <c:pt idx="0">
                  <c:v>30794.281000000003</c:v>
                </c:pt>
                <c:pt idx="1">
                  <c:v>34425.122000000003</c:v>
                </c:pt>
                <c:pt idx="2">
                  <c:v>36722.306000000004</c:v>
                </c:pt>
                <c:pt idx="3">
                  <c:v>42585.701000000001</c:v>
                </c:pt>
                <c:pt idx="4">
                  <c:v>46960.414000000004</c:v>
                </c:pt>
                <c:pt idx="5">
                  <c:v>44662.586000000003</c:v>
                </c:pt>
                <c:pt idx="6">
                  <c:v>45951.534999999996</c:v>
                </c:pt>
                <c:pt idx="7">
                  <c:v>61302</c:v>
                </c:pt>
              </c:numCache>
            </c:numRef>
          </c:val>
          <c:smooth val="0"/>
          <c:extLst>
            <c:ext xmlns:c16="http://schemas.microsoft.com/office/drawing/2014/chart" uri="{C3380CC4-5D6E-409C-BE32-E72D297353CC}">
              <c16:uniqueId val="{00000001-665D-4275-86C2-535DE3AA7CCF}"/>
            </c:ext>
          </c:extLst>
        </c:ser>
        <c:dLbls>
          <c:showLegendKey val="0"/>
          <c:showVal val="0"/>
          <c:showCatName val="0"/>
          <c:showSerName val="0"/>
          <c:showPercent val="0"/>
          <c:showBubbleSize val="0"/>
        </c:dLbls>
        <c:marker val="1"/>
        <c:smooth val="0"/>
        <c:axId val="1945593055"/>
        <c:axId val="1945600959"/>
      </c:lineChart>
      <c:catAx>
        <c:axId val="194559305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945600959"/>
        <c:crosses val="autoZero"/>
        <c:auto val="1"/>
        <c:lblAlgn val="ctr"/>
        <c:lblOffset val="100"/>
        <c:noMultiLvlLbl val="0"/>
      </c:catAx>
      <c:valAx>
        <c:axId val="1945600959"/>
        <c:scaling>
          <c:orientation val="minMax"/>
        </c:scaling>
        <c:delete val="0"/>
        <c:axPos val="l"/>
        <c:numFmt formatCode="#,##0_);[Red]\(#,##0\)" sourceLinked="1"/>
        <c:majorTickMark val="in"/>
        <c:minorTickMark val="none"/>
        <c:tickLblPos val="nextTo"/>
        <c:spPr>
          <a:noFill/>
          <a:ln>
            <a:solidFill>
              <a:prstClr val="black"/>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945593055"/>
        <c:crosses val="autoZero"/>
        <c:crossBetween val="between"/>
        <c:majorUnit val="40000"/>
      </c:val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nSpc>
                <a:spcPts val="1440"/>
              </a:lnSpc>
              <a:defRPr sz="1200" b="1" i="0" u="none" strike="noStrike" kern="1200" cap="all" spc="50" baseline="0">
                <a:solidFill>
                  <a:schemeClr val="tx1"/>
                </a:solidFill>
                <a:latin typeface="標楷體" panose="03000509000000000000" pitchFamily="65" charset="-120"/>
                <a:ea typeface="標楷體" panose="03000509000000000000" pitchFamily="65" charset="-120"/>
                <a:cs typeface="+mn-cs"/>
              </a:defRPr>
            </a:pPr>
            <a:r>
              <a:rPr lang="zh-TW"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8</a:t>
            </a:r>
            <a:r>
              <a:rPr lang="zh-TW" altLang="zh-TW" sz="1200" b="1" i="0" u="none" strike="noStrike" cap="all" baseline="0">
                <a:solidFill>
                  <a:schemeClr val="tx1"/>
                </a:solidFill>
                <a:effectLst/>
              </a:rPr>
              <a:t>　</a:t>
            </a:r>
            <a:r>
              <a:rPr lang="en-US" altLang="zh-TW" sz="1200" b="1">
                <a:solidFill>
                  <a:schemeClr val="tx1"/>
                </a:solidFill>
                <a:latin typeface="標楷體" panose="03000509000000000000" pitchFamily="65" charset="-120"/>
                <a:ea typeface="標楷體" panose="03000509000000000000" pitchFamily="65" charset="-120"/>
              </a:rPr>
              <a:t>111</a:t>
            </a:r>
            <a:r>
              <a:rPr lang="zh-TW" altLang="en-US" sz="1200" b="1">
                <a:solidFill>
                  <a:schemeClr val="tx1"/>
                </a:solidFill>
                <a:latin typeface="標楷體" panose="03000509000000000000" pitchFamily="65" charset="-120"/>
                <a:ea typeface="標楷體" panose="03000509000000000000" pitchFamily="65" charset="-120"/>
              </a:rPr>
              <a:t>年度技術輸入來源國分布</a:t>
            </a:r>
            <a:endParaRPr lang="zh-TW" sz="1200" b="1">
              <a:solidFill>
                <a:schemeClr val="tx1"/>
              </a:solidFill>
              <a:latin typeface="標楷體" panose="03000509000000000000" pitchFamily="65" charset="-120"/>
              <a:ea typeface="標楷體" panose="03000509000000000000" pitchFamily="65" charset="-120"/>
            </a:endParaRPr>
          </a:p>
        </c:rich>
      </c:tx>
      <c:layout/>
      <c:overlay val="0"/>
      <c:spPr>
        <a:noFill/>
        <a:ln>
          <a:noFill/>
        </a:ln>
        <a:effectLst/>
      </c:spPr>
      <c:txPr>
        <a:bodyPr rot="0" spcFirstLastPara="1" vertOverflow="ellipsis" vert="horz" wrap="square" anchor="ctr" anchorCtr="1"/>
        <a:lstStyle/>
        <a:p>
          <a:pPr>
            <a:lnSpc>
              <a:spcPts val="1440"/>
            </a:lnSpc>
            <a:defRPr sz="1200" b="1" i="0" u="none" strike="noStrike" kern="1200" cap="all" spc="5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pieChart>
        <c:varyColors val="1"/>
        <c:ser>
          <c:idx val="0"/>
          <c:order val="0"/>
          <c:spPr>
            <a:pattFill prst="dkVert">
              <a:fgClr>
                <a:sysClr val="windowText" lastClr="000000">
                  <a:lumMod val="50000"/>
                  <a:lumOff val="50000"/>
                </a:sysClr>
              </a:fgClr>
              <a:bgClr>
                <a:sysClr val="window" lastClr="FFFFFF"/>
              </a:bgClr>
            </a:pattFill>
            <a:ln>
              <a:noFill/>
            </a:ln>
          </c:spPr>
          <c:dPt>
            <c:idx val="0"/>
            <c:bubble3D val="0"/>
            <c:spPr>
              <a:pattFill prst="pct20">
                <a:fgClr>
                  <a:sysClr val="windowText" lastClr="000000">
                    <a:lumMod val="50000"/>
                    <a:lumOff val="50000"/>
                  </a:sysClr>
                </a:fgClr>
                <a:bgClr>
                  <a:sysClr val="window" lastClr="FFFFFF"/>
                </a:bgClr>
              </a:patt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495E-40EB-882C-FB5BF319F906}"/>
              </c:ext>
            </c:extLst>
          </c:dPt>
          <c:dPt>
            <c:idx val="1"/>
            <c:bubble3D val="0"/>
            <c:spPr>
              <a:pattFill prst="pct40">
                <a:fgClr>
                  <a:sysClr val="windowText" lastClr="000000">
                    <a:lumMod val="50000"/>
                    <a:lumOff val="50000"/>
                  </a:sysClr>
                </a:fgClr>
                <a:bgClr>
                  <a:sysClr val="window" lastClr="FFFFFF"/>
                </a:bgClr>
              </a:patt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495E-40EB-882C-FB5BF319F906}"/>
              </c:ext>
            </c:extLst>
          </c:dPt>
          <c:dPt>
            <c:idx val="2"/>
            <c:bubble3D val="0"/>
            <c:spPr>
              <a:pattFill prst="pct5">
                <a:fgClr>
                  <a:sysClr val="windowText" lastClr="000000">
                    <a:lumMod val="50000"/>
                    <a:lumOff val="50000"/>
                  </a:sysClr>
                </a:fgClr>
                <a:bgClr>
                  <a:sysClr val="window" lastClr="FFFFFF"/>
                </a:bgClr>
              </a:patt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495E-40EB-882C-FB5BF319F906}"/>
              </c:ext>
            </c:extLst>
          </c:dPt>
          <c:dLbls>
            <c:dLbl>
              <c:idx val="0"/>
              <c:layout>
                <c:manualLayout>
                  <c:x val="-0.12504246028425009"/>
                  <c:y val="-6.0790273556231074E-2"/>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58F5E69C-4A7B-4596-9F2A-CEBF26A10400}"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fld id="{61CECE3A-4D83-47DB-A82E-EE7EBEF3115D}" type="VALUE">
                      <a:rPr lang="en-US" altLang="zh-TW" b="0" baseline="0"/>
                      <a:pPr>
                        <a:defRPr b="0">
                          <a:solidFill>
                            <a:sysClr val="windowText" lastClr="000000"/>
                          </a:solidFill>
                          <a:latin typeface="標楷體" panose="03000509000000000000" pitchFamily="65" charset="-120"/>
                          <a:ea typeface="標楷體" panose="03000509000000000000" pitchFamily="65" charset="-120"/>
                        </a:defRPr>
                      </a:pPr>
                      <a:t>[值]</a:t>
                    </a:fld>
                    <a:r>
                      <a:rPr lang="en-US" altLang="zh-TW" b="0" baseline="0"/>
                      <a:t>
26.61</a:t>
                    </a:r>
                    <a:r>
                      <a:rPr lang="zh-TW" altLang="en-US" b="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495E-40EB-882C-FB5BF319F906}"/>
                </c:ext>
              </c:extLst>
            </c:dLbl>
            <c:dLbl>
              <c:idx val="1"/>
              <c:layout>
                <c:manualLayout>
                  <c:x val="8.8278769153063805E-2"/>
                  <c:y val="0.1881175508799105"/>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5D19E820-8CD3-41EE-8348-4240607547EA}"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fld id="{2E92F2BF-B68E-4A02-8F2B-041183997AA1}" type="VALUE">
                      <a:rPr lang="en-US" altLang="zh-TW" b="0" baseline="0"/>
                      <a:pPr>
                        <a:defRPr b="0">
                          <a:solidFill>
                            <a:sysClr val="windowText" lastClr="000000"/>
                          </a:solidFill>
                          <a:latin typeface="標楷體" panose="03000509000000000000" pitchFamily="65" charset="-120"/>
                          <a:ea typeface="標楷體" panose="03000509000000000000" pitchFamily="65" charset="-120"/>
                        </a:defRPr>
                      </a:pPr>
                      <a:t>[值]</a:t>
                    </a:fld>
                    <a:r>
                      <a:rPr lang="en-US" altLang="zh-TW" b="0" baseline="0"/>
                      <a:t>
48.65</a:t>
                    </a:r>
                    <a:r>
                      <a:rPr lang="zh-TW" altLang="en-US" b="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495E-40EB-882C-FB5BF319F906}"/>
                </c:ext>
              </c:extLst>
            </c:dLbl>
            <c:dLbl>
              <c:idx val="2"/>
              <c:layout>
                <c:manualLayout>
                  <c:x val="0.22290177702844566"/>
                  <c:y val="0.10942249240121581"/>
                </c:manualLayout>
              </c:layout>
              <c:tx>
                <c:rich>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3A46D0BF-EA11-4607-B967-BB37304B4A01}" type="CATEGORYNAME">
                      <a:rPr lang="zh-TW" altLang="en-US" b="0"/>
                      <a:pP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0" baseline="0"/>
                      <a:t>
</a:t>
                    </a:r>
                    <a:fld id="{33E773D7-729B-4A62-8D3A-D515DEE08596}" type="VALUE">
                      <a:rPr lang="en-US" altLang="zh-TW" b="0" baseline="0"/>
                      <a:pPr>
                        <a:defRPr b="0">
                          <a:solidFill>
                            <a:sysClr val="windowText" lastClr="000000"/>
                          </a:solidFill>
                          <a:latin typeface="標楷體" panose="03000509000000000000" pitchFamily="65" charset="-120"/>
                          <a:ea typeface="標楷體" panose="03000509000000000000" pitchFamily="65" charset="-120"/>
                        </a:defRPr>
                      </a:pPr>
                      <a:t>[值]</a:t>
                    </a:fld>
                    <a:r>
                      <a:rPr lang="en-US" altLang="zh-TW" b="0" baseline="0"/>
                      <a:t>
24.74</a:t>
                    </a:r>
                    <a:r>
                      <a:rPr lang="zh-TW" altLang="en-US" b="0"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1"/>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495E-40EB-882C-FB5BF319F90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輸入依來源國!$O$4:$Q$4</c:f>
              <c:strCache>
                <c:ptCount val="3"/>
                <c:pt idx="0">
                  <c:v>日本</c:v>
                </c:pt>
                <c:pt idx="1">
                  <c:v>美國</c:v>
                </c:pt>
                <c:pt idx="2">
                  <c:v>其他</c:v>
                </c:pt>
              </c:strCache>
            </c:strRef>
          </c:cat>
          <c:val>
            <c:numRef>
              <c:f>輸入依來源國!$O$5:$Q$5</c:f>
              <c:numCache>
                <c:formatCode>#,##0_ </c:formatCode>
                <c:ptCount val="3"/>
                <c:pt idx="0">
                  <c:v>15783</c:v>
                </c:pt>
                <c:pt idx="1">
                  <c:v>28857</c:v>
                </c:pt>
                <c:pt idx="2">
                  <c:v>14676</c:v>
                </c:pt>
              </c:numCache>
            </c:numRef>
          </c:val>
          <c:extLst>
            <c:ext xmlns:c16="http://schemas.microsoft.com/office/drawing/2014/chart" uri="{C3380CC4-5D6E-409C-BE32-E72D297353CC}">
              <c16:uniqueId val="{00000006-495E-40EB-882C-FB5BF319F906}"/>
            </c:ext>
          </c:extLst>
        </c:ser>
        <c:dLbls>
          <c:showLegendKey val="0"/>
          <c:showVal val="1"/>
          <c:showCatName val="0"/>
          <c:showSerName val="0"/>
          <c:showPercent val="0"/>
          <c:showBubbleSize val="0"/>
          <c:showLeaderLines val="1"/>
        </c:dLbls>
        <c:firstSliceAng val="222"/>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9</a:t>
            </a:r>
            <a:r>
              <a:rPr lang="zh-TW" altLang="zh-TW" sz="1200" b="1" i="0" u="none" strike="noStrike" baseline="0">
                <a:solidFill>
                  <a:srgbClr val="FF0000"/>
                </a:solidFill>
                <a:effectLst/>
              </a:rPr>
              <a:t>　</a:t>
            </a:r>
            <a:r>
              <a:rPr lang="en-US" altLang="zh-TW" sz="1200" b="1">
                <a:solidFill>
                  <a:sysClr val="windowText" lastClr="000000"/>
                </a:solidFill>
                <a:latin typeface="標楷體" panose="03000509000000000000" pitchFamily="65" charset="-120"/>
                <a:ea typeface="標楷體" panose="03000509000000000000" pitchFamily="65" charset="-120"/>
              </a:rPr>
              <a:t>111</a:t>
            </a:r>
            <a:r>
              <a:rPr lang="zh-TW" altLang="en-US" sz="1200" b="1">
                <a:solidFill>
                  <a:sysClr val="windowText" lastClr="000000"/>
                </a:solidFill>
                <a:latin typeface="標楷體" panose="03000509000000000000" pitchFamily="65" charset="-120"/>
                <a:ea typeface="標楷體" panose="03000509000000000000" pitchFamily="65" charset="-120"/>
              </a:rPr>
              <a:t>年度技術輸出目的國分布</a:t>
            </a:r>
          </a:p>
        </c:rich>
      </c:tx>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pieChart>
        <c:varyColors val="1"/>
        <c:ser>
          <c:idx val="0"/>
          <c:order val="0"/>
          <c:spPr>
            <a:solidFill>
              <a:sysClr val="windowText" lastClr="000000">
                <a:lumMod val="50000"/>
                <a:lumOff val="50000"/>
              </a:sysClr>
            </a:solidFill>
            <a:ln>
              <a:noFill/>
            </a:ln>
          </c:spPr>
          <c:dPt>
            <c:idx val="0"/>
            <c:bubble3D val="0"/>
            <c:spPr>
              <a:pattFill prst="pct75">
                <a:fgClr>
                  <a:sysClr val="windowText" lastClr="000000">
                    <a:lumMod val="50000"/>
                    <a:lumOff val="50000"/>
                  </a:sysClr>
                </a:fgClr>
                <a:bgClr>
                  <a:sysClr val="window" lastClr="FFFFFF"/>
                </a:bgClr>
              </a:pattFill>
              <a:ln w="38100">
                <a:noFill/>
              </a:ln>
              <a:effectLst/>
            </c:spPr>
            <c:extLst>
              <c:ext xmlns:c16="http://schemas.microsoft.com/office/drawing/2014/chart" uri="{C3380CC4-5D6E-409C-BE32-E72D297353CC}">
                <c16:uniqueId val="{00000001-683F-45AD-AE6D-340EF3E53B08}"/>
              </c:ext>
            </c:extLst>
          </c:dPt>
          <c:dPt>
            <c:idx val="1"/>
            <c:bubble3D val="0"/>
            <c:spPr>
              <a:pattFill prst="dashHorz">
                <a:fgClr>
                  <a:sysClr val="windowText" lastClr="000000">
                    <a:lumMod val="50000"/>
                    <a:lumOff val="50000"/>
                  </a:sysClr>
                </a:fgClr>
                <a:bgClr>
                  <a:sysClr val="window" lastClr="FFFFFF"/>
                </a:bgClr>
              </a:pattFill>
              <a:ln w="41275">
                <a:noFill/>
              </a:ln>
              <a:effectLst/>
            </c:spPr>
            <c:extLst>
              <c:ext xmlns:c16="http://schemas.microsoft.com/office/drawing/2014/chart" uri="{C3380CC4-5D6E-409C-BE32-E72D297353CC}">
                <c16:uniqueId val="{00000003-683F-45AD-AE6D-340EF3E53B08}"/>
              </c:ext>
            </c:extLst>
          </c:dPt>
          <c:dPt>
            <c:idx val="2"/>
            <c:bubble3D val="0"/>
            <c:spPr>
              <a:pattFill prst="pct30">
                <a:fgClr>
                  <a:sysClr val="windowText" lastClr="000000">
                    <a:lumMod val="50000"/>
                    <a:lumOff val="50000"/>
                  </a:sysClr>
                </a:fgClr>
                <a:bgClr>
                  <a:sysClr val="window" lastClr="FFFFFF"/>
                </a:bgClr>
              </a:pattFill>
              <a:ln w="38100">
                <a:noFill/>
              </a:ln>
              <a:effectLst/>
            </c:spPr>
            <c:extLst>
              <c:ext xmlns:c16="http://schemas.microsoft.com/office/drawing/2014/chart" uri="{C3380CC4-5D6E-409C-BE32-E72D297353CC}">
                <c16:uniqueId val="{00000005-683F-45AD-AE6D-340EF3E53B08}"/>
              </c:ext>
            </c:extLst>
          </c:dPt>
          <c:dPt>
            <c:idx val="3"/>
            <c:bubble3D val="0"/>
            <c:spPr>
              <a:pattFill prst="pct10">
                <a:fgClr>
                  <a:sysClr val="windowText" lastClr="000000">
                    <a:lumMod val="50000"/>
                    <a:lumOff val="50000"/>
                  </a:sysClr>
                </a:fgClr>
                <a:bgClr>
                  <a:sysClr val="window" lastClr="FFFFFF"/>
                </a:bgClr>
              </a:pattFill>
              <a:ln w="19050">
                <a:solidFill>
                  <a:sysClr val="window" lastClr="FFFFFF">
                    <a:lumMod val="85000"/>
                  </a:sysClr>
                </a:solidFill>
              </a:ln>
              <a:effectLst/>
            </c:spPr>
            <c:extLst>
              <c:ext xmlns:c16="http://schemas.microsoft.com/office/drawing/2014/chart" uri="{C3380CC4-5D6E-409C-BE32-E72D297353CC}">
                <c16:uniqueId val="{00000007-683F-45AD-AE6D-340EF3E53B08}"/>
              </c:ext>
            </c:extLst>
          </c:dPt>
          <c:dLbls>
            <c:dLbl>
              <c:idx val="0"/>
              <c:layout>
                <c:manualLayout>
                  <c:x val="-3.0098285202305685E-2"/>
                  <c:y val="-3.536542132976872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3A31A3A1-62C3-46FA-A9AE-842BA078F07C}" type="CATEGORYNAME">
                      <a:rPr lang="zh-TW" altLang="en-US"/>
                      <a:pPr>
                        <a:defRPr>
                          <a:latin typeface="標楷體" panose="03000509000000000000" pitchFamily="65" charset="-120"/>
                          <a:ea typeface="標楷體" panose="03000509000000000000" pitchFamily="65" charset="-120"/>
                        </a:defRPr>
                      </a:pPr>
                      <a:t>[類別名稱]</a:t>
                    </a:fld>
                    <a:r>
                      <a:rPr lang="zh-TW" altLang="en-US" baseline="0"/>
                      <a:t>
</a:t>
                    </a:r>
                    <a:fld id="{9040E5DA-A612-479B-852B-5F4F4CA36239}" type="VALUE">
                      <a:rPr lang="en-US" altLang="zh-TW" baseline="0"/>
                      <a:pPr>
                        <a:defRPr>
                          <a:latin typeface="標楷體" panose="03000509000000000000" pitchFamily="65" charset="-120"/>
                          <a:ea typeface="標楷體" panose="03000509000000000000" pitchFamily="65" charset="-120"/>
                        </a:defRPr>
                      </a:pPr>
                      <a:t>[值]</a:t>
                    </a:fld>
                    <a:r>
                      <a:rPr lang="en-US" altLang="zh-TW" baseline="0"/>
                      <a:t>
30.72</a:t>
                    </a:r>
                    <a:r>
                      <a:rPr lang="zh-TW" altLang="en-US"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1-683F-45AD-AE6D-340EF3E53B08}"/>
                </c:ext>
              </c:extLst>
            </c:dLbl>
            <c:dLbl>
              <c:idx val="1"/>
              <c:layout>
                <c:manualLayout>
                  <c:x val="3.897231359500572E-2"/>
                  <c:y val="8.522930916163364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554D0287-6D68-4782-9D64-CE962884324A}" type="CATEGORYNAME">
                      <a:rPr lang="zh-TW" altLang="en-US"/>
                      <a:pPr>
                        <a:defRPr>
                          <a:latin typeface="標楷體" panose="03000509000000000000" pitchFamily="65" charset="-120"/>
                          <a:ea typeface="標楷體" panose="03000509000000000000" pitchFamily="65" charset="-120"/>
                        </a:defRPr>
                      </a:pPr>
                      <a:t>[類別名稱]</a:t>
                    </a:fld>
                    <a:r>
                      <a:rPr lang="zh-TW" altLang="en-US" baseline="0"/>
                      <a:t>
</a:t>
                    </a:r>
                    <a:fld id="{2DEC1512-35DC-47EA-8F32-D6979AC731D2}" type="VALUE">
                      <a:rPr lang="en-US" altLang="zh-TW" baseline="0"/>
                      <a:pPr>
                        <a:defRPr>
                          <a:latin typeface="標楷體" panose="03000509000000000000" pitchFamily="65" charset="-120"/>
                          <a:ea typeface="標楷體" panose="03000509000000000000" pitchFamily="65" charset="-120"/>
                        </a:defRPr>
                      </a:pPr>
                      <a:t>[值]</a:t>
                    </a:fld>
                    <a:r>
                      <a:rPr lang="en-US" altLang="zh-TW" baseline="0"/>
                      <a:t>
36.87</a:t>
                    </a:r>
                    <a:r>
                      <a:rPr lang="zh-TW" altLang="en-US"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3-683F-45AD-AE6D-340EF3E53B08}"/>
                </c:ext>
              </c:extLst>
            </c:dLbl>
            <c:dLbl>
              <c:idx val="2"/>
              <c:layout>
                <c:manualLayout>
                  <c:x val="4.2015343402102348E-2"/>
                  <c:y val="-1.364406586723128E-2"/>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01FEAAA2-54A3-410B-B9A9-59D6748EFD1C}" type="CATEGORYNAME">
                      <a:rPr lang="zh-TW" altLang="en-US"/>
                      <a:pPr>
                        <a:defRPr>
                          <a:latin typeface="標楷體" panose="03000509000000000000" pitchFamily="65" charset="-120"/>
                          <a:ea typeface="標楷體" panose="03000509000000000000" pitchFamily="65" charset="-120"/>
                        </a:defRPr>
                      </a:pPr>
                      <a:t>[類別名稱]</a:t>
                    </a:fld>
                    <a:r>
                      <a:rPr lang="zh-TW" altLang="en-US" baseline="0"/>
                      <a:t>
</a:t>
                    </a:r>
                    <a:fld id="{A55264AD-0FA9-44AD-87D0-88DCCE7FDC0C}" type="VALUE">
                      <a:rPr lang="en-US" altLang="zh-TW" baseline="0"/>
                      <a:pPr>
                        <a:defRPr>
                          <a:latin typeface="標楷體" panose="03000509000000000000" pitchFamily="65" charset="-120"/>
                          <a:ea typeface="標楷體" panose="03000509000000000000" pitchFamily="65" charset="-120"/>
                        </a:defRPr>
                      </a:pPr>
                      <a:t>[值]</a:t>
                    </a:fld>
                    <a:r>
                      <a:rPr lang="en-US" altLang="zh-TW" baseline="0"/>
                      <a:t>
11.78</a:t>
                    </a:r>
                    <a:r>
                      <a:rPr lang="zh-TW" altLang="en-US"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683F-45AD-AE6D-340EF3E53B08}"/>
                </c:ext>
              </c:extLst>
            </c:dLbl>
            <c:dLbl>
              <c:idx val="3"/>
              <c:layout>
                <c:manualLayout>
                  <c:x val="-0.13027671355053336"/>
                  <c:y val="1.0018099206310814E-16"/>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400DE3EA-45C6-417B-8736-B09814B8786E}" type="CATEGORYNAME">
                      <a:rPr lang="zh-TW" altLang="en-US"/>
                      <a:pPr>
                        <a:defRPr>
                          <a:latin typeface="標楷體" panose="03000509000000000000" pitchFamily="65" charset="-120"/>
                          <a:ea typeface="標楷體" panose="03000509000000000000" pitchFamily="65" charset="-120"/>
                        </a:defRPr>
                      </a:pPr>
                      <a:t>[類別名稱]</a:t>
                    </a:fld>
                    <a:r>
                      <a:rPr lang="zh-TW" altLang="en-US" baseline="0"/>
                      <a:t>
</a:t>
                    </a:r>
                    <a:fld id="{DBB5F50E-1707-4F62-A039-CDAEFB2D5FF9}" type="VALUE">
                      <a:rPr lang="en-US" altLang="zh-TW" baseline="0"/>
                      <a:pPr>
                        <a:defRPr>
                          <a:latin typeface="標楷體" panose="03000509000000000000" pitchFamily="65" charset="-120"/>
                          <a:ea typeface="標楷體" panose="03000509000000000000" pitchFamily="65" charset="-120"/>
                        </a:defRPr>
                      </a:pPr>
                      <a:t>[值]</a:t>
                    </a:fld>
                    <a:r>
                      <a:rPr lang="en-US" altLang="zh-TW" baseline="0"/>
                      <a:t>
20.64</a:t>
                    </a:r>
                    <a:r>
                      <a:rPr lang="zh-TW" altLang="en-US" baseline="0"/>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683F-45AD-AE6D-340EF3E53B08}"/>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輸出國別!$B$3:$E$3</c:f>
              <c:strCache>
                <c:ptCount val="4"/>
                <c:pt idx="0">
                  <c:v>中國大陸</c:v>
                </c:pt>
                <c:pt idx="1">
                  <c:v>新加坡</c:v>
                </c:pt>
                <c:pt idx="2">
                  <c:v>美國</c:v>
                </c:pt>
                <c:pt idx="3">
                  <c:v>其他</c:v>
                </c:pt>
              </c:strCache>
            </c:strRef>
          </c:cat>
          <c:val>
            <c:numRef>
              <c:f>輸出國別!$B$4:$E$4</c:f>
              <c:numCache>
                <c:formatCode>#,##0_ </c:formatCode>
                <c:ptCount val="4"/>
                <c:pt idx="0">
                  <c:v>18829</c:v>
                </c:pt>
                <c:pt idx="1">
                  <c:v>22599</c:v>
                </c:pt>
                <c:pt idx="2">
                  <c:v>7221</c:v>
                </c:pt>
                <c:pt idx="3">
                  <c:v>12651</c:v>
                </c:pt>
              </c:numCache>
            </c:numRef>
          </c:val>
          <c:extLst>
            <c:ext xmlns:c16="http://schemas.microsoft.com/office/drawing/2014/chart" uri="{C3380CC4-5D6E-409C-BE32-E72D297353CC}">
              <c16:uniqueId val="{00000008-683F-45AD-AE6D-340EF3E53B08}"/>
            </c:ext>
          </c:extLst>
        </c:ser>
        <c:dLbls>
          <c:dLblPos val="bestFit"/>
          <c:showLegendKey val="0"/>
          <c:showVal val="1"/>
          <c:showCatName val="0"/>
          <c:showSerName val="0"/>
          <c:showPercent val="0"/>
          <c:showBubbleSize val="0"/>
          <c:showLeaderLines val="1"/>
        </c:dLbls>
        <c:firstSliceAng val="235"/>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Reversed" id="21">
  <a:schemeClr val="accent1"/>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3_3">
  <dgm:title val=""/>
  <dgm:desc val=""/>
  <dgm:catLst>
    <dgm:cat type="accent3" pri="11300"/>
  </dgm:catLst>
  <dgm:styleLbl name="node0">
    <dgm:fillClrLst meth="repeat">
      <a:schemeClr val="accent3">
        <a:shade val="80000"/>
      </a:schemeClr>
    </dgm:fillClrLst>
    <dgm:linClrLst meth="repeat">
      <a:schemeClr val="lt1"/>
    </dgm:linClrLst>
    <dgm:effectClrLst/>
    <dgm:txLinClrLst/>
    <dgm:txFillClrLst/>
    <dgm:txEffectClrLst/>
  </dgm:styleLbl>
  <dgm:styleLbl name="node1">
    <dgm:fillClrLst>
      <a:schemeClr val="accent3">
        <a:shade val="80000"/>
      </a:schemeClr>
      <a:schemeClr val="accent3">
        <a:tint val="70000"/>
      </a:schemeClr>
    </dgm:fillClrLst>
    <dgm:linClrLst meth="repeat">
      <a:schemeClr val="lt1"/>
    </dgm:linClrLst>
    <dgm:effectClrLst/>
    <dgm:txLinClrLst/>
    <dgm:txFillClrLst/>
    <dgm:txEffectClrLst/>
  </dgm:styleLbl>
  <dgm:styleLbl name="alignNode1">
    <dgm:fillClrLst>
      <a:schemeClr val="accent3">
        <a:shade val="80000"/>
      </a:schemeClr>
      <a:schemeClr val="accent3">
        <a:tint val="70000"/>
      </a:schemeClr>
    </dgm:fillClrLst>
    <dgm:linClrLst>
      <a:schemeClr val="accent3">
        <a:shade val="80000"/>
      </a:schemeClr>
      <a:schemeClr val="accent3">
        <a:tint val="70000"/>
      </a:schemeClr>
    </dgm:linClrLst>
    <dgm:effectClrLst/>
    <dgm:txLinClrLst/>
    <dgm:txFillClrLst/>
    <dgm:txEffectClrLst/>
  </dgm:styleLbl>
  <dgm:styleLbl name="lnNode1">
    <dgm:fillClrLst>
      <a:schemeClr val="accent3">
        <a:shade val="80000"/>
      </a:schemeClr>
      <a:schemeClr val="accent3">
        <a:tint val="7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tint val="70000"/>
        <a:alpha val="50000"/>
      </a:schemeClr>
    </dgm:fillClrLst>
    <dgm:linClrLst meth="repeat">
      <a:schemeClr val="lt1"/>
    </dgm:linClrLst>
    <dgm:effectClrLst/>
    <dgm:txLinClrLst/>
    <dgm:txFillClrLst/>
    <dgm:txEffectClrLst/>
  </dgm:styleLbl>
  <dgm:styleLbl name="node2">
    <dgm:fillClrLst>
      <a:schemeClr val="accent3">
        <a:tint val="99000"/>
      </a:schemeClr>
    </dgm:fillClrLst>
    <dgm:linClrLst meth="repeat">
      <a:schemeClr val="lt1"/>
    </dgm:linClrLst>
    <dgm:effectClrLst/>
    <dgm:txLinClrLst/>
    <dgm:txFillClrLst/>
    <dgm:txEffectClrLst/>
  </dgm:styleLbl>
  <dgm:styleLbl name="node3">
    <dgm:fillClrLst>
      <a:schemeClr val="accent3">
        <a:tint val="80000"/>
      </a:schemeClr>
    </dgm:fillClrLst>
    <dgm:linClrLst meth="repeat">
      <a:schemeClr val="lt1"/>
    </dgm:linClrLst>
    <dgm:effectClrLst/>
    <dgm:txLinClrLst/>
    <dgm:txFillClrLst/>
    <dgm:txEffectClrLst/>
  </dgm:styleLbl>
  <dgm:styleLbl name="node4">
    <dgm:fillClrLst>
      <a:schemeClr val="accent3">
        <a:tint val="70000"/>
      </a:schemeClr>
    </dgm:fillClrLst>
    <dgm:linClrLst meth="repeat">
      <a:schemeClr val="lt1"/>
    </dgm:linClrLst>
    <dgm:effectClrLst/>
    <dgm:txLinClrLst/>
    <dgm:txFillClrLst/>
    <dgm:txEffectClrLst/>
  </dgm:styleLbl>
  <dgm:styleLbl name="f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dgm:txEffectClrLst/>
  </dgm:styleLbl>
  <dgm:styleLbl name="f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bgSibTrans2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lt1"/>
    </dgm:txFillClrLst>
    <dgm:txEffectClrLst/>
  </dgm:styleLbl>
  <dgm:styleLbl name="sibTrans1D1">
    <dgm:fillClrLst>
      <a:schemeClr val="accent3">
        <a:shade val="90000"/>
      </a:schemeClr>
      <a:schemeClr val="accent3">
        <a:tint val="70000"/>
      </a:schemeClr>
    </dgm:fillClrLst>
    <dgm:linClrLst>
      <a:schemeClr val="accent3">
        <a:shade val="90000"/>
      </a:schemeClr>
      <a:schemeClr val="accent3">
        <a:tint val="7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shade val="80000"/>
      </a:schemeClr>
    </dgm:fillClrLst>
    <dgm:linClrLst meth="repeat">
      <a:schemeClr val="lt1"/>
    </dgm:linClrLst>
    <dgm:effectClrLst/>
    <dgm:txLinClrLst/>
    <dgm:txFillClrLst/>
    <dgm:txEffectClrLst/>
  </dgm:styleLbl>
  <dgm:styleLbl name="asst1">
    <dgm:fillClrLst meth="repeat">
      <a:schemeClr val="accent3">
        <a:shade val="80000"/>
      </a:schemeClr>
    </dgm:fillClrLst>
    <dgm:linClrLst meth="repeat">
      <a:schemeClr val="lt1"/>
    </dgm:linClrLst>
    <dgm:effectClrLst/>
    <dgm:txLinClrLst/>
    <dgm:txFillClrLst/>
    <dgm:txEffectClrLst/>
  </dgm:styleLbl>
  <dgm:styleLbl name="asst2">
    <dgm:fillClrLst>
      <a:schemeClr val="accent3">
        <a:tint val="99000"/>
      </a:schemeClr>
    </dgm:fillClrLst>
    <dgm:linClrLst meth="repeat">
      <a:schemeClr val="lt1"/>
    </dgm:linClrLst>
    <dgm:effectClrLst/>
    <dgm:txLinClrLst/>
    <dgm:txFillClrLst/>
    <dgm:txEffectClrLst/>
  </dgm:styleLbl>
  <dgm:styleLbl name="asst3">
    <dgm:fillClrLst>
      <a:schemeClr val="accent3">
        <a:tint val="80000"/>
      </a:schemeClr>
    </dgm:fillClrLst>
    <dgm:linClrLst meth="repeat">
      <a:schemeClr val="lt1"/>
    </dgm:linClrLst>
    <dgm:effectClrLst/>
    <dgm:txLinClrLst/>
    <dgm:txFillClrLst/>
    <dgm:txEffectClrLst/>
  </dgm:styleLbl>
  <dgm:styleLbl name="asst4">
    <dgm:fillClrLst>
      <a:schemeClr val="accent3">
        <a:tint val="70000"/>
      </a:schemeClr>
    </dgm:fillClrLst>
    <dgm:linClrLst meth="repeat">
      <a:schemeClr val="lt1"/>
    </dgm:linClrLst>
    <dgm:effectClrLst/>
    <dgm:txLinClrLst/>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meth="repeat">
      <a:schemeClr val="lt1"/>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lt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9000"/>
      </a:schemeClr>
    </dgm:fillClrLst>
    <dgm:linClrLst meth="repeat">
      <a:schemeClr val="accent3">
        <a:tint val="99000"/>
      </a:schemeClr>
    </dgm:linClrLst>
    <dgm:effectClrLst/>
    <dgm:txLinClrLst/>
    <dgm:txFillClrLst meth="repeat">
      <a:schemeClr val="tx1"/>
    </dgm:txFillClrLst>
    <dgm:txEffectClrLst/>
  </dgm:styleLbl>
  <dgm:styleLbl name="parChTrans1D3">
    <dgm:fillClrLst meth="repeat">
      <a:schemeClr val="accent3">
        <a:tint val="80000"/>
      </a:schemeClr>
    </dgm:fillClrLst>
    <dgm:linClrLst meth="repeat">
      <a:schemeClr val="accent3">
        <a:tint val="80000"/>
      </a:schemeClr>
    </dgm:linClrLst>
    <dgm:effectClrLst/>
    <dgm:txLinClrLst/>
    <dgm:txFillClrLst meth="repeat">
      <a:schemeClr val="tx1"/>
    </dgm:txFillClrLst>
    <dgm:txEffectClrLst/>
  </dgm:styleLbl>
  <dgm:styleLbl name="parChTrans1D4">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3"/>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3">
        <a:shade val="80000"/>
      </a:schemeClr>
      <a:schemeClr val="accent3">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A368A4C-FC4A-4DD7-98DA-3DEF178D8AB0}" type="doc">
      <dgm:prSet loTypeId="urn:microsoft.com/office/officeart/2005/8/layout/hierarchy3" loCatId="hierarchy" qsTypeId="urn:microsoft.com/office/officeart/2005/8/quickstyle/simple1" qsCatId="simple" csTypeId="urn:microsoft.com/office/officeart/2005/8/colors/accent3_3" csCatId="accent3" phldr="1"/>
      <dgm:spPr/>
      <dgm:t>
        <a:bodyPr/>
        <a:lstStyle/>
        <a:p>
          <a:endParaRPr lang="zh-TW" altLang="en-US"/>
        </a:p>
      </dgm:t>
    </dgm:pt>
    <dgm:pt modelId="{870ACD7B-1CDB-4139-97FF-67439615BD41}">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綜合規劃</a:t>
          </a:r>
        </a:p>
      </dgm:t>
    </dgm:pt>
    <dgm:pt modelId="{A83FB594-1256-4973-8D0D-DBDE051BE544}" type="parTrans" cxnId="{529D3DA8-BE99-4504-8F42-A5A04FF2F7F6}">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79AAB9AE-03FC-4ECF-A116-612BB3D5C896}" type="sibTrans" cxnId="{529D3DA8-BE99-4504-8F42-A5A04FF2F7F6}">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AF78E19E-334C-440D-BA8F-B7224344D33B}">
      <dgm:prSet phldrT="[文字]"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人口統計</a:t>
          </a:r>
          <a:endParaRPr lang="en-US" altLang="zh-TW" sz="900">
            <a:solidFill>
              <a:sysClr val="windowText" lastClr="000000"/>
            </a:solidFill>
            <a:latin typeface="標楷體" panose="03000509000000000000" pitchFamily="65" charset="-120"/>
            <a:ea typeface="標楷體" panose="03000509000000000000" pitchFamily="65" charset="-120"/>
          </a:endParaRPr>
        </a:p>
      </dgm:t>
    </dgm:pt>
    <dgm:pt modelId="{42766048-F3F2-4A7E-B376-8533B1156364}" type="parTrans" cxnId="{EDF7F359-4880-408F-B60B-E5B700C47550}">
      <dgm:prSet/>
      <dgm:spPr>
        <a:ln>
          <a:solidFill>
            <a:schemeClr val="bg1">
              <a:lumMod val="50000"/>
            </a:schemeClr>
          </a:solidFill>
        </a:ln>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09658C58-F432-43E5-BFF7-9B7E14DA4BDA}" type="sibTrans" cxnId="{EDF7F359-4880-408F-B60B-E5B700C47550}">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BDAB3B2E-682F-4451-801D-712D01115A62}">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教育文化</a:t>
          </a:r>
        </a:p>
      </dgm:t>
    </dgm:pt>
    <dgm:pt modelId="{2940A727-EE29-4B7B-B0F5-EEAB4D077E53}" type="parTrans" cxnId="{763118E7-2A9F-4AFE-9CA6-FAD42BCF143A}">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867FF759-8CD0-4310-B2C3-F20D2578202D}" type="sibTrans" cxnId="{763118E7-2A9F-4AFE-9CA6-FAD42BCF143A}">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B23AE7B9-C00F-42D0-A075-292F2EB6F717}">
      <dgm:prSet phldrT="[文字]" custT="1"/>
      <dgm:spPr>
        <a:ln>
          <a:solidFill>
            <a:schemeClr val="bg1">
              <a:lumMod val="50000"/>
            </a:schemeClr>
          </a:solidFill>
          <a:prstDash val="sysDot"/>
        </a:ln>
      </dgm:spPr>
      <dgm:t>
        <a:bodyPr/>
        <a:lstStyle/>
        <a:p>
          <a:pPr algn="ctr"/>
          <a:r>
            <a:rPr lang="zh-TW" altLang="en-US" sz="800">
              <a:solidFill>
                <a:sysClr val="windowText" lastClr="000000"/>
              </a:solidFill>
              <a:latin typeface="標楷體" panose="03000509000000000000" pitchFamily="65" charset="-120"/>
              <a:ea typeface="標楷體" panose="03000509000000000000" pitchFamily="65" charset="-120"/>
            </a:rPr>
            <a:t>高等教育人才培育</a:t>
          </a:r>
        </a:p>
      </dgm:t>
    </dgm:pt>
    <dgm:pt modelId="{E5A801CE-CD28-4277-B776-4283DB8F4DB3}" type="parTrans" cxnId="{03745C0A-533F-4043-BE53-8A059C9A866C}">
      <dgm:prSet/>
      <dgm:spPr>
        <a:ln>
          <a:solidFill>
            <a:schemeClr val="bg1">
              <a:lumMod val="50000"/>
            </a:schemeClr>
          </a:solidFill>
        </a:ln>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2E6F0EA0-DB43-4FED-A074-0FEE43A8B938}" type="sibTrans" cxnId="{03745C0A-533F-4043-BE53-8A059C9A866C}">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9D48CBE9-BE7F-44B4-B3C9-D495C287BCAE}">
      <dgm:prSet phldrT="[文字]"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族語師資需求</a:t>
          </a:r>
        </a:p>
      </dgm:t>
    </dgm:pt>
    <dgm:pt modelId="{93474E4E-6DFF-4BBC-B7F5-80F023F67201}" type="parTrans" cxnId="{5FA07BD0-A21D-4E1D-BE88-FC091863D2D0}">
      <dgm:prSet/>
      <dgm:spPr>
        <a:ln>
          <a:solidFill>
            <a:schemeClr val="bg1">
              <a:lumMod val="50000"/>
            </a:schemeClr>
          </a:solidFill>
        </a:ln>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0E978AC5-65AD-4445-B819-1F874A21B748}" type="sibTrans" cxnId="{5FA07BD0-A21D-4E1D-BE88-FC091863D2D0}">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72689515-9303-4884-BFA6-B2F953A77CB3}">
      <dgm:prSet phldrT="[文字]"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大專學生休退學</a:t>
          </a:r>
        </a:p>
      </dgm:t>
    </dgm:pt>
    <dgm:pt modelId="{199BAD13-CD87-463D-B49B-F9F4987D8014}" type="parTrans" cxnId="{1CBE87B3-5052-4D9E-AF9B-C5626539C613}">
      <dgm:prSet/>
      <dgm:spPr>
        <a:ln>
          <a:solidFill>
            <a:schemeClr val="bg1">
              <a:lumMod val="50000"/>
            </a:schemeClr>
          </a:solidFill>
        </a:ln>
      </dgm:spPr>
      <dgm:t>
        <a:bodyPr/>
        <a:lstStyle/>
        <a:p>
          <a:pPr algn="ctr"/>
          <a:endParaRPr lang="zh-TW" altLang="en-US" sz="1000">
            <a:solidFill>
              <a:sysClr val="windowText" lastClr="000000"/>
            </a:solidFill>
          </a:endParaRPr>
        </a:p>
      </dgm:t>
    </dgm:pt>
    <dgm:pt modelId="{424E59F4-B381-4FEF-9638-93AED9C8F210}" type="sibTrans" cxnId="{1CBE87B3-5052-4D9E-AF9B-C5626539C613}">
      <dgm:prSet/>
      <dgm:spPr/>
      <dgm:t>
        <a:bodyPr/>
        <a:lstStyle/>
        <a:p>
          <a:pPr algn="ctr"/>
          <a:endParaRPr lang="zh-TW" altLang="en-US" sz="1000">
            <a:solidFill>
              <a:sysClr val="windowText" lastClr="000000"/>
            </a:solidFill>
          </a:endParaRPr>
        </a:p>
      </dgm:t>
    </dgm:pt>
    <dgm:pt modelId="{8A45A180-EFCC-4489-A2EA-920E4252191A}">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社會福利</a:t>
          </a:r>
        </a:p>
      </dgm:t>
    </dgm:pt>
    <dgm:pt modelId="{E70BCD4B-9F60-4927-97D9-9DC5A44250F0}" type="parTrans" cxnId="{37634413-9197-4622-AFCE-887A3A33D698}">
      <dgm:prSet/>
      <dgm:spPr/>
      <dgm:t>
        <a:bodyPr/>
        <a:lstStyle/>
        <a:p>
          <a:pPr algn="ctr"/>
          <a:endParaRPr lang="zh-TW" altLang="en-US" sz="1000">
            <a:solidFill>
              <a:sysClr val="windowText" lastClr="000000"/>
            </a:solidFill>
          </a:endParaRPr>
        </a:p>
      </dgm:t>
    </dgm:pt>
    <dgm:pt modelId="{9E43F37A-7E3F-4763-977E-7717126D8466}" type="sibTrans" cxnId="{37634413-9197-4622-AFCE-887A3A33D698}">
      <dgm:prSet/>
      <dgm:spPr/>
      <dgm:t>
        <a:bodyPr/>
        <a:lstStyle/>
        <a:p>
          <a:pPr algn="ctr"/>
          <a:endParaRPr lang="zh-TW" altLang="en-US" sz="1000">
            <a:solidFill>
              <a:sysClr val="windowText" lastClr="000000"/>
            </a:solidFill>
          </a:endParaRPr>
        </a:p>
      </dgm:t>
    </dgm:pt>
    <dgm:pt modelId="{09017965-429E-45A8-9AA3-DB3FF297BC29}">
      <dgm:prSet custT="1"/>
      <dgm:spPr>
        <a:ln>
          <a:solidFill>
            <a:schemeClr val="bg1">
              <a:lumMod val="50000"/>
            </a:schemeClr>
          </a:solidFill>
          <a:prstDash val="sysDot"/>
        </a:ln>
      </dgm:spPr>
      <dgm:t>
        <a:bodyPr/>
        <a:lstStyle/>
        <a:p>
          <a:pPr algn="ctr" hangingPunct="0"/>
          <a:r>
            <a:rPr lang="zh-TW" altLang="en-US" sz="900" kern="900" spc="40" baseline="0">
              <a:solidFill>
                <a:sysClr val="windowText" lastClr="000000"/>
              </a:solidFill>
              <a:latin typeface="標楷體" panose="03000509000000000000" pitchFamily="65" charset="-120"/>
              <a:ea typeface="標楷體" panose="03000509000000000000" pitchFamily="65" charset="-120"/>
            </a:rPr>
            <a:t>文化健康站</a:t>
          </a:r>
        </a:p>
      </dgm:t>
    </dgm:pt>
    <dgm:pt modelId="{C500B29B-AD43-4E93-B1DA-7A3DB12BC0A5}" type="parTrans" cxnId="{E7691E10-8E87-490E-BA42-894256A5D0A2}">
      <dgm:prSet/>
      <dgm:spPr>
        <a:ln>
          <a:solidFill>
            <a:schemeClr val="bg1">
              <a:lumMod val="50000"/>
            </a:schemeClr>
          </a:solidFill>
        </a:ln>
      </dgm:spPr>
      <dgm:t>
        <a:bodyPr/>
        <a:lstStyle/>
        <a:p>
          <a:pPr algn="ctr"/>
          <a:endParaRPr lang="zh-TW" altLang="en-US" sz="1000">
            <a:solidFill>
              <a:sysClr val="windowText" lastClr="000000"/>
            </a:solidFill>
          </a:endParaRPr>
        </a:p>
      </dgm:t>
    </dgm:pt>
    <dgm:pt modelId="{CFFC46C4-5828-44FE-9659-6DC289B03E82}" type="sibTrans" cxnId="{E7691E10-8E87-490E-BA42-894256A5D0A2}">
      <dgm:prSet/>
      <dgm:spPr/>
      <dgm:t>
        <a:bodyPr/>
        <a:lstStyle/>
        <a:p>
          <a:pPr algn="ctr"/>
          <a:endParaRPr lang="zh-TW" altLang="en-US" sz="1000">
            <a:solidFill>
              <a:sysClr val="windowText" lastClr="000000"/>
            </a:solidFill>
          </a:endParaRPr>
        </a:p>
      </dgm:t>
    </dgm:pt>
    <dgm:pt modelId="{0BAF5D6E-BEA7-45C3-9E98-D8CEBF551A04}">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長期照顧及醫療</a:t>
          </a:r>
        </a:p>
      </dgm:t>
    </dgm:pt>
    <dgm:pt modelId="{D1D990A8-92EA-40D8-9A98-463642688B76}" type="parTrans" cxnId="{F6B7DC36-C463-40BB-B622-5AE9241D233E}">
      <dgm:prSet/>
      <dgm:spPr>
        <a:ln>
          <a:solidFill>
            <a:schemeClr val="bg1">
              <a:lumMod val="50000"/>
            </a:schemeClr>
          </a:solidFill>
        </a:ln>
      </dgm:spPr>
      <dgm:t>
        <a:bodyPr/>
        <a:lstStyle/>
        <a:p>
          <a:pPr algn="ctr"/>
          <a:endParaRPr lang="zh-TW" altLang="en-US" sz="1000">
            <a:solidFill>
              <a:sysClr val="windowText" lastClr="000000"/>
            </a:solidFill>
          </a:endParaRPr>
        </a:p>
      </dgm:t>
    </dgm:pt>
    <dgm:pt modelId="{6930AD66-F68C-4158-889F-C5FB031BA7F9}" type="sibTrans" cxnId="{F6B7DC36-C463-40BB-B622-5AE9241D233E}">
      <dgm:prSet/>
      <dgm:spPr/>
      <dgm:t>
        <a:bodyPr/>
        <a:lstStyle/>
        <a:p>
          <a:pPr algn="ctr"/>
          <a:endParaRPr lang="zh-TW" altLang="en-US" sz="1000">
            <a:solidFill>
              <a:sysClr val="windowText" lastClr="000000"/>
            </a:solidFill>
          </a:endParaRPr>
        </a:p>
      </dgm:t>
    </dgm:pt>
    <dgm:pt modelId="{2BB7C176-1DDC-4788-9225-3B972FAEBDC6}">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原家中心</a:t>
          </a:r>
        </a:p>
      </dgm:t>
    </dgm:pt>
    <dgm:pt modelId="{84B9F2F8-0E96-4299-BC66-E6C54718F830}" type="parTrans" cxnId="{C402C939-09B0-4912-BC25-4C152A0784C4}">
      <dgm:prSet/>
      <dgm:spPr>
        <a:ln>
          <a:solidFill>
            <a:schemeClr val="bg1">
              <a:lumMod val="50000"/>
            </a:schemeClr>
          </a:solidFill>
        </a:ln>
      </dgm:spPr>
      <dgm:t>
        <a:bodyPr/>
        <a:lstStyle/>
        <a:p>
          <a:pPr algn="ctr"/>
          <a:endParaRPr lang="zh-TW" altLang="en-US" sz="1000">
            <a:solidFill>
              <a:sysClr val="windowText" lastClr="000000"/>
            </a:solidFill>
          </a:endParaRPr>
        </a:p>
      </dgm:t>
    </dgm:pt>
    <dgm:pt modelId="{DCDAA529-2333-4984-9E27-D745D2E67317}" type="sibTrans" cxnId="{C402C939-09B0-4912-BC25-4C152A0784C4}">
      <dgm:prSet/>
      <dgm:spPr/>
      <dgm:t>
        <a:bodyPr/>
        <a:lstStyle/>
        <a:p>
          <a:pPr algn="ctr"/>
          <a:endParaRPr lang="zh-TW" altLang="en-US" sz="1000">
            <a:solidFill>
              <a:sysClr val="windowText" lastClr="000000"/>
            </a:solidFill>
          </a:endParaRPr>
        </a:p>
      </dgm:t>
    </dgm:pt>
    <dgm:pt modelId="{BF0B6EC8-73A0-431C-A8AE-D13D916C7317}">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經濟發展</a:t>
          </a:r>
        </a:p>
      </dgm:t>
    </dgm:pt>
    <dgm:pt modelId="{2AA8B172-22BC-4AF8-84CD-EDEBC83ED372}" type="parTrans" cxnId="{C988EED8-B418-4ACA-BC6A-E349A298EFF9}">
      <dgm:prSet/>
      <dgm:spPr/>
      <dgm:t>
        <a:bodyPr/>
        <a:lstStyle/>
        <a:p>
          <a:pPr algn="ctr"/>
          <a:endParaRPr lang="zh-TW" altLang="en-US" sz="1000">
            <a:solidFill>
              <a:sysClr val="windowText" lastClr="000000"/>
            </a:solidFill>
          </a:endParaRPr>
        </a:p>
      </dgm:t>
    </dgm:pt>
    <dgm:pt modelId="{BAFA4BE7-0833-4104-94BE-E13F36658DED}" type="sibTrans" cxnId="{C988EED8-B418-4ACA-BC6A-E349A298EFF9}">
      <dgm:prSet/>
      <dgm:spPr/>
      <dgm:t>
        <a:bodyPr/>
        <a:lstStyle/>
        <a:p>
          <a:pPr algn="ctr"/>
          <a:endParaRPr lang="zh-TW" altLang="en-US" sz="1000">
            <a:solidFill>
              <a:sysClr val="windowText" lastClr="000000"/>
            </a:solidFill>
          </a:endParaRPr>
        </a:p>
      </dgm:t>
    </dgm:pt>
    <dgm:pt modelId="{D7451759-3187-4751-B012-2E0E12BAC750}">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經濟發展</a:t>
          </a:r>
        </a:p>
      </dgm:t>
    </dgm:pt>
    <dgm:pt modelId="{5A0481D8-A768-4EE7-9B34-0AA51F176E9E}" type="parTrans" cxnId="{E98A3548-808E-415C-848A-4BECE0F90013}">
      <dgm:prSet/>
      <dgm:spPr>
        <a:ln>
          <a:solidFill>
            <a:schemeClr val="bg1">
              <a:lumMod val="50000"/>
            </a:schemeClr>
          </a:solidFill>
        </a:ln>
      </dgm:spPr>
      <dgm:t>
        <a:bodyPr/>
        <a:lstStyle/>
        <a:p>
          <a:pPr algn="ctr"/>
          <a:endParaRPr lang="zh-TW" altLang="en-US" sz="1000">
            <a:solidFill>
              <a:sysClr val="windowText" lastClr="000000"/>
            </a:solidFill>
          </a:endParaRPr>
        </a:p>
      </dgm:t>
    </dgm:pt>
    <dgm:pt modelId="{7C1C2A0A-9D4E-4080-A41B-3085ED444DFF}" type="sibTrans" cxnId="{E98A3548-808E-415C-848A-4BECE0F90013}">
      <dgm:prSet/>
      <dgm:spPr/>
      <dgm:t>
        <a:bodyPr/>
        <a:lstStyle/>
        <a:p>
          <a:pPr algn="ctr"/>
          <a:endParaRPr lang="zh-TW" altLang="en-US" sz="1000">
            <a:solidFill>
              <a:sysClr val="windowText" lastClr="000000"/>
            </a:solidFill>
          </a:endParaRPr>
        </a:p>
      </dgm:t>
    </dgm:pt>
    <dgm:pt modelId="{DD04ECFC-E093-4843-9AA3-354CCDDE5F82}">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融資貸款</a:t>
          </a:r>
        </a:p>
      </dgm:t>
    </dgm:pt>
    <dgm:pt modelId="{E422247B-50BD-48CD-9B49-5FCE48C9FDA8}" type="parTrans" cxnId="{0F382974-CD9F-48CB-8FC8-7C76702F6ED8}">
      <dgm:prSet/>
      <dgm:spPr>
        <a:ln>
          <a:solidFill>
            <a:schemeClr val="bg1">
              <a:lumMod val="50000"/>
            </a:schemeClr>
          </a:solidFill>
        </a:ln>
      </dgm:spPr>
      <dgm:t>
        <a:bodyPr/>
        <a:lstStyle/>
        <a:p>
          <a:pPr algn="ctr"/>
          <a:endParaRPr lang="zh-TW" altLang="en-US" sz="1000">
            <a:solidFill>
              <a:sysClr val="windowText" lastClr="000000"/>
            </a:solidFill>
          </a:endParaRPr>
        </a:p>
      </dgm:t>
    </dgm:pt>
    <dgm:pt modelId="{1A035B6D-52A1-4D16-A80A-844620AC85DC}" type="sibTrans" cxnId="{0F382974-CD9F-48CB-8FC8-7C76702F6ED8}">
      <dgm:prSet/>
      <dgm:spPr/>
      <dgm:t>
        <a:bodyPr/>
        <a:lstStyle/>
        <a:p>
          <a:pPr algn="ctr"/>
          <a:endParaRPr lang="zh-TW" altLang="en-US" sz="1000">
            <a:solidFill>
              <a:sysClr val="windowText" lastClr="000000"/>
            </a:solidFill>
          </a:endParaRPr>
        </a:p>
      </dgm:t>
    </dgm:pt>
    <dgm:pt modelId="{6B32737A-FC23-4494-9520-8505250F91FC}">
      <dgm:prSet phldrT="[文字]" custT="1"/>
      <dgm:spPr>
        <a:solidFill>
          <a:schemeClr val="bg1">
            <a:lumMod val="75000"/>
          </a:schemeClr>
        </a:solidFill>
      </dgm:spPr>
      <dgm:t>
        <a:bodyPr/>
        <a:lstStyle/>
        <a:p>
          <a:pPr algn="ctr"/>
          <a:r>
            <a:rPr lang="zh-TW" altLang="en-US" sz="1000">
              <a:solidFill>
                <a:schemeClr val="tx1"/>
              </a:solidFill>
              <a:latin typeface="標楷體" panose="03000509000000000000" pitchFamily="65" charset="-120"/>
              <a:ea typeface="標楷體" panose="03000509000000000000" pitchFamily="65" charset="-120"/>
            </a:rPr>
            <a:t>公共建設</a:t>
          </a:r>
        </a:p>
      </dgm:t>
    </dgm:pt>
    <dgm:pt modelId="{8FB7339C-6B93-4C01-BC36-C09AD28AB054}" type="parTrans" cxnId="{9D6DDC7C-D49C-4DE6-8359-0CD0616E0E78}">
      <dgm:prSet/>
      <dgm:spPr/>
      <dgm:t>
        <a:bodyPr/>
        <a:lstStyle/>
        <a:p>
          <a:pPr algn="ctr"/>
          <a:endParaRPr lang="zh-TW" altLang="en-US" sz="1000">
            <a:solidFill>
              <a:sysClr val="windowText" lastClr="000000"/>
            </a:solidFill>
          </a:endParaRPr>
        </a:p>
      </dgm:t>
    </dgm:pt>
    <dgm:pt modelId="{A64768EF-57C8-4E90-97A7-474C98FD5F77}" type="sibTrans" cxnId="{9D6DDC7C-D49C-4DE6-8359-0CD0616E0E78}">
      <dgm:prSet/>
      <dgm:spPr/>
      <dgm:t>
        <a:bodyPr/>
        <a:lstStyle/>
        <a:p>
          <a:pPr algn="ctr"/>
          <a:endParaRPr lang="zh-TW" altLang="en-US" sz="1000">
            <a:solidFill>
              <a:sysClr val="windowText" lastClr="000000"/>
            </a:solidFill>
          </a:endParaRPr>
        </a:p>
      </dgm:t>
    </dgm:pt>
    <dgm:pt modelId="{799BBA5A-E149-4B90-9419-FFC0C5DA2DE6}">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部落空間建置整修</a:t>
          </a:r>
        </a:p>
      </dgm:t>
    </dgm:pt>
    <dgm:pt modelId="{6002C496-0D1A-4C43-B64C-47BD37DBDCAA}" type="parTrans" cxnId="{226F19F2-BF8D-48CD-8F7B-3C01534B14B1}">
      <dgm:prSet/>
      <dgm:spPr>
        <a:ln>
          <a:solidFill>
            <a:schemeClr val="bg1">
              <a:lumMod val="50000"/>
            </a:schemeClr>
          </a:solidFill>
        </a:ln>
      </dgm:spPr>
      <dgm:t>
        <a:bodyPr/>
        <a:lstStyle/>
        <a:p>
          <a:pPr algn="ctr"/>
          <a:endParaRPr lang="zh-TW" altLang="en-US" sz="1000">
            <a:solidFill>
              <a:sysClr val="windowText" lastClr="000000"/>
            </a:solidFill>
          </a:endParaRPr>
        </a:p>
      </dgm:t>
    </dgm:pt>
    <dgm:pt modelId="{48FF33CD-07B2-477E-9F7C-C7601BFA6D51}" type="sibTrans" cxnId="{226F19F2-BF8D-48CD-8F7B-3C01534B14B1}">
      <dgm:prSet/>
      <dgm:spPr/>
      <dgm:t>
        <a:bodyPr/>
        <a:lstStyle/>
        <a:p>
          <a:pPr algn="ctr"/>
          <a:endParaRPr lang="zh-TW" altLang="en-US" sz="1000">
            <a:solidFill>
              <a:sysClr val="windowText" lastClr="000000"/>
            </a:solidFill>
          </a:endParaRPr>
        </a:p>
      </dgm:t>
    </dgm:pt>
    <dgm:pt modelId="{DD6AC9B3-DFEE-434D-8A71-FC607899114B}">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特色道路</a:t>
          </a:r>
        </a:p>
      </dgm:t>
    </dgm:pt>
    <dgm:pt modelId="{BF0BD25F-C55E-4521-B189-1A3844E9FFA1}" type="parTrans" cxnId="{88A5EBBF-C01E-4781-8A9B-0A86B13A8611}">
      <dgm:prSet/>
      <dgm:spPr>
        <a:ln>
          <a:solidFill>
            <a:schemeClr val="bg1">
              <a:lumMod val="50000"/>
            </a:schemeClr>
          </a:solidFill>
        </a:ln>
      </dgm:spPr>
      <dgm:t>
        <a:bodyPr/>
        <a:lstStyle/>
        <a:p>
          <a:pPr algn="ctr"/>
          <a:endParaRPr lang="zh-TW" altLang="en-US" sz="1000">
            <a:solidFill>
              <a:sysClr val="windowText" lastClr="000000"/>
            </a:solidFill>
          </a:endParaRPr>
        </a:p>
      </dgm:t>
    </dgm:pt>
    <dgm:pt modelId="{EC408B8F-55E8-49BF-9216-2C0BA1A35A51}" type="sibTrans" cxnId="{88A5EBBF-C01E-4781-8A9B-0A86B13A8611}">
      <dgm:prSet/>
      <dgm:spPr/>
      <dgm:t>
        <a:bodyPr/>
        <a:lstStyle/>
        <a:p>
          <a:pPr algn="ctr"/>
          <a:endParaRPr lang="zh-TW" altLang="en-US" sz="1000">
            <a:solidFill>
              <a:sysClr val="windowText" lastClr="000000"/>
            </a:solidFill>
          </a:endParaRPr>
        </a:p>
      </dgm:t>
    </dgm:pt>
    <dgm:pt modelId="{2E5C1971-5419-4B63-8860-65B975EE8D5B}">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災害風險決策</a:t>
          </a:r>
        </a:p>
      </dgm:t>
    </dgm:pt>
    <dgm:pt modelId="{C48331D1-662D-42D6-9D42-0E89C84FB42E}" type="parTrans" cxnId="{F02E4B67-558E-467F-A3CE-BD6ABE15085E}">
      <dgm:prSet/>
      <dgm:spPr>
        <a:ln>
          <a:solidFill>
            <a:schemeClr val="bg1">
              <a:lumMod val="50000"/>
            </a:schemeClr>
          </a:solidFill>
        </a:ln>
      </dgm:spPr>
      <dgm:t>
        <a:bodyPr/>
        <a:lstStyle/>
        <a:p>
          <a:pPr algn="ctr"/>
          <a:endParaRPr lang="zh-TW" altLang="en-US" sz="1000">
            <a:solidFill>
              <a:sysClr val="windowText" lastClr="000000"/>
            </a:solidFill>
          </a:endParaRPr>
        </a:p>
      </dgm:t>
    </dgm:pt>
    <dgm:pt modelId="{BAD84451-9E0F-48A9-83FA-BB642DA20340}" type="sibTrans" cxnId="{F02E4B67-558E-467F-A3CE-BD6ABE15085E}">
      <dgm:prSet/>
      <dgm:spPr/>
      <dgm:t>
        <a:bodyPr/>
        <a:lstStyle/>
        <a:p>
          <a:pPr algn="ctr"/>
          <a:endParaRPr lang="zh-TW" altLang="en-US" sz="1000">
            <a:solidFill>
              <a:sysClr val="windowText" lastClr="000000"/>
            </a:solidFill>
          </a:endParaRPr>
        </a:p>
      </dgm:t>
    </dgm:pt>
    <dgm:pt modelId="{2274CE85-039D-496B-BE1E-A10C13800296}">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土地管理</a:t>
          </a:r>
        </a:p>
      </dgm:t>
    </dgm:pt>
    <dgm:pt modelId="{B661DDA4-F86E-4844-826D-101301CD9867}" type="parTrans" cxnId="{4F223841-8859-4CDF-901D-1A76EA735387}">
      <dgm:prSet/>
      <dgm:spPr/>
      <dgm:t>
        <a:bodyPr/>
        <a:lstStyle/>
        <a:p>
          <a:pPr algn="ctr"/>
          <a:endParaRPr lang="zh-TW" altLang="en-US" sz="1000">
            <a:solidFill>
              <a:sysClr val="windowText" lastClr="000000"/>
            </a:solidFill>
          </a:endParaRPr>
        </a:p>
      </dgm:t>
    </dgm:pt>
    <dgm:pt modelId="{533F884C-51CA-4C69-BBB6-B2CAB816E897}" type="sibTrans" cxnId="{4F223841-8859-4CDF-901D-1A76EA735387}">
      <dgm:prSet/>
      <dgm:spPr/>
      <dgm:t>
        <a:bodyPr/>
        <a:lstStyle/>
        <a:p>
          <a:pPr algn="ctr"/>
          <a:endParaRPr lang="zh-TW" altLang="en-US" sz="1000">
            <a:solidFill>
              <a:sysClr val="windowText" lastClr="000000"/>
            </a:solidFill>
          </a:endParaRPr>
        </a:p>
      </dgm:t>
    </dgm:pt>
    <dgm:pt modelId="{620B5E2E-8C00-4A5B-8D04-FA72005980C5}">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保留地抵押設定</a:t>
          </a:r>
        </a:p>
      </dgm:t>
    </dgm:pt>
    <dgm:pt modelId="{AE172ECF-C7E6-4399-9DBC-674513738D06}" type="parTrans" cxnId="{458DCC06-F4DA-4AB4-BAA9-07A14762A9AB}">
      <dgm:prSet/>
      <dgm:spPr>
        <a:ln>
          <a:solidFill>
            <a:schemeClr val="bg1">
              <a:lumMod val="50000"/>
            </a:schemeClr>
          </a:solidFill>
        </a:ln>
      </dgm:spPr>
      <dgm:t>
        <a:bodyPr/>
        <a:lstStyle/>
        <a:p>
          <a:pPr algn="ctr"/>
          <a:endParaRPr lang="zh-TW" altLang="en-US" sz="1000">
            <a:solidFill>
              <a:sysClr val="windowText" lastClr="000000"/>
            </a:solidFill>
          </a:endParaRPr>
        </a:p>
      </dgm:t>
    </dgm:pt>
    <dgm:pt modelId="{E234D115-ABA2-4EFF-8D0C-38D38FDD012D}" type="sibTrans" cxnId="{458DCC06-F4DA-4AB4-BAA9-07A14762A9AB}">
      <dgm:prSet/>
      <dgm:spPr/>
      <dgm:t>
        <a:bodyPr/>
        <a:lstStyle/>
        <a:p>
          <a:pPr algn="ctr"/>
          <a:endParaRPr lang="zh-TW" altLang="en-US" sz="1000">
            <a:solidFill>
              <a:sysClr val="windowText" lastClr="000000"/>
            </a:solidFill>
          </a:endParaRPr>
        </a:p>
      </dgm:t>
    </dgm:pt>
    <dgm:pt modelId="{D3DE8774-E2CC-4778-97A6-D150AD5057B1}">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違規利用</a:t>
          </a:r>
        </a:p>
      </dgm:t>
    </dgm:pt>
    <dgm:pt modelId="{123EDC12-287B-4AE8-B942-B8311C99D231}" type="parTrans" cxnId="{A2B57B17-ABF0-4132-816E-30B0C86AB673}">
      <dgm:prSet/>
      <dgm:spPr>
        <a:ln>
          <a:solidFill>
            <a:schemeClr val="bg1">
              <a:lumMod val="50000"/>
            </a:schemeClr>
          </a:solidFill>
        </a:ln>
      </dgm:spPr>
      <dgm:t>
        <a:bodyPr/>
        <a:lstStyle/>
        <a:p>
          <a:pPr algn="ctr"/>
          <a:endParaRPr lang="zh-TW" altLang="en-US" sz="1000">
            <a:solidFill>
              <a:sysClr val="windowText" lastClr="000000"/>
            </a:solidFill>
          </a:endParaRPr>
        </a:p>
      </dgm:t>
    </dgm:pt>
    <dgm:pt modelId="{DF805BFF-A93D-4350-9F25-538B086B2E6A}" type="sibTrans" cxnId="{A2B57B17-ABF0-4132-816E-30B0C86AB673}">
      <dgm:prSet/>
      <dgm:spPr/>
      <dgm:t>
        <a:bodyPr/>
        <a:lstStyle/>
        <a:p>
          <a:pPr algn="ctr"/>
          <a:endParaRPr lang="zh-TW" altLang="en-US" sz="1000">
            <a:solidFill>
              <a:sysClr val="windowText" lastClr="000000"/>
            </a:solidFill>
          </a:endParaRPr>
        </a:p>
      </dgm:t>
    </dgm:pt>
    <dgm:pt modelId="{0215F039-CEA8-4076-B52A-659E0BC42FE9}">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原發中心</a:t>
          </a:r>
        </a:p>
      </dgm:t>
    </dgm:pt>
    <dgm:pt modelId="{9C06CFFC-1A72-4DA6-90EF-DE6C0D4AD16E}" type="parTrans" cxnId="{E494A628-7CD4-4F0E-A03B-B28C21F4E3F8}">
      <dgm:prSet/>
      <dgm:spPr/>
      <dgm:t>
        <a:bodyPr/>
        <a:lstStyle/>
        <a:p>
          <a:pPr algn="ctr"/>
          <a:endParaRPr lang="zh-TW" altLang="en-US" sz="1000">
            <a:solidFill>
              <a:sysClr val="windowText" lastClr="000000"/>
            </a:solidFill>
          </a:endParaRPr>
        </a:p>
      </dgm:t>
    </dgm:pt>
    <dgm:pt modelId="{AF026011-CEDF-4AB0-8600-FF8ECCA66944}" type="sibTrans" cxnId="{E494A628-7CD4-4F0E-A03B-B28C21F4E3F8}">
      <dgm:prSet/>
      <dgm:spPr/>
      <dgm:t>
        <a:bodyPr/>
        <a:lstStyle/>
        <a:p>
          <a:pPr algn="ctr"/>
          <a:endParaRPr lang="zh-TW" altLang="en-US" sz="1000">
            <a:solidFill>
              <a:sysClr val="windowText" lastClr="000000"/>
            </a:solidFill>
          </a:endParaRPr>
        </a:p>
      </dgm:t>
    </dgm:pt>
    <dgm:pt modelId="{0159D7C8-A064-4982-8E3B-2442EC26777A}">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園區營運</a:t>
          </a:r>
        </a:p>
      </dgm:t>
    </dgm:pt>
    <dgm:pt modelId="{75A3FAE0-F41D-4F57-B6B2-085E11B6EB8E}" type="parTrans" cxnId="{E95C48B1-C7A1-4D34-8164-21E2AEA3214C}">
      <dgm:prSet/>
      <dgm:spPr>
        <a:ln>
          <a:solidFill>
            <a:schemeClr val="bg1">
              <a:lumMod val="50000"/>
            </a:schemeClr>
          </a:solidFill>
        </a:ln>
      </dgm:spPr>
      <dgm:t>
        <a:bodyPr/>
        <a:lstStyle/>
        <a:p>
          <a:pPr algn="ctr"/>
          <a:endParaRPr lang="zh-TW" altLang="en-US" sz="1000">
            <a:solidFill>
              <a:sysClr val="windowText" lastClr="000000"/>
            </a:solidFill>
          </a:endParaRPr>
        </a:p>
      </dgm:t>
    </dgm:pt>
    <dgm:pt modelId="{442F21AC-663C-48C3-ADBB-034B4E61C44F}" type="sibTrans" cxnId="{E95C48B1-C7A1-4D34-8164-21E2AEA3214C}">
      <dgm:prSet/>
      <dgm:spPr/>
      <dgm:t>
        <a:bodyPr/>
        <a:lstStyle/>
        <a:p>
          <a:pPr algn="ctr"/>
          <a:endParaRPr lang="zh-TW" altLang="en-US" sz="1000">
            <a:solidFill>
              <a:sysClr val="windowText" lastClr="000000"/>
            </a:solidFill>
          </a:endParaRPr>
        </a:p>
      </dgm:t>
    </dgm:pt>
    <dgm:pt modelId="{89CC8B33-5381-41DE-801A-D8761CE080AB}">
      <dgm:prSet phldrT="[文字]" custT="1"/>
      <dgm:spPr>
        <a:ln>
          <a:solidFill>
            <a:schemeClr val="bg1">
              <a:lumMod val="50000"/>
            </a:schemeClr>
          </a:solidFill>
        </a:ln>
      </dgm:spPr>
      <dgm:t>
        <a:bodyPr/>
        <a:lstStyle/>
        <a:p>
          <a:pPr algn="ctr"/>
          <a:r>
            <a:rPr lang="zh-TW" altLang="en-US" sz="800">
              <a:solidFill>
                <a:sysClr val="windowText" lastClr="000000"/>
              </a:solidFill>
              <a:latin typeface="標楷體" panose="03000509000000000000" pitchFamily="65" charset="-120"/>
              <a:ea typeface="標楷體" panose="03000509000000000000" pitchFamily="65" charset="-120"/>
            </a:rPr>
            <a:t>都市原住民族發展</a:t>
          </a:r>
          <a:endParaRPr lang="en-US" altLang="zh-TW" sz="800">
            <a:solidFill>
              <a:sysClr val="windowText" lastClr="000000"/>
            </a:solidFill>
            <a:latin typeface="標楷體" panose="03000509000000000000" pitchFamily="65" charset="-120"/>
            <a:ea typeface="標楷體" panose="03000509000000000000" pitchFamily="65" charset="-120"/>
          </a:endParaRPr>
        </a:p>
      </dgm:t>
    </dgm:pt>
    <dgm:pt modelId="{3E111B50-289E-4027-BB00-D88E7E9A2D68}" type="parTrans" cxnId="{D5D41643-5D5B-491A-90F6-CB5B71E482E3}">
      <dgm:prSet/>
      <dgm:spPr>
        <a:ln>
          <a:solidFill>
            <a:schemeClr val="bg1">
              <a:lumMod val="50000"/>
            </a:schemeClr>
          </a:solidFill>
        </a:ln>
      </dgm:spPr>
      <dgm:t>
        <a:bodyPr/>
        <a:lstStyle/>
        <a:p>
          <a:pPr algn="ctr"/>
          <a:endParaRPr lang="zh-TW" altLang="en-US">
            <a:solidFill>
              <a:sysClr val="windowText" lastClr="000000"/>
            </a:solidFill>
          </a:endParaRPr>
        </a:p>
      </dgm:t>
    </dgm:pt>
    <dgm:pt modelId="{65E6431A-07B3-42FB-A5AF-5B3154B2407A}" type="sibTrans" cxnId="{D5D41643-5D5B-491A-90F6-CB5B71E482E3}">
      <dgm:prSet/>
      <dgm:spPr/>
      <dgm:t>
        <a:bodyPr/>
        <a:lstStyle/>
        <a:p>
          <a:pPr algn="ctr"/>
          <a:endParaRPr lang="zh-TW" altLang="en-US">
            <a:solidFill>
              <a:sysClr val="windowText" lastClr="000000"/>
            </a:solidFill>
          </a:endParaRPr>
        </a:p>
      </dgm:t>
    </dgm:pt>
    <dgm:pt modelId="{0BA0CA2F-383A-42AB-A7ED-D497CFB027CF}">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法律扶助</a:t>
          </a:r>
        </a:p>
      </dgm:t>
    </dgm:pt>
    <dgm:pt modelId="{7E9D3001-37C3-42C5-AF06-BF27AFF4A8DD}" type="parTrans" cxnId="{0BFFD010-C04A-498C-AFA2-D9B547911909}">
      <dgm:prSet/>
      <dgm:spPr>
        <a:ln>
          <a:solidFill>
            <a:schemeClr val="bg1">
              <a:lumMod val="50000"/>
            </a:schemeClr>
          </a:solidFill>
        </a:ln>
      </dgm:spPr>
      <dgm:t>
        <a:bodyPr/>
        <a:lstStyle/>
        <a:p>
          <a:pPr algn="ctr"/>
          <a:endParaRPr lang="zh-TW" altLang="en-US">
            <a:solidFill>
              <a:sysClr val="windowText" lastClr="000000"/>
            </a:solidFill>
          </a:endParaRPr>
        </a:p>
      </dgm:t>
    </dgm:pt>
    <dgm:pt modelId="{F9D80F13-A7FE-4847-9B13-7DAC837E55C8}" type="sibTrans" cxnId="{0BFFD010-C04A-498C-AFA2-D9B547911909}">
      <dgm:prSet/>
      <dgm:spPr/>
      <dgm:t>
        <a:bodyPr/>
        <a:lstStyle/>
        <a:p>
          <a:pPr algn="ctr"/>
          <a:endParaRPr lang="zh-TW" altLang="en-US">
            <a:solidFill>
              <a:sysClr val="windowText" lastClr="000000"/>
            </a:solidFill>
          </a:endParaRPr>
        </a:p>
      </dgm:t>
    </dgm:pt>
    <dgm:pt modelId="{2096A9D9-D807-430F-ABB4-5E99740AACB8}" type="pres">
      <dgm:prSet presAssocID="{7A368A4C-FC4A-4DD7-98DA-3DEF178D8AB0}" presName="diagram" presStyleCnt="0">
        <dgm:presLayoutVars>
          <dgm:chPref val="1"/>
          <dgm:dir/>
          <dgm:animOne val="branch"/>
          <dgm:animLvl val="lvl"/>
          <dgm:resizeHandles/>
        </dgm:presLayoutVars>
      </dgm:prSet>
      <dgm:spPr/>
      <dgm:t>
        <a:bodyPr/>
        <a:lstStyle/>
        <a:p>
          <a:endParaRPr lang="zh-TW" altLang="en-US"/>
        </a:p>
      </dgm:t>
    </dgm:pt>
    <dgm:pt modelId="{2F47282F-0EBC-410D-B136-138EB9F34FDE}" type="pres">
      <dgm:prSet presAssocID="{870ACD7B-1CDB-4139-97FF-67439615BD41}" presName="root" presStyleCnt="0"/>
      <dgm:spPr/>
      <dgm:t>
        <a:bodyPr/>
        <a:lstStyle/>
        <a:p>
          <a:endParaRPr lang="zh-TW" altLang="en-US"/>
        </a:p>
      </dgm:t>
    </dgm:pt>
    <dgm:pt modelId="{97D132F0-AEB7-410E-BB5A-40BD60F74E07}" type="pres">
      <dgm:prSet presAssocID="{870ACD7B-1CDB-4139-97FF-67439615BD41}" presName="rootComposite" presStyleCnt="0"/>
      <dgm:spPr/>
      <dgm:t>
        <a:bodyPr/>
        <a:lstStyle/>
        <a:p>
          <a:endParaRPr lang="zh-TW" altLang="en-US"/>
        </a:p>
      </dgm:t>
    </dgm:pt>
    <dgm:pt modelId="{17D3E9FC-6511-4182-A2DA-FC4D36398778}" type="pres">
      <dgm:prSet presAssocID="{870ACD7B-1CDB-4139-97FF-67439615BD41}" presName="rootText" presStyleLbl="node1" presStyleIdx="0" presStyleCnt="7"/>
      <dgm:spPr/>
      <dgm:t>
        <a:bodyPr/>
        <a:lstStyle/>
        <a:p>
          <a:endParaRPr lang="zh-TW" altLang="en-US"/>
        </a:p>
      </dgm:t>
    </dgm:pt>
    <dgm:pt modelId="{093FE340-F383-4858-8BF8-D6A95059FD70}" type="pres">
      <dgm:prSet presAssocID="{870ACD7B-1CDB-4139-97FF-67439615BD41}" presName="rootConnector" presStyleLbl="node1" presStyleIdx="0" presStyleCnt="7"/>
      <dgm:spPr/>
      <dgm:t>
        <a:bodyPr/>
        <a:lstStyle/>
        <a:p>
          <a:endParaRPr lang="zh-TW" altLang="en-US"/>
        </a:p>
      </dgm:t>
    </dgm:pt>
    <dgm:pt modelId="{4B4D244D-2C09-4BAB-B5DF-6B9A8F92FBB3}" type="pres">
      <dgm:prSet presAssocID="{870ACD7B-1CDB-4139-97FF-67439615BD41}" presName="childShape" presStyleCnt="0"/>
      <dgm:spPr/>
      <dgm:t>
        <a:bodyPr/>
        <a:lstStyle/>
        <a:p>
          <a:endParaRPr lang="zh-TW" altLang="en-US"/>
        </a:p>
      </dgm:t>
    </dgm:pt>
    <dgm:pt modelId="{83C8160E-5CB7-408F-AAF7-2F669BA99F3D}" type="pres">
      <dgm:prSet presAssocID="{42766048-F3F2-4A7E-B376-8533B1156364}" presName="Name13" presStyleLbl="parChTrans1D2" presStyleIdx="0" presStyleCnt="17"/>
      <dgm:spPr/>
      <dgm:t>
        <a:bodyPr/>
        <a:lstStyle/>
        <a:p>
          <a:endParaRPr lang="zh-TW" altLang="en-US"/>
        </a:p>
      </dgm:t>
    </dgm:pt>
    <dgm:pt modelId="{0DA66F01-8BF5-4882-900D-1951FF366619}" type="pres">
      <dgm:prSet presAssocID="{AF78E19E-334C-440D-BA8F-B7224344D33B}" presName="childText" presStyleLbl="bgAcc1" presStyleIdx="0" presStyleCnt="17">
        <dgm:presLayoutVars>
          <dgm:bulletEnabled val="1"/>
        </dgm:presLayoutVars>
      </dgm:prSet>
      <dgm:spPr/>
      <dgm:t>
        <a:bodyPr/>
        <a:lstStyle/>
        <a:p>
          <a:endParaRPr lang="zh-TW" altLang="en-US"/>
        </a:p>
      </dgm:t>
    </dgm:pt>
    <dgm:pt modelId="{77CDD573-FF34-4722-B0FD-9361068FF5E0}" type="pres">
      <dgm:prSet presAssocID="{3E111B50-289E-4027-BB00-D88E7E9A2D68}" presName="Name13" presStyleLbl="parChTrans1D2" presStyleIdx="1" presStyleCnt="17"/>
      <dgm:spPr/>
      <dgm:t>
        <a:bodyPr/>
        <a:lstStyle/>
        <a:p>
          <a:endParaRPr lang="zh-TW" altLang="en-US"/>
        </a:p>
      </dgm:t>
    </dgm:pt>
    <dgm:pt modelId="{1B351C96-EFB3-400C-B393-B414E728533B}" type="pres">
      <dgm:prSet presAssocID="{89CC8B33-5381-41DE-801A-D8761CE080AB}" presName="childText" presStyleLbl="bgAcc1" presStyleIdx="1" presStyleCnt="17">
        <dgm:presLayoutVars>
          <dgm:bulletEnabled val="1"/>
        </dgm:presLayoutVars>
      </dgm:prSet>
      <dgm:spPr/>
      <dgm:t>
        <a:bodyPr/>
        <a:lstStyle/>
        <a:p>
          <a:endParaRPr lang="zh-TW" altLang="en-US"/>
        </a:p>
      </dgm:t>
    </dgm:pt>
    <dgm:pt modelId="{FAEDB357-C62E-4082-B88A-D05B41C51293}" type="pres">
      <dgm:prSet presAssocID="{BDAB3B2E-682F-4451-801D-712D01115A62}" presName="root" presStyleCnt="0"/>
      <dgm:spPr/>
      <dgm:t>
        <a:bodyPr/>
        <a:lstStyle/>
        <a:p>
          <a:endParaRPr lang="zh-TW" altLang="en-US"/>
        </a:p>
      </dgm:t>
    </dgm:pt>
    <dgm:pt modelId="{7640B17A-0E11-4AAD-BD1A-23B8325D662F}" type="pres">
      <dgm:prSet presAssocID="{BDAB3B2E-682F-4451-801D-712D01115A62}" presName="rootComposite" presStyleCnt="0"/>
      <dgm:spPr/>
      <dgm:t>
        <a:bodyPr/>
        <a:lstStyle/>
        <a:p>
          <a:endParaRPr lang="zh-TW" altLang="en-US"/>
        </a:p>
      </dgm:t>
    </dgm:pt>
    <dgm:pt modelId="{8BFDB521-6FA0-4373-BC34-3C3F68AEB7CE}" type="pres">
      <dgm:prSet presAssocID="{BDAB3B2E-682F-4451-801D-712D01115A62}" presName="rootText" presStyleLbl="node1" presStyleIdx="1" presStyleCnt="7"/>
      <dgm:spPr/>
      <dgm:t>
        <a:bodyPr/>
        <a:lstStyle/>
        <a:p>
          <a:endParaRPr lang="zh-TW" altLang="en-US"/>
        </a:p>
      </dgm:t>
    </dgm:pt>
    <dgm:pt modelId="{2BC76193-9C77-4EFB-9781-26287179CF99}" type="pres">
      <dgm:prSet presAssocID="{BDAB3B2E-682F-4451-801D-712D01115A62}" presName="rootConnector" presStyleLbl="node1" presStyleIdx="1" presStyleCnt="7"/>
      <dgm:spPr/>
      <dgm:t>
        <a:bodyPr/>
        <a:lstStyle/>
        <a:p>
          <a:endParaRPr lang="zh-TW" altLang="en-US"/>
        </a:p>
      </dgm:t>
    </dgm:pt>
    <dgm:pt modelId="{C16484F2-3051-45EF-A8A4-83DA37BD7E88}" type="pres">
      <dgm:prSet presAssocID="{BDAB3B2E-682F-4451-801D-712D01115A62}" presName="childShape" presStyleCnt="0"/>
      <dgm:spPr/>
      <dgm:t>
        <a:bodyPr/>
        <a:lstStyle/>
        <a:p>
          <a:endParaRPr lang="zh-TW" altLang="en-US"/>
        </a:p>
      </dgm:t>
    </dgm:pt>
    <dgm:pt modelId="{98BF5B18-3A76-4B3E-8693-FCFDDC1593F6}" type="pres">
      <dgm:prSet presAssocID="{E5A801CE-CD28-4277-B776-4283DB8F4DB3}" presName="Name13" presStyleLbl="parChTrans1D2" presStyleIdx="2" presStyleCnt="17"/>
      <dgm:spPr/>
      <dgm:t>
        <a:bodyPr/>
        <a:lstStyle/>
        <a:p>
          <a:endParaRPr lang="zh-TW" altLang="en-US"/>
        </a:p>
      </dgm:t>
    </dgm:pt>
    <dgm:pt modelId="{33643173-7174-41FB-8612-659E4C9AAF1C}" type="pres">
      <dgm:prSet presAssocID="{B23AE7B9-C00F-42D0-A075-292F2EB6F717}" presName="childText" presStyleLbl="bgAcc1" presStyleIdx="2" presStyleCnt="17">
        <dgm:presLayoutVars>
          <dgm:bulletEnabled val="1"/>
        </dgm:presLayoutVars>
      </dgm:prSet>
      <dgm:spPr/>
      <dgm:t>
        <a:bodyPr/>
        <a:lstStyle/>
        <a:p>
          <a:endParaRPr lang="zh-TW" altLang="en-US"/>
        </a:p>
      </dgm:t>
    </dgm:pt>
    <dgm:pt modelId="{26B762FA-D06D-4508-90A1-F0C1F460A153}" type="pres">
      <dgm:prSet presAssocID="{93474E4E-6DFF-4BBC-B7F5-80F023F67201}" presName="Name13" presStyleLbl="parChTrans1D2" presStyleIdx="3" presStyleCnt="17"/>
      <dgm:spPr/>
      <dgm:t>
        <a:bodyPr/>
        <a:lstStyle/>
        <a:p>
          <a:endParaRPr lang="zh-TW" altLang="en-US"/>
        </a:p>
      </dgm:t>
    </dgm:pt>
    <dgm:pt modelId="{2DCDAB04-F7FF-4C41-BB0E-EDF1067952D5}" type="pres">
      <dgm:prSet presAssocID="{9D48CBE9-BE7F-44B4-B3C9-D495C287BCAE}" presName="childText" presStyleLbl="bgAcc1" presStyleIdx="3" presStyleCnt="17">
        <dgm:presLayoutVars>
          <dgm:bulletEnabled val="1"/>
        </dgm:presLayoutVars>
      </dgm:prSet>
      <dgm:spPr/>
      <dgm:t>
        <a:bodyPr/>
        <a:lstStyle/>
        <a:p>
          <a:endParaRPr lang="zh-TW" altLang="en-US"/>
        </a:p>
      </dgm:t>
    </dgm:pt>
    <dgm:pt modelId="{55589AD8-C0FF-4139-93F4-9E2D09E07F6B}" type="pres">
      <dgm:prSet presAssocID="{199BAD13-CD87-463D-B49B-F9F4987D8014}" presName="Name13" presStyleLbl="parChTrans1D2" presStyleIdx="4" presStyleCnt="17"/>
      <dgm:spPr/>
      <dgm:t>
        <a:bodyPr/>
        <a:lstStyle/>
        <a:p>
          <a:endParaRPr lang="zh-TW" altLang="en-US"/>
        </a:p>
      </dgm:t>
    </dgm:pt>
    <dgm:pt modelId="{C613BB4C-696D-4778-8678-787D2BBB9FE1}" type="pres">
      <dgm:prSet presAssocID="{72689515-9303-4884-BFA6-B2F953A77CB3}" presName="childText" presStyleLbl="bgAcc1" presStyleIdx="4" presStyleCnt="17">
        <dgm:presLayoutVars>
          <dgm:bulletEnabled val="1"/>
        </dgm:presLayoutVars>
      </dgm:prSet>
      <dgm:spPr/>
      <dgm:t>
        <a:bodyPr/>
        <a:lstStyle/>
        <a:p>
          <a:endParaRPr lang="zh-TW" altLang="en-US"/>
        </a:p>
      </dgm:t>
    </dgm:pt>
    <dgm:pt modelId="{20F251DB-2862-4FED-AA2D-9F7A9EAC7AE9}" type="pres">
      <dgm:prSet presAssocID="{8A45A180-EFCC-4489-A2EA-920E4252191A}" presName="root" presStyleCnt="0"/>
      <dgm:spPr/>
      <dgm:t>
        <a:bodyPr/>
        <a:lstStyle/>
        <a:p>
          <a:endParaRPr lang="zh-TW" altLang="en-US"/>
        </a:p>
      </dgm:t>
    </dgm:pt>
    <dgm:pt modelId="{41C79DEC-89F8-42E3-A3FF-0C7A43BD93BB}" type="pres">
      <dgm:prSet presAssocID="{8A45A180-EFCC-4489-A2EA-920E4252191A}" presName="rootComposite" presStyleCnt="0"/>
      <dgm:spPr/>
      <dgm:t>
        <a:bodyPr/>
        <a:lstStyle/>
        <a:p>
          <a:endParaRPr lang="zh-TW" altLang="en-US"/>
        </a:p>
      </dgm:t>
    </dgm:pt>
    <dgm:pt modelId="{641FFD85-7121-4700-9D43-F73F8869EA95}" type="pres">
      <dgm:prSet presAssocID="{8A45A180-EFCC-4489-A2EA-920E4252191A}" presName="rootText" presStyleLbl="node1" presStyleIdx="2" presStyleCnt="7"/>
      <dgm:spPr/>
      <dgm:t>
        <a:bodyPr/>
        <a:lstStyle/>
        <a:p>
          <a:endParaRPr lang="zh-TW" altLang="en-US"/>
        </a:p>
      </dgm:t>
    </dgm:pt>
    <dgm:pt modelId="{530ED542-9D4B-4CD6-980D-918D972FA272}" type="pres">
      <dgm:prSet presAssocID="{8A45A180-EFCC-4489-A2EA-920E4252191A}" presName="rootConnector" presStyleLbl="node1" presStyleIdx="2" presStyleCnt="7"/>
      <dgm:spPr/>
      <dgm:t>
        <a:bodyPr/>
        <a:lstStyle/>
        <a:p>
          <a:endParaRPr lang="zh-TW" altLang="en-US"/>
        </a:p>
      </dgm:t>
    </dgm:pt>
    <dgm:pt modelId="{5AC6863B-9212-4142-B2E3-51FA0E5F201F}" type="pres">
      <dgm:prSet presAssocID="{8A45A180-EFCC-4489-A2EA-920E4252191A}" presName="childShape" presStyleCnt="0"/>
      <dgm:spPr/>
      <dgm:t>
        <a:bodyPr/>
        <a:lstStyle/>
        <a:p>
          <a:endParaRPr lang="zh-TW" altLang="en-US"/>
        </a:p>
      </dgm:t>
    </dgm:pt>
    <dgm:pt modelId="{068FCEAD-97E7-4D0F-AB59-F3AC2989EB4C}" type="pres">
      <dgm:prSet presAssocID="{C500B29B-AD43-4E93-B1DA-7A3DB12BC0A5}" presName="Name13" presStyleLbl="parChTrans1D2" presStyleIdx="5" presStyleCnt="17"/>
      <dgm:spPr/>
      <dgm:t>
        <a:bodyPr/>
        <a:lstStyle/>
        <a:p>
          <a:endParaRPr lang="zh-TW" altLang="en-US"/>
        </a:p>
      </dgm:t>
    </dgm:pt>
    <dgm:pt modelId="{8DB6E438-4057-4857-A534-4F6710D1A8EB}" type="pres">
      <dgm:prSet presAssocID="{09017965-429E-45A8-9AA3-DB3FF297BC29}" presName="childText" presStyleLbl="bgAcc1" presStyleIdx="5" presStyleCnt="17">
        <dgm:presLayoutVars>
          <dgm:bulletEnabled val="1"/>
        </dgm:presLayoutVars>
      </dgm:prSet>
      <dgm:spPr/>
      <dgm:t>
        <a:bodyPr/>
        <a:lstStyle/>
        <a:p>
          <a:endParaRPr lang="zh-TW" altLang="en-US"/>
        </a:p>
      </dgm:t>
    </dgm:pt>
    <dgm:pt modelId="{813274A2-1F5D-40CF-8F1C-0EFE968E3F86}" type="pres">
      <dgm:prSet presAssocID="{D1D990A8-92EA-40D8-9A98-463642688B76}" presName="Name13" presStyleLbl="parChTrans1D2" presStyleIdx="6" presStyleCnt="17"/>
      <dgm:spPr/>
      <dgm:t>
        <a:bodyPr/>
        <a:lstStyle/>
        <a:p>
          <a:endParaRPr lang="zh-TW" altLang="en-US"/>
        </a:p>
      </dgm:t>
    </dgm:pt>
    <dgm:pt modelId="{33E08EF0-F92D-4190-BEB8-E0235A4CA82F}" type="pres">
      <dgm:prSet presAssocID="{0BAF5D6E-BEA7-45C3-9E98-D8CEBF551A04}" presName="childText" presStyleLbl="bgAcc1" presStyleIdx="6" presStyleCnt="17">
        <dgm:presLayoutVars>
          <dgm:bulletEnabled val="1"/>
        </dgm:presLayoutVars>
      </dgm:prSet>
      <dgm:spPr/>
      <dgm:t>
        <a:bodyPr/>
        <a:lstStyle/>
        <a:p>
          <a:endParaRPr lang="zh-TW" altLang="en-US"/>
        </a:p>
      </dgm:t>
    </dgm:pt>
    <dgm:pt modelId="{FE489FD0-4682-4BFC-8CE9-B3679C9A91B9}" type="pres">
      <dgm:prSet presAssocID="{84B9F2F8-0E96-4299-BC66-E6C54718F830}" presName="Name13" presStyleLbl="parChTrans1D2" presStyleIdx="7" presStyleCnt="17"/>
      <dgm:spPr/>
      <dgm:t>
        <a:bodyPr/>
        <a:lstStyle/>
        <a:p>
          <a:endParaRPr lang="zh-TW" altLang="en-US"/>
        </a:p>
      </dgm:t>
    </dgm:pt>
    <dgm:pt modelId="{7CC89E85-CEF2-476D-B74A-7E9F12E1E549}" type="pres">
      <dgm:prSet presAssocID="{2BB7C176-1DDC-4788-9225-3B972FAEBDC6}" presName="childText" presStyleLbl="bgAcc1" presStyleIdx="7" presStyleCnt="17">
        <dgm:presLayoutVars>
          <dgm:bulletEnabled val="1"/>
        </dgm:presLayoutVars>
      </dgm:prSet>
      <dgm:spPr/>
      <dgm:t>
        <a:bodyPr/>
        <a:lstStyle/>
        <a:p>
          <a:endParaRPr lang="zh-TW" altLang="en-US"/>
        </a:p>
      </dgm:t>
    </dgm:pt>
    <dgm:pt modelId="{AFBBC5BC-8E8D-45C8-A670-62475E0BDBE2}" type="pres">
      <dgm:prSet presAssocID="{7E9D3001-37C3-42C5-AF06-BF27AFF4A8DD}" presName="Name13" presStyleLbl="parChTrans1D2" presStyleIdx="8" presStyleCnt="17"/>
      <dgm:spPr/>
      <dgm:t>
        <a:bodyPr/>
        <a:lstStyle/>
        <a:p>
          <a:endParaRPr lang="zh-TW" altLang="en-US"/>
        </a:p>
      </dgm:t>
    </dgm:pt>
    <dgm:pt modelId="{E419FF80-1D14-4920-8A3D-24A247392416}" type="pres">
      <dgm:prSet presAssocID="{0BA0CA2F-383A-42AB-A7ED-D497CFB027CF}" presName="childText" presStyleLbl="bgAcc1" presStyleIdx="8" presStyleCnt="17">
        <dgm:presLayoutVars>
          <dgm:bulletEnabled val="1"/>
        </dgm:presLayoutVars>
      </dgm:prSet>
      <dgm:spPr/>
      <dgm:t>
        <a:bodyPr/>
        <a:lstStyle/>
        <a:p>
          <a:endParaRPr lang="zh-TW" altLang="en-US"/>
        </a:p>
      </dgm:t>
    </dgm:pt>
    <dgm:pt modelId="{7E4F367A-012F-4F30-9E43-088DE61B2B5D}" type="pres">
      <dgm:prSet presAssocID="{BF0B6EC8-73A0-431C-A8AE-D13D916C7317}" presName="root" presStyleCnt="0"/>
      <dgm:spPr/>
      <dgm:t>
        <a:bodyPr/>
        <a:lstStyle/>
        <a:p>
          <a:endParaRPr lang="zh-TW" altLang="en-US"/>
        </a:p>
      </dgm:t>
    </dgm:pt>
    <dgm:pt modelId="{9F8FA955-3129-44C3-894C-63F6769A475D}" type="pres">
      <dgm:prSet presAssocID="{BF0B6EC8-73A0-431C-A8AE-D13D916C7317}" presName="rootComposite" presStyleCnt="0"/>
      <dgm:spPr/>
      <dgm:t>
        <a:bodyPr/>
        <a:lstStyle/>
        <a:p>
          <a:endParaRPr lang="zh-TW" altLang="en-US"/>
        </a:p>
      </dgm:t>
    </dgm:pt>
    <dgm:pt modelId="{935DA603-DB92-4777-AF0B-679A66001C65}" type="pres">
      <dgm:prSet presAssocID="{BF0B6EC8-73A0-431C-A8AE-D13D916C7317}" presName="rootText" presStyleLbl="node1" presStyleIdx="3" presStyleCnt="7"/>
      <dgm:spPr/>
      <dgm:t>
        <a:bodyPr/>
        <a:lstStyle/>
        <a:p>
          <a:endParaRPr lang="zh-TW" altLang="en-US"/>
        </a:p>
      </dgm:t>
    </dgm:pt>
    <dgm:pt modelId="{446A747E-CC2F-4711-AC78-12B65C4F3BF8}" type="pres">
      <dgm:prSet presAssocID="{BF0B6EC8-73A0-431C-A8AE-D13D916C7317}" presName="rootConnector" presStyleLbl="node1" presStyleIdx="3" presStyleCnt="7"/>
      <dgm:spPr/>
      <dgm:t>
        <a:bodyPr/>
        <a:lstStyle/>
        <a:p>
          <a:endParaRPr lang="zh-TW" altLang="en-US"/>
        </a:p>
      </dgm:t>
    </dgm:pt>
    <dgm:pt modelId="{A3CCF857-A9AE-48D6-8204-5A07B8C7DB89}" type="pres">
      <dgm:prSet presAssocID="{BF0B6EC8-73A0-431C-A8AE-D13D916C7317}" presName="childShape" presStyleCnt="0"/>
      <dgm:spPr/>
      <dgm:t>
        <a:bodyPr/>
        <a:lstStyle/>
        <a:p>
          <a:endParaRPr lang="zh-TW" altLang="en-US"/>
        </a:p>
      </dgm:t>
    </dgm:pt>
    <dgm:pt modelId="{450DB566-9D97-454C-8CA0-2CBAFCB4C06B}" type="pres">
      <dgm:prSet presAssocID="{5A0481D8-A768-4EE7-9B34-0AA51F176E9E}" presName="Name13" presStyleLbl="parChTrans1D2" presStyleIdx="9" presStyleCnt="17"/>
      <dgm:spPr/>
      <dgm:t>
        <a:bodyPr/>
        <a:lstStyle/>
        <a:p>
          <a:endParaRPr lang="zh-TW" altLang="en-US"/>
        </a:p>
      </dgm:t>
    </dgm:pt>
    <dgm:pt modelId="{CDDFD37C-1733-4C92-A94E-C66B9D967964}" type="pres">
      <dgm:prSet presAssocID="{D7451759-3187-4751-B012-2E0E12BAC750}" presName="childText" presStyleLbl="bgAcc1" presStyleIdx="9" presStyleCnt="17">
        <dgm:presLayoutVars>
          <dgm:bulletEnabled val="1"/>
        </dgm:presLayoutVars>
      </dgm:prSet>
      <dgm:spPr/>
      <dgm:t>
        <a:bodyPr/>
        <a:lstStyle/>
        <a:p>
          <a:endParaRPr lang="zh-TW" altLang="en-US"/>
        </a:p>
      </dgm:t>
    </dgm:pt>
    <dgm:pt modelId="{EBA742B4-FEA6-4582-ACBA-962A756362C4}" type="pres">
      <dgm:prSet presAssocID="{E422247B-50BD-48CD-9B49-5FCE48C9FDA8}" presName="Name13" presStyleLbl="parChTrans1D2" presStyleIdx="10" presStyleCnt="17"/>
      <dgm:spPr/>
      <dgm:t>
        <a:bodyPr/>
        <a:lstStyle/>
        <a:p>
          <a:endParaRPr lang="zh-TW" altLang="en-US"/>
        </a:p>
      </dgm:t>
    </dgm:pt>
    <dgm:pt modelId="{F1759B7B-D6B7-44FD-910B-0FC9A38A9BF6}" type="pres">
      <dgm:prSet presAssocID="{DD04ECFC-E093-4843-9AA3-354CCDDE5F82}" presName="childText" presStyleLbl="bgAcc1" presStyleIdx="10" presStyleCnt="17">
        <dgm:presLayoutVars>
          <dgm:bulletEnabled val="1"/>
        </dgm:presLayoutVars>
      </dgm:prSet>
      <dgm:spPr/>
      <dgm:t>
        <a:bodyPr/>
        <a:lstStyle/>
        <a:p>
          <a:endParaRPr lang="zh-TW" altLang="en-US"/>
        </a:p>
      </dgm:t>
    </dgm:pt>
    <dgm:pt modelId="{486A57D8-75DC-4BB4-B774-A551F14EDD1E}" type="pres">
      <dgm:prSet presAssocID="{6B32737A-FC23-4494-9520-8505250F91FC}" presName="root" presStyleCnt="0"/>
      <dgm:spPr/>
      <dgm:t>
        <a:bodyPr/>
        <a:lstStyle/>
        <a:p>
          <a:endParaRPr lang="zh-TW" altLang="en-US"/>
        </a:p>
      </dgm:t>
    </dgm:pt>
    <dgm:pt modelId="{01FF5724-1D94-4510-A9B2-353B17090314}" type="pres">
      <dgm:prSet presAssocID="{6B32737A-FC23-4494-9520-8505250F91FC}" presName="rootComposite" presStyleCnt="0"/>
      <dgm:spPr/>
      <dgm:t>
        <a:bodyPr/>
        <a:lstStyle/>
        <a:p>
          <a:endParaRPr lang="zh-TW" altLang="en-US"/>
        </a:p>
      </dgm:t>
    </dgm:pt>
    <dgm:pt modelId="{93479373-5365-4D0F-A456-E1574AE06D3E}" type="pres">
      <dgm:prSet presAssocID="{6B32737A-FC23-4494-9520-8505250F91FC}" presName="rootText" presStyleLbl="node1" presStyleIdx="4" presStyleCnt="7"/>
      <dgm:spPr/>
      <dgm:t>
        <a:bodyPr/>
        <a:lstStyle/>
        <a:p>
          <a:endParaRPr lang="zh-TW" altLang="en-US"/>
        </a:p>
      </dgm:t>
    </dgm:pt>
    <dgm:pt modelId="{27085636-2242-407C-97C6-77E5BD57EAFA}" type="pres">
      <dgm:prSet presAssocID="{6B32737A-FC23-4494-9520-8505250F91FC}" presName="rootConnector" presStyleLbl="node1" presStyleIdx="4" presStyleCnt="7"/>
      <dgm:spPr/>
      <dgm:t>
        <a:bodyPr/>
        <a:lstStyle/>
        <a:p>
          <a:endParaRPr lang="zh-TW" altLang="en-US"/>
        </a:p>
      </dgm:t>
    </dgm:pt>
    <dgm:pt modelId="{F6A02185-DB80-4315-8E92-F6CE3E9EA0BF}" type="pres">
      <dgm:prSet presAssocID="{6B32737A-FC23-4494-9520-8505250F91FC}" presName="childShape" presStyleCnt="0"/>
      <dgm:spPr/>
      <dgm:t>
        <a:bodyPr/>
        <a:lstStyle/>
        <a:p>
          <a:endParaRPr lang="zh-TW" altLang="en-US"/>
        </a:p>
      </dgm:t>
    </dgm:pt>
    <dgm:pt modelId="{F876FFF9-562B-4B28-B010-25102CA2E5CA}" type="pres">
      <dgm:prSet presAssocID="{6002C496-0D1A-4C43-B64C-47BD37DBDCAA}" presName="Name13" presStyleLbl="parChTrans1D2" presStyleIdx="11" presStyleCnt="17"/>
      <dgm:spPr/>
      <dgm:t>
        <a:bodyPr/>
        <a:lstStyle/>
        <a:p>
          <a:endParaRPr lang="zh-TW" altLang="en-US"/>
        </a:p>
      </dgm:t>
    </dgm:pt>
    <dgm:pt modelId="{54EB4B81-0695-475D-8841-FF3E4934BAAD}" type="pres">
      <dgm:prSet presAssocID="{799BBA5A-E149-4B90-9419-FFC0C5DA2DE6}" presName="childText" presStyleLbl="bgAcc1" presStyleIdx="11" presStyleCnt="17">
        <dgm:presLayoutVars>
          <dgm:bulletEnabled val="1"/>
        </dgm:presLayoutVars>
      </dgm:prSet>
      <dgm:spPr/>
      <dgm:t>
        <a:bodyPr/>
        <a:lstStyle/>
        <a:p>
          <a:endParaRPr lang="zh-TW" altLang="en-US"/>
        </a:p>
      </dgm:t>
    </dgm:pt>
    <dgm:pt modelId="{01FC7C27-9BF5-48DF-8AD2-0169BCB30A53}" type="pres">
      <dgm:prSet presAssocID="{BF0BD25F-C55E-4521-B189-1A3844E9FFA1}" presName="Name13" presStyleLbl="parChTrans1D2" presStyleIdx="12" presStyleCnt="17"/>
      <dgm:spPr/>
      <dgm:t>
        <a:bodyPr/>
        <a:lstStyle/>
        <a:p>
          <a:endParaRPr lang="zh-TW" altLang="en-US"/>
        </a:p>
      </dgm:t>
    </dgm:pt>
    <dgm:pt modelId="{B6D4210D-45AC-49D0-909D-79E1DBE071C4}" type="pres">
      <dgm:prSet presAssocID="{DD6AC9B3-DFEE-434D-8A71-FC607899114B}" presName="childText" presStyleLbl="bgAcc1" presStyleIdx="12" presStyleCnt="17">
        <dgm:presLayoutVars>
          <dgm:bulletEnabled val="1"/>
        </dgm:presLayoutVars>
      </dgm:prSet>
      <dgm:spPr/>
      <dgm:t>
        <a:bodyPr/>
        <a:lstStyle/>
        <a:p>
          <a:endParaRPr lang="zh-TW" altLang="en-US"/>
        </a:p>
      </dgm:t>
    </dgm:pt>
    <dgm:pt modelId="{0FAEB207-E974-4D1A-A48A-D522F211C52C}" type="pres">
      <dgm:prSet presAssocID="{C48331D1-662D-42D6-9D42-0E89C84FB42E}" presName="Name13" presStyleLbl="parChTrans1D2" presStyleIdx="13" presStyleCnt="17"/>
      <dgm:spPr/>
      <dgm:t>
        <a:bodyPr/>
        <a:lstStyle/>
        <a:p>
          <a:endParaRPr lang="zh-TW" altLang="en-US"/>
        </a:p>
      </dgm:t>
    </dgm:pt>
    <dgm:pt modelId="{D3369F4A-AA3C-4883-A400-C7CFA55A689C}" type="pres">
      <dgm:prSet presAssocID="{2E5C1971-5419-4B63-8860-65B975EE8D5B}" presName="childText" presStyleLbl="bgAcc1" presStyleIdx="13" presStyleCnt="17">
        <dgm:presLayoutVars>
          <dgm:bulletEnabled val="1"/>
        </dgm:presLayoutVars>
      </dgm:prSet>
      <dgm:spPr/>
      <dgm:t>
        <a:bodyPr/>
        <a:lstStyle/>
        <a:p>
          <a:endParaRPr lang="zh-TW" altLang="en-US"/>
        </a:p>
      </dgm:t>
    </dgm:pt>
    <dgm:pt modelId="{00D7F785-6E45-4594-A1F0-8885472310BF}" type="pres">
      <dgm:prSet presAssocID="{2274CE85-039D-496B-BE1E-A10C13800296}" presName="root" presStyleCnt="0"/>
      <dgm:spPr/>
      <dgm:t>
        <a:bodyPr/>
        <a:lstStyle/>
        <a:p>
          <a:endParaRPr lang="zh-TW" altLang="en-US"/>
        </a:p>
      </dgm:t>
    </dgm:pt>
    <dgm:pt modelId="{FE422597-3C6F-427A-80C9-0CA275FE705B}" type="pres">
      <dgm:prSet presAssocID="{2274CE85-039D-496B-BE1E-A10C13800296}" presName="rootComposite" presStyleCnt="0"/>
      <dgm:spPr/>
      <dgm:t>
        <a:bodyPr/>
        <a:lstStyle/>
        <a:p>
          <a:endParaRPr lang="zh-TW" altLang="en-US"/>
        </a:p>
      </dgm:t>
    </dgm:pt>
    <dgm:pt modelId="{21D83AFC-EE29-410A-B3DC-C27F6086DB84}" type="pres">
      <dgm:prSet presAssocID="{2274CE85-039D-496B-BE1E-A10C13800296}" presName="rootText" presStyleLbl="node1" presStyleIdx="5" presStyleCnt="7"/>
      <dgm:spPr/>
      <dgm:t>
        <a:bodyPr/>
        <a:lstStyle/>
        <a:p>
          <a:endParaRPr lang="zh-TW" altLang="en-US"/>
        </a:p>
      </dgm:t>
    </dgm:pt>
    <dgm:pt modelId="{F6103AE6-BE7D-4258-A544-D8C783C405D9}" type="pres">
      <dgm:prSet presAssocID="{2274CE85-039D-496B-BE1E-A10C13800296}" presName="rootConnector" presStyleLbl="node1" presStyleIdx="5" presStyleCnt="7"/>
      <dgm:spPr/>
      <dgm:t>
        <a:bodyPr/>
        <a:lstStyle/>
        <a:p>
          <a:endParaRPr lang="zh-TW" altLang="en-US"/>
        </a:p>
      </dgm:t>
    </dgm:pt>
    <dgm:pt modelId="{D8EEBB39-C628-42C0-AFC6-6129D29655E8}" type="pres">
      <dgm:prSet presAssocID="{2274CE85-039D-496B-BE1E-A10C13800296}" presName="childShape" presStyleCnt="0"/>
      <dgm:spPr/>
      <dgm:t>
        <a:bodyPr/>
        <a:lstStyle/>
        <a:p>
          <a:endParaRPr lang="zh-TW" altLang="en-US"/>
        </a:p>
      </dgm:t>
    </dgm:pt>
    <dgm:pt modelId="{85992154-CD68-484F-B446-5E16156B5814}" type="pres">
      <dgm:prSet presAssocID="{AE172ECF-C7E6-4399-9DBC-674513738D06}" presName="Name13" presStyleLbl="parChTrans1D2" presStyleIdx="14" presStyleCnt="17"/>
      <dgm:spPr/>
      <dgm:t>
        <a:bodyPr/>
        <a:lstStyle/>
        <a:p>
          <a:endParaRPr lang="zh-TW" altLang="en-US"/>
        </a:p>
      </dgm:t>
    </dgm:pt>
    <dgm:pt modelId="{C9C1EFB4-C11A-47AE-AD35-EA443F290B1C}" type="pres">
      <dgm:prSet presAssocID="{620B5E2E-8C00-4A5B-8D04-FA72005980C5}" presName="childText" presStyleLbl="bgAcc1" presStyleIdx="14" presStyleCnt="17">
        <dgm:presLayoutVars>
          <dgm:bulletEnabled val="1"/>
        </dgm:presLayoutVars>
      </dgm:prSet>
      <dgm:spPr/>
      <dgm:t>
        <a:bodyPr/>
        <a:lstStyle/>
        <a:p>
          <a:endParaRPr lang="zh-TW" altLang="en-US"/>
        </a:p>
      </dgm:t>
    </dgm:pt>
    <dgm:pt modelId="{04530849-2D57-46A6-824E-EB1009B5C4BB}" type="pres">
      <dgm:prSet presAssocID="{123EDC12-287B-4AE8-B942-B8311C99D231}" presName="Name13" presStyleLbl="parChTrans1D2" presStyleIdx="15" presStyleCnt="17"/>
      <dgm:spPr/>
      <dgm:t>
        <a:bodyPr/>
        <a:lstStyle/>
        <a:p>
          <a:endParaRPr lang="zh-TW" altLang="en-US"/>
        </a:p>
      </dgm:t>
    </dgm:pt>
    <dgm:pt modelId="{CF16EEA2-6F15-4D2B-BD3C-16626570AF76}" type="pres">
      <dgm:prSet presAssocID="{D3DE8774-E2CC-4778-97A6-D150AD5057B1}" presName="childText" presStyleLbl="bgAcc1" presStyleIdx="15" presStyleCnt="17">
        <dgm:presLayoutVars>
          <dgm:bulletEnabled val="1"/>
        </dgm:presLayoutVars>
      </dgm:prSet>
      <dgm:spPr/>
      <dgm:t>
        <a:bodyPr/>
        <a:lstStyle/>
        <a:p>
          <a:endParaRPr lang="zh-TW" altLang="en-US"/>
        </a:p>
      </dgm:t>
    </dgm:pt>
    <dgm:pt modelId="{CB188B46-05A6-4C17-96AF-7912B3E32D73}" type="pres">
      <dgm:prSet presAssocID="{0215F039-CEA8-4076-B52A-659E0BC42FE9}" presName="root" presStyleCnt="0"/>
      <dgm:spPr/>
      <dgm:t>
        <a:bodyPr/>
        <a:lstStyle/>
        <a:p>
          <a:endParaRPr lang="zh-TW" altLang="en-US"/>
        </a:p>
      </dgm:t>
    </dgm:pt>
    <dgm:pt modelId="{92AE4588-2F4F-437E-93CD-CE24E27FECF7}" type="pres">
      <dgm:prSet presAssocID="{0215F039-CEA8-4076-B52A-659E0BC42FE9}" presName="rootComposite" presStyleCnt="0"/>
      <dgm:spPr/>
      <dgm:t>
        <a:bodyPr/>
        <a:lstStyle/>
        <a:p>
          <a:endParaRPr lang="zh-TW" altLang="en-US"/>
        </a:p>
      </dgm:t>
    </dgm:pt>
    <dgm:pt modelId="{48DC6ED1-C4A6-44BE-9954-FD3012252E95}" type="pres">
      <dgm:prSet presAssocID="{0215F039-CEA8-4076-B52A-659E0BC42FE9}" presName="rootText" presStyleLbl="node1" presStyleIdx="6" presStyleCnt="7"/>
      <dgm:spPr/>
      <dgm:t>
        <a:bodyPr/>
        <a:lstStyle/>
        <a:p>
          <a:endParaRPr lang="zh-TW" altLang="en-US"/>
        </a:p>
      </dgm:t>
    </dgm:pt>
    <dgm:pt modelId="{56B4E0C5-A0CF-4DF2-A5B5-35356C45DEC8}" type="pres">
      <dgm:prSet presAssocID="{0215F039-CEA8-4076-B52A-659E0BC42FE9}" presName="rootConnector" presStyleLbl="node1" presStyleIdx="6" presStyleCnt="7"/>
      <dgm:spPr/>
      <dgm:t>
        <a:bodyPr/>
        <a:lstStyle/>
        <a:p>
          <a:endParaRPr lang="zh-TW" altLang="en-US"/>
        </a:p>
      </dgm:t>
    </dgm:pt>
    <dgm:pt modelId="{6795171D-D6BD-4510-B327-BE5A83AE123B}" type="pres">
      <dgm:prSet presAssocID="{0215F039-CEA8-4076-B52A-659E0BC42FE9}" presName="childShape" presStyleCnt="0"/>
      <dgm:spPr/>
      <dgm:t>
        <a:bodyPr/>
        <a:lstStyle/>
        <a:p>
          <a:endParaRPr lang="zh-TW" altLang="en-US"/>
        </a:p>
      </dgm:t>
    </dgm:pt>
    <dgm:pt modelId="{DCE17D16-8BEC-4C0B-BD88-F84004FB5055}" type="pres">
      <dgm:prSet presAssocID="{75A3FAE0-F41D-4F57-B6B2-085E11B6EB8E}" presName="Name13" presStyleLbl="parChTrans1D2" presStyleIdx="16" presStyleCnt="17"/>
      <dgm:spPr/>
      <dgm:t>
        <a:bodyPr/>
        <a:lstStyle/>
        <a:p>
          <a:endParaRPr lang="zh-TW" altLang="en-US"/>
        </a:p>
      </dgm:t>
    </dgm:pt>
    <dgm:pt modelId="{0FE5C5F2-AD0D-4A80-9BDB-E922585EEF4E}" type="pres">
      <dgm:prSet presAssocID="{0159D7C8-A064-4982-8E3B-2442EC26777A}" presName="childText" presStyleLbl="bgAcc1" presStyleIdx="16" presStyleCnt="17">
        <dgm:presLayoutVars>
          <dgm:bulletEnabled val="1"/>
        </dgm:presLayoutVars>
      </dgm:prSet>
      <dgm:spPr/>
      <dgm:t>
        <a:bodyPr/>
        <a:lstStyle/>
        <a:p>
          <a:endParaRPr lang="zh-TW" altLang="en-US"/>
        </a:p>
      </dgm:t>
    </dgm:pt>
  </dgm:ptLst>
  <dgm:cxnLst>
    <dgm:cxn modelId="{88A5EBBF-C01E-4781-8A9B-0A86B13A8611}" srcId="{6B32737A-FC23-4494-9520-8505250F91FC}" destId="{DD6AC9B3-DFEE-434D-8A71-FC607899114B}" srcOrd="1" destOrd="0" parTransId="{BF0BD25F-C55E-4521-B189-1A3844E9FFA1}" sibTransId="{EC408B8F-55E8-49BF-9216-2C0BA1A35A51}"/>
    <dgm:cxn modelId="{9EE9E4FB-9348-4CBA-9A3F-8D2C8DE79142}" type="presOf" srcId="{2BB7C176-1DDC-4788-9225-3B972FAEBDC6}" destId="{7CC89E85-CEF2-476D-B74A-7E9F12E1E549}" srcOrd="0" destOrd="0" presId="urn:microsoft.com/office/officeart/2005/8/layout/hierarchy3"/>
    <dgm:cxn modelId="{101F20A8-4D12-4601-AE8B-91412DE3AEEC}" type="presOf" srcId="{BF0B6EC8-73A0-431C-A8AE-D13D916C7317}" destId="{935DA603-DB92-4777-AF0B-679A66001C65}" srcOrd="0" destOrd="0" presId="urn:microsoft.com/office/officeart/2005/8/layout/hierarchy3"/>
    <dgm:cxn modelId="{BB7924C8-F386-47CA-A1E7-6D3E14D6B021}" type="presOf" srcId="{6002C496-0D1A-4C43-B64C-47BD37DBDCAA}" destId="{F876FFF9-562B-4B28-B010-25102CA2E5CA}" srcOrd="0" destOrd="0" presId="urn:microsoft.com/office/officeart/2005/8/layout/hierarchy3"/>
    <dgm:cxn modelId="{DBCF6CF4-C903-4528-BBD9-946D7AF389DC}" type="presOf" srcId="{123EDC12-287B-4AE8-B942-B8311C99D231}" destId="{04530849-2D57-46A6-824E-EB1009B5C4BB}" srcOrd="0" destOrd="0" presId="urn:microsoft.com/office/officeart/2005/8/layout/hierarchy3"/>
    <dgm:cxn modelId="{8094699E-5C34-44E9-B4C0-F01695830E2E}" type="presOf" srcId="{B23AE7B9-C00F-42D0-A075-292F2EB6F717}" destId="{33643173-7174-41FB-8612-659E4C9AAF1C}" srcOrd="0" destOrd="0" presId="urn:microsoft.com/office/officeart/2005/8/layout/hierarchy3"/>
    <dgm:cxn modelId="{FA5C70BF-6A18-42DE-94CF-6C0BEA611E22}" type="presOf" srcId="{0215F039-CEA8-4076-B52A-659E0BC42FE9}" destId="{48DC6ED1-C4A6-44BE-9954-FD3012252E95}" srcOrd="0" destOrd="0" presId="urn:microsoft.com/office/officeart/2005/8/layout/hierarchy3"/>
    <dgm:cxn modelId="{3F590999-FF6F-4273-8606-63024CD9D3BB}" type="presOf" srcId="{6B32737A-FC23-4494-9520-8505250F91FC}" destId="{27085636-2242-407C-97C6-77E5BD57EAFA}" srcOrd="1" destOrd="0" presId="urn:microsoft.com/office/officeart/2005/8/layout/hierarchy3"/>
    <dgm:cxn modelId="{27113867-A44B-4061-AC91-CC5AAF305B2D}" type="presOf" srcId="{09017965-429E-45A8-9AA3-DB3FF297BC29}" destId="{8DB6E438-4057-4857-A534-4F6710D1A8EB}" srcOrd="0" destOrd="0" presId="urn:microsoft.com/office/officeart/2005/8/layout/hierarchy3"/>
    <dgm:cxn modelId="{3C8B329C-FB81-4AA0-BF59-24DA53A135C3}" type="presOf" srcId="{9D48CBE9-BE7F-44B4-B3C9-D495C287BCAE}" destId="{2DCDAB04-F7FF-4C41-BB0E-EDF1067952D5}" srcOrd="0" destOrd="0" presId="urn:microsoft.com/office/officeart/2005/8/layout/hierarchy3"/>
    <dgm:cxn modelId="{6154A241-27C4-46B1-B639-D1AD601E15D7}" type="presOf" srcId="{199BAD13-CD87-463D-B49B-F9F4987D8014}" destId="{55589AD8-C0FF-4139-93F4-9E2D09E07F6B}" srcOrd="0" destOrd="0" presId="urn:microsoft.com/office/officeart/2005/8/layout/hierarchy3"/>
    <dgm:cxn modelId="{C8DF85E8-261C-45FC-A7D4-4A4915BB9669}" type="presOf" srcId="{AF78E19E-334C-440D-BA8F-B7224344D33B}" destId="{0DA66F01-8BF5-4882-900D-1951FF366619}" srcOrd="0" destOrd="0" presId="urn:microsoft.com/office/officeart/2005/8/layout/hierarchy3"/>
    <dgm:cxn modelId="{5FA07BD0-A21D-4E1D-BE88-FC091863D2D0}" srcId="{BDAB3B2E-682F-4451-801D-712D01115A62}" destId="{9D48CBE9-BE7F-44B4-B3C9-D495C287BCAE}" srcOrd="1" destOrd="0" parTransId="{93474E4E-6DFF-4BBC-B7F5-80F023F67201}" sibTransId="{0E978AC5-65AD-4445-B819-1F874A21B748}"/>
    <dgm:cxn modelId="{E092749B-2876-4056-9ECC-7815EF36C099}" type="presOf" srcId="{2274CE85-039D-496B-BE1E-A10C13800296}" destId="{F6103AE6-BE7D-4258-A544-D8C783C405D9}" srcOrd="1" destOrd="0" presId="urn:microsoft.com/office/officeart/2005/8/layout/hierarchy3"/>
    <dgm:cxn modelId="{C4FE1ECB-CCCA-4F19-ADD8-2077F912E46E}" type="presOf" srcId="{2E5C1971-5419-4B63-8860-65B975EE8D5B}" destId="{D3369F4A-AA3C-4883-A400-C7CFA55A689C}" srcOrd="0" destOrd="0" presId="urn:microsoft.com/office/officeart/2005/8/layout/hierarchy3"/>
    <dgm:cxn modelId="{8AE22BCD-183E-4E0F-B3AA-84171D1C81E9}" type="presOf" srcId="{BDAB3B2E-682F-4451-801D-712D01115A62}" destId="{8BFDB521-6FA0-4373-BC34-3C3F68AEB7CE}" srcOrd="0" destOrd="0" presId="urn:microsoft.com/office/officeart/2005/8/layout/hierarchy3"/>
    <dgm:cxn modelId="{71DD8F65-71C2-4F22-8334-036CAA3BF3F8}" type="presOf" srcId="{E422247B-50BD-48CD-9B49-5FCE48C9FDA8}" destId="{EBA742B4-FEA6-4582-ACBA-962A756362C4}" srcOrd="0" destOrd="0" presId="urn:microsoft.com/office/officeart/2005/8/layout/hierarchy3"/>
    <dgm:cxn modelId="{96CBF844-7E29-4F09-BA43-5C69B88A6283}" type="presOf" srcId="{5A0481D8-A768-4EE7-9B34-0AA51F176E9E}" destId="{450DB566-9D97-454C-8CA0-2CBAFCB4C06B}" srcOrd="0" destOrd="0" presId="urn:microsoft.com/office/officeart/2005/8/layout/hierarchy3"/>
    <dgm:cxn modelId="{50EB3AE2-DA17-49D3-AD05-F227E4797A7E}" type="presOf" srcId="{7A368A4C-FC4A-4DD7-98DA-3DEF178D8AB0}" destId="{2096A9D9-D807-430F-ABB4-5E99740AACB8}" srcOrd="0" destOrd="0" presId="urn:microsoft.com/office/officeart/2005/8/layout/hierarchy3"/>
    <dgm:cxn modelId="{E98A3548-808E-415C-848A-4BECE0F90013}" srcId="{BF0B6EC8-73A0-431C-A8AE-D13D916C7317}" destId="{D7451759-3187-4751-B012-2E0E12BAC750}" srcOrd="0" destOrd="0" parTransId="{5A0481D8-A768-4EE7-9B34-0AA51F176E9E}" sibTransId="{7C1C2A0A-9D4E-4080-A41B-3085ED444DFF}"/>
    <dgm:cxn modelId="{37634413-9197-4622-AFCE-887A3A33D698}" srcId="{7A368A4C-FC4A-4DD7-98DA-3DEF178D8AB0}" destId="{8A45A180-EFCC-4489-A2EA-920E4252191A}" srcOrd="2" destOrd="0" parTransId="{E70BCD4B-9F60-4927-97D9-9DC5A44250F0}" sibTransId="{9E43F37A-7E3F-4763-977E-7717126D8466}"/>
    <dgm:cxn modelId="{F02E4B67-558E-467F-A3CE-BD6ABE15085E}" srcId="{6B32737A-FC23-4494-9520-8505250F91FC}" destId="{2E5C1971-5419-4B63-8860-65B975EE8D5B}" srcOrd="2" destOrd="0" parTransId="{C48331D1-662D-42D6-9D42-0E89C84FB42E}" sibTransId="{BAD84451-9E0F-48A9-83FA-BB642DA20340}"/>
    <dgm:cxn modelId="{777ADAE5-0F25-4FC5-BDD9-EAEE248915AE}" type="presOf" srcId="{8A45A180-EFCC-4489-A2EA-920E4252191A}" destId="{530ED542-9D4B-4CD6-980D-918D972FA272}" srcOrd="1" destOrd="0" presId="urn:microsoft.com/office/officeart/2005/8/layout/hierarchy3"/>
    <dgm:cxn modelId="{C988EED8-B418-4ACA-BC6A-E349A298EFF9}" srcId="{7A368A4C-FC4A-4DD7-98DA-3DEF178D8AB0}" destId="{BF0B6EC8-73A0-431C-A8AE-D13D916C7317}" srcOrd="3" destOrd="0" parTransId="{2AA8B172-22BC-4AF8-84CD-EDEBC83ED372}" sibTransId="{BAFA4BE7-0833-4104-94BE-E13F36658DED}"/>
    <dgm:cxn modelId="{DF0BEDB9-B571-4ADB-8CBA-10E3CDFE40C3}" type="presOf" srcId="{6B32737A-FC23-4494-9520-8505250F91FC}" destId="{93479373-5365-4D0F-A456-E1574AE06D3E}" srcOrd="0" destOrd="0" presId="urn:microsoft.com/office/officeart/2005/8/layout/hierarchy3"/>
    <dgm:cxn modelId="{EF03DBF2-2F88-400C-9F19-E93C4778B214}" type="presOf" srcId="{0BA0CA2F-383A-42AB-A7ED-D497CFB027CF}" destId="{E419FF80-1D14-4920-8A3D-24A247392416}" srcOrd="0" destOrd="0" presId="urn:microsoft.com/office/officeart/2005/8/layout/hierarchy3"/>
    <dgm:cxn modelId="{E9C81214-2A40-452F-B35D-3A2E246FF46F}" type="presOf" srcId="{BF0BD25F-C55E-4521-B189-1A3844E9FFA1}" destId="{01FC7C27-9BF5-48DF-8AD2-0169BCB30A53}" srcOrd="0" destOrd="0" presId="urn:microsoft.com/office/officeart/2005/8/layout/hierarchy3"/>
    <dgm:cxn modelId="{BD76F266-7660-49E8-ABFF-0754D6E20671}" type="presOf" srcId="{BDAB3B2E-682F-4451-801D-712D01115A62}" destId="{2BC76193-9C77-4EFB-9781-26287179CF99}" srcOrd="1" destOrd="0" presId="urn:microsoft.com/office/officeart/2005/8/layout/hierarchy3"/>
    <dgm:cxn modelId="{A2B57B17-ABF0-4132-816E-30B0C86AB673}" srcId="{2274CE85-039D-496B-BE1E-A10C13800296}" destId="{D3DE8774-E2CC-4778-97A6-D150AD5057B1}" srcOrd="1" destOrd="0" parTransId="{123EDC12-287B-4AE8-B942-B8311C99D231}" sibTransId="{DF805BFF-A93D-4350-9F25-538B086B2E6A}"/>
    <dgm:cxn modelId="{9327E065-DACF-43F7-B085-B4C29E1C8523}" type="presOf" srcId="{870ACD7B-1CDB-4139-97FF-67439615BD41}" destId="{17D3E9FC-6511-4182-A2DA-FC4D36398778}" srcOrd="0" destOrd="0" presId="urn:microsoft.com/office/officeart/2005/8/layout/hierarchy3"/>
    <dgm:cxn modelId="{95D7A42C-67EE-4F4A-9326-E927FD03E96F}" type="presOf" srcId="{BF0B6EC8-73A0-431C-A8AE-D13D916C7317}" destId="{446A747E-CC2F-4711-AC78-12B65C4F3BF8}" srcOrd="1" destOrd="0" presId="urn:microsoft.com/office/officeart/2005/8/layout/hierarchy3"/>
    <dgm:cxn modelId="{0BFFD010-C04A-498C-AFA2-D9B547911909}" srcId="{8A45A180-EFCC-4489-A2EA-920E4252191A}" destId="{0BA0CA2F-383A-42AB-A7ED-D497CFB027CF}" srcOrd="3" destOrd="0" parTransId="{7E9D3001-37C3-42C5-AF06-BF27AFF4A8DD}" sibTransId="{F9D80F13-A7FE-4847-9B13-7DAC837E55C8}"/>
    <dgm:cxn modelId="{8B16402F-4EE6-4E9D-8071-0CA54F016F01}" type="presOf" srcId="{93474E4E-6DFF-4BBC-B7F5-80F023F67201}" destId="{26B762FA-D06D-4508-90A1-F0C1F460A153}" srcOrd="0" destOrd="0" presId="urn:microsoft.com/office/officeart/2005/8/layout/hierarchy3"/>
    <dgm:cxn modelId="{3B9E56E0-98CA-4B5D-9BAC-73559ED529AE}" type="presOf" srcId="{75A3FAE0-F41D-4F57-B6B2-085E11B6EB8E}" destId="{DCE17D16-8BEC-4C0B-BD88-F84004FB5055}" srcOrd="0" destOrd="0" presId="urn:microsoft.com/office/officeart/2005/8/layout/hierarchy3"/>
    <dgm:cxn modelId="{EDF7F359-4880-408F-B60B-E5B700C47550}" srcId="{870ACD7B-1CDB-4139-97FF-67439615BD41}" destId="{AF78E19E-334C-440D-BA8F-B7224344D33B}" srcOrd="0" destOrd="0" parTransId="{42766048-F3F2-4A7E-B376-8533B1156364}" sibTransId="{09658C58-F432-43E5-BFF7-9B7E14DA4BDA}"/>
    <dgm:cxn modelId="{1B6389C8-88F5-4067-8232-A18AB078BF1D}" type="presOf" srcId="{84B9F2F8-0E96-4299-BC66-E6C54718F830}" destId="{FE489FD0-4682-4BFC-8CE9-B3679C9A91B9}" srcOrd="0" destOrd="0" presId="urn:microsoft.com/office/officeart/2005/8/layout/hierarchy3"/>
    <dgm:cxn modelId="{8806D6D7-2E5B-47B6-AA35-E014FE7874B7}" type="presOf" srcId="{DD04ECFC-E093-4843-9AA3-354CCDDE5F82}" destId="{F1759B7B-D6B7-44FD-910B-0FC9A38A9BF6}" srcOrd="0" destOrd="0" presId="urn:microsoft.com/office/officeart/2005/8/layout/hierarchy3"/>
    <dgm:cxn modelId="{6EFE5E74-E546-4FCC-A4AA-3C0A0C2A9941}" type="presOf" srcId="{2274CE85-039D-496B-BE1E-A10C13800296}" destId="{21D83AFC-EE29-410A-B3DC-C27F6086DB84}" srcOrd="0" destOrd="0" presId="urn:microsoft.com/office/officeart/2005/8/layout/hierarchy3"/>
    <dgm:cxn modelId="{E95C48B1-C7A1-4D34-8164-21E2AEA3214C}" srcId="{0215F039-CEA8-4076-B52A-659E0BC42FE9}" destId="{0159D7C8-A064-4982-8E3B-2442EC26777A}" srcOrd="0" destOrd="0" parTransId="{75A3FAE0-F41D-4F57-B6B2-085E11B6EB8E}" sibTransId="{442F21AC-663C-48C3-ADBB-034B4E61C44F}"/>
    <dgm:cxn modelId="{83A85DD8-D6DE-4139-856E-7C9CECA6597B}" type="presOf" srcId="{3E111B50-289E-4027-BB00-D88E7E9A2D68}" destId="{77CDD573-FF34-4722-B0FD-9361068FF5E0}" srcOrd="0" destOrd="0" presId="urn:microsoft.com/office/officeart/2005/8/layout/hierarchy3"/>
    <dgm:cxn modelId="{1CBE87B3-5052-4D9E-AF9B-C5626539C613}" srcId="{BDAB3B2E-682F-4451-801D-712D01115A62}" destId="{72689515-9303-4884-BFA6-B2F953A77CB3}" srcOrd="2" destOrd="0" parTransId="{199BAD13-CD87-463D-B49B-F9F4987D8014}" sibTransId="{424E59F4-B381-4FEF-9638-93AED9C8F210}"/>
    <dgm:cxn modelId="{23A92F8C-27CB-4195-BBC3-ED90E3BCF5E8}" type="presOf" srcId="{72689515-9303-4884-BFA6-B2F953A77CB3}" destId="{C613BB4C-696D-4778-8678-787D2BBB9FE1}" srcOrd="0" destOrd="0" presId="urn:microsoft.com/office/officeart/2005/8/layout/hierarchy3"/>
    <dgm:cxn modelId="{35E446B1-C88E-4C31-A64F-8E83751CC427}" type="presOf" srcId="{D7451759-3187-4751-B012-2E0E12BAC750}" destId="{CDDFD37C-1733-4C92-A94E-C66B9D967964}" srcOrd="0" destOrd="0" presId="urn:microsoft.com/office/officeart/2005/8/layout/hierarchy3"/>
    <dgm:cxn modelId="{9D6DDC7C-D49C-4DE6-8359-0CD0616E0E78}" srcId="{7A368A4C-FC4A-4DD7-98DA-3DEF178D8AB0}" destId="{6B32737A-FC23-4494-9520-8505250F91FC}" srcOrd="4" destOrd="0" parTransId="{8FB7339C-6B93-4C01-BC36-C09AD28AB054}" sibTransId="{A64768EF-57C8-4E90-97A7-474C98FD5F77}"/>
    <dgm:cxn modelId="{619B104F-2EFD-4DB1-8936-D1B1F560C720}" type="presOf" srcId="{AE172ECF-C7E6-4399-9DBC-674513738D06}" destId="{85992154-CD68-484F-B446-5E16156B5814}" srcOrd="0" destOrd="0" presId="urn:microsoft.com/office/officeart/2005/8/layout/hierarchy3"/>
    <dgm:cxn modelId="{E7691E10-8E87-490E-BA42-894256A5D0A2}" srcId="{8A45A180-EFCC-4489-A2EA-920E4252191A}" destId="{09017965-429E-45A8-9AA3-DB3FF297BC29}" srcOrd="0" destOrd="0" parTransId="{C500B29B-AD43-4E93-B1DA-7A3DB12BC0A5}" sibTransId="{CFFC46C4-5828-44FE-9659-6DC289B03E82}"/>
    <dgm:cxn modelId="{2EC8B350-604E-4494-9AA0-E6BF3C83BA64}" type="presOf" srcId="{DD6AC9B3-DFEE-434D-8A71-FC607899114B}" destId="{B6D4210D-45AC-49D0-909D-79E1DBE071C4}" srcOrd="0" destOrd="0" presId="urn:microsoft.com/office/officeart/2005/8/layout/hierarchy3"/>
    <dgm:cxn modelId="{2F53C227-D11E-4238-ACF3-990FF977B44B}" type="presOf" srcId="{C48331D1-662D-42D6-9D42-0E89C84FB42E}" destId="{0FAEB207-E974-4D1A-A48A-D522F211C52C}" srcOrd="0" destOrd="0" presId="urn:microsoft.com/office/officeart/2005/8/layout/hierarchy3"/>
    <dgm:cxn modelId="{9BFD7B1C-9726-43F5-B2A7-13B5A00073AF}" type="presOf" srcId="{620B5E2E-8C00-4A5B-8D04-FA72005980C5}" destId="{C9C1EFB4-C11A-47AE-AD35-EA443F290B1C}" srcOrd="0" destOrd="0" presId="urn:microsoft.com/office/officeart/2005/8/layout/hierarchy3"/>
    <dgm:cxn modelId="{207C65BE-8B0D-4F3C-AFD0-52E2DF67F33D}" type="presOf" srcId="{8A45A180-EFCC-4489-A2EA-920E4252191A}" destId="{641FFD85-7121-4700-9D43-F73F8869EA95}" srcOrd="0" destOrd="0" presId="urn:microsoft.com/office/officeart/2005/8/layout/hierarchy3"/>
    <dgm:cxn modelId="{529D3DA8-BE99-4504-8F42-A5A04FF2F7F6}" srcId="{7A368A4C-FC4A-4DD7-98DA-3DEF178D8AB0}" destId="{870ACD7B-1CDB-4139-97FF-67439615BD41}" srcOrd="0" destOrd="0" parTransId="{A83FB594-1256-4973-8D0D-DBDE051BE544}" sibTransId="{79AAB9AE-03FC-4ECF-A116-612BB3D5C896}"/>
    <dgm:cxn modelId="{AC2657DB-1B39-4F66-9E5E-158B0E15E46E}" type="presOf" srcId="{870ACD7B-1CDB-4139-97FF-67439615BD41}" destId="{093FE340-F383-4858-8BF8-D6A95059FD70}" srcOrd="1" destOrd="0" presId="urn:microsoft.com/office/officeart/2005/8/layout/hierarchy3"/>
    <dgm:cxn modelId="{3D6F6A62-1AB2-4F88-81F9-9F2D996E707C}" type="presOf" srcId="{0BAF5D6E-BEA7-45C3-9E98-D8CEBF551A04}" destId="{33E08EF0-F92D-4190-BEB8-E0235A4CA82F}" srcOrd="0" destOrd="0" presId="urn:microsoft.com/office/officeart/2005/8/layout/hierarchy3"/>
    <dgm:cxn modelId="{9E1FEBA7-6C13-43FA-A5BA-9AEC6D384CD9}" type="presOf" srcId="{0215F039-CEA8-4076-B52A-659E0BC42FE9}" destId="{56B4E0C5-A0CF-4DF2-A5B5-35356C45DEC8}" srcOrd="1" destOrd="0" presId="urn:microsoft.com/office/officeart/2005/8/layout/hierarchy3"/>
    <dgm:cxn modelId="{B557B7EB-DE48-4643-B453-F3313159C03B}" type="presOf" srcId="{C500B29B-AD43-4E93-B1DA-7A3DB12BC0A5}" destId="{068FCEAD-97E7-4D0F-AB59-F3AC2989EB4C}" srcOrd="0" destOrd="0" presId="urn:microsoft.com/office/officeart/2005/8/layout/hierarchy3"/>
    <dgm:cxn modelId="{4F223841-8859-4CDF-901D-1A76EA735387}" srcId="{7A368A4C-FC4A-4DD7-98DA-3DEF178D8AB0}" destId="{2274CE85-039D-496B-BE1E-A10C13800296}" srcOrd="5" destOrd="0" parTransId="{B661DDA4-F86E-4844-826D-101301CD9867}" sibTransId="{533F884C-51CA-4C69-BBB6-B2CAB816E897}"/>
    <dgm:cxn modelId="{458DCC06-F4DA-4AB4-BAA9-07A14762A9AB}" srcId="{2274CE85-039D-496B-BE1E-A10C13800296}" destId="{620B5E2E-8C00-4A5B-8D04-FA72005980C5}" srcOrd="0" destOrd="0" parTransId="{AE172ECF-C7E6-4399-9DBC-674513738D06}" sibTransId="{E234D115-ABA2-4EFF-8D0C-38D38FDD012D}"/>
    <dgm:cxn modelId="{226F19F2-BF8D-48CD-8F7B-3C01534B14B1}" srcId="{6B32737A-FC23-4494-9520-8505250F91FC}" destId="{799BBA5A-E149-4B90-9419-FFC0C5DA2DE6}" srcOrd="0" destOrd="0" parTransId="{6002C496-0D1A-4C43-B64C-47BD37DBDCAA}" sibTransId="{48FF33CD-07B2-477E-9F7C-C7601BFA6D51}"/>
    <dgm:cxn modelId="{E494A628-7CD4-4F0E-A03B-B28C21F4E3F8}" srcId="{7A368A4C-FC4A-4DD7-98DA-3DEF178D8AB0}" destId="{0215F039-CEA8-4076-B52A-659E0BC42FE9}" srcOrd="6" destOrd="0" parTransId="{9C06CFFC-1A72-4DA6-90EF-DE6C0D4AD16E}" sibTransId="{AF026011-CEDF-4AB0-8600-FF8ECCA66944}"/>
    <dgm:cxn modelId="{03745C0A-533F-4043-BE53-8A059C9A866C}" srcId="{BDAB3B2E-682F-4451-801D-712D01115A62}" destId="{B23AE7B9-C00F-42D0-A075-292F2EB6F717}" srcOrd="0" destOrd="0" parTransId="{E5A801CE-CD28-4277-B776-4283DB8F4DB3}" sibTransId="{2E6F0EA0-DB43-4FED-A074-0FEE43A8B938}"/>
    <dgm:cxn modelId="{C402C939-09B0-4912-BC25-4C152A0784C4}" srcId="{8A45A180-EFCC-4489-A2EA-920E4252191A}" destId="{2BB7C176-1DDC-4788-9225-3B972FAEBDC6}" srcOrd="2" destOrd="0" parTransId="{84B9F2F8-0E96-4299-BC66-E6C54718F830}" sibTransId="{DCDAA529-2333-4984-9E27-D745D2E67317}"/>
    <dgm:cxn modelId="{D5D41643-5D5B-491A-90F6-CB5B71E482E3}" srcId="{870ACD7B-1CDB-4139-97FF-67439615BD41}" destId="{89CC8B33-5381-41DE-801A-D8761CE080AB}" srcOrd="1" destOrd="0" parTransId="{3E111B50-289E-4027-BB00-D88E7E9A2D68}" sibTransId="{65E6431A-07B3-42FB-A5AF-5B3154B2407A}"/>
    <dgm:cxn modelId="{EB4D5A3B-D7DD-4CD7-A32F-960CDFEBEAD0}" type="presOf" srcId="{89CC8B33-5381-41DE-801A-D8761CE080AB}" destId="{1B351C96-EFB3-400C-B393-B414E728533B}" srcOrd="0" destOrd="0" presId="urn:microsoft.com/office/officeart/2005/8/layout/hierarchy3"/>
    <dgm:cxn modelId="{C09F0100-DAB8-4C7D-909B-EA78B26FDC9D}" type="presOf" srcId="{42766048-F3F2-4A7E-B376-8533B1156364}" destId="{83C8160E-5CB7-408F-AAF7-2F669BA99F3D}" srcOrd="0" destOrd="0" presId="urn:microsoft.com/office/officeart/2005/8/layout/hierarchy3"/>
    <dgm:cxn modelId="{20B24C11-D650-42BB-AF1C-06B23A7D85E6}" type="presOf" srcId="{D3DE8774-E2CC-4778-97A6-D150AD5057B1}" destId="{CF16EEA2-6F15-4D2B-BD3C-16626570AF76}" srcOrd="0" destOrd="0" presId="urn:microsoft.com/office/officeart/2005/8/layout/hierarchy3"/>
    <dgm:cxn modelId="{0F382974-CD9F-48CB-8FC8-7C76702F6ED8}" srcId="{BF0B6EC8-73A0-431C-A8AE-D13D916C7317}" destId="{DD04ECFC-E093-4843-9AA3-354CCDDE5F82}" srcOrd="1" destOrd="0" parTransId="{E422247B-50BD-48CD-9B49-5FCE48C9FDA8}" sibTransId="{1A035B6D-52A1-4D16-A80A-844620AC85DC}"/>
    <dgm:cxn modelId="{F6B7DC36-C463-40BB-B622-5AE9241D233E}" srcId="{8A45A180-EFCC-4489-A2EA-920E4252191A}" destId="{0BAF5D6E-BEA7-45C3-9E98-D8CEBF551A04}" srcOrd="1" destOrd="0" parTransId="{D1D990A8-92EA-40D8-9A98-463642688B76}" sibTransId="{6930AD66-F68C-4158-889F-C5FB031BA7F9}"/>
    <dgm:cxn modelId="{05C20457-C28B-4776-A10E-EDB92E2CB825}" type="presOf" srcId="{E5A801CE-CD28-4277-B776-4283DB8F4DB3}" destId="{98BF5B18-3A76-4B3E-8693-FCFDDC1593F6}" srcOrd="0" destOrd="0" presId="urn:microsoft.com/office/officeart/2005/8/layout/hierarchy3"/>
    <dgm:cxn modelId="{6B8B1FFE-6DE7-41B9-8848-616FA6D66B83}" type="presOf" srcId="{7E9D3001-37C3-42C5-AF06-BF27AFF4A8DD}" destId="{AFBBC5BC-8E8D-45C8-A670-62475E0BDBE2}" srcOrd="0" destOrd="0" presId="urn:microsoft.com/office/officeart/2005/8/layout/hierarchy3"/>
    <dgm:cxn modelId="{C3525EBE-806E-488F-B462-D7226948B835}" type="presOf" srcId="{D1D990A8-92EA-40D8-9A98-463642688B76}" destId="{813274A2-1F5D-40CF-8F1C-0EFE968E3F86}" srcOrd="0" destOrd="0" presId="urn:microsoft.com/office/officeart/2005/8/layout/hierarchy3"/>
    <dgm:cxn modelId="{5B659962-5460-436D-9065-2670BDCA5E22}" type="presOf" srcId="{799BBA5A-E149-4B90-9419-FFC0C5DA2DE6}" destId="{54EB4B81-0695-475D-8841-FF3E4934BAAD}" srcOrd="0" destOrd="0" presId="urn:microsoft.com/office/officeart/2005/8/layout/hierarchy3"/>
    <dgm:cxn modelId="{55C9ACE1-9F6C-434A-8A3D-FCFF80C7A85F}" type="presOf" srcId="{0159D7C8-A064-4982-8E3B-2442EC26777A}" destId="{0FE5C5F2-AD0D-4A80-9BDB-E922585EEF4E}" srcOrd="0" destOrd="0" presId="urn:microsoft.com/office/officeart/2005/8/layout/hierarchy3"/>
    <dgm:cxn modelId="{763118E7-2A9F-4AFE-9CA6-FAD42BCF143A}" srcId="{7A368A4C-FC4A-4DD7-98DA-3DEF178D8AB0}" destId="{BDAB3B2E-682F-4451-801D-712D01115A62}" srcOrd="1" destOrd="0" parTransId="{2940A727-EE29-4B7B-B0F5-EEAB4D077E53}" sibTransId="{867FF759-8CD0-4310-B2C3-F20D2578202D}"/>
    <dgm:cxn modelId="{CEA1B491-E472-42EF-89F8-2F01DA480370}" type="presParOf" srcId="{2096A9D9-D807-430F-ABB4-5E99740AACB8}" destId="{2F47282F-0EBC-410D-B136-138EB9F34FDE}" srcOrd="0" destOrd="0" presId="urn:microsoft.com/office/officeart/2005/8/layout/hierarchy3"/>
    <dgm:cxn modelId="{848B937B-77BE-4DD1-9FC6-207FD1C85B18}" type="presParOf" srcId="{2F47282F-0EBC-410D-B136-138EB9F34FDE}" destId="{97D132F0-AEB7-410E-BB5A-40BD60F74E07}" srcOrd="0" destOrd="0" presId="urn:microsoft.com/office/officeart/2005/8/layout/hierarchy3"/>
    <dgm:cxn modelId="{E97EBB0A-0E29-4F1C-80B4-DC77ACA2AC3B}" type="presParOf" srcId="{97D132F0-AEB7-410E-BB5A-40BD60F74E07}" destId="{17D3E9FC-6511-4182-A2DA-FC4D36398778}" srcOrd="0" destOrd="0" presId="urn:microsoft.com/office/officeart/2005/8/layout/hierarchy3"/>
    <dgm:cxn modelId="{57B0D987-2D68-4DA0-A713-01F88002E113}" type="presParOf" srcId="{97D132F0-AEB7-410E-BB5A-40BD60F74E07}" destId="{093FE340-F383-4858-8BF8-D6A95059FD70}" srcOrd="1" destOrd="0" presId="urn:microsoft.com/office/officeart/2005/8/layout/hierarchy3"/>
    <dgm:cxn modelId="{F10DCCFF-AE1F-4E12-85A2-E0B120196B82}" type="presParOf" srcId="{2F47282F-0EBC-410D-B136-138EB9F34FDE}" destId="{4B4D244D-2C09-4BAB-B5DF-6B9A8F92FBB3}" srcOrd="1" destOrd="0" presId="urn:microsoft.com/office/officeart/2005/8/layout/hierarchy3"/>
    <dgm:cxn modelId="{97ED00A3-B0D8-4809-8908-CF732586E681}" type="presParOf" srcId="{4B4D244D-2C09-4BAB-B5DF-6B9A8F92FBB3}" destId="{83C8160E-5CB7-408F-AAF7-2F669BA99F3D}" srcOrd="0" destOrd="0" presId="urn:microsoft.com/office/officeart/2005/8/layout/hierarchy3"/>
    <dgm:cxn modelId="{0C801EAA-B2E3-4F36-97FF-1806661B8043}" type="presParOf" srcId="{4B4D244D-2C09-4BAB-B5DF-6B9A8F92FBB3}" destId="{0DA66F01-8BF5-4882-900D-1951FF366619}" srcOrd="1" destOrd="0" presId="urn:microsoft.com/office/officeart/2005/8/layout/hierarchy3"/>
    <dgm:cxn modelId="{342168D2-FE89-4CF9-9975-13078CFD3B12}" type="presParOf" srcId="{4B4D244D-2C09-4BAB-B5DF-6B9A8F92FBB3}" destId="{77CDD573-FF34-4722-B0FD-9361068FF5E0}" srcOrd="2" destOrd="0" presId="urn:microsoft.com/office/officeart/2005/8/layout/hierarchy3"/>
    <dgm:cxn modelId="{DDC33A1F-CF2C-43C8-9972-9CFEC108BCA3}" type="presParOf" srcId="{4B4D244D-2C09-4BAB-B5DF-6B9A8F92FBB3}" destId="{1B351C96-EFB3-400C-B393-B414E728533B}" srcOrd="3" destOrd="0" presId="urn:microsoft.com/office/officeart/2005/8/layout/hierarchy3"/>
    <dgm:cxn modelId="{3A98A4CB-F07B-4DC7-AA4B-9CD0CFE8444C}" type="presParOf" srcId="{2096A9D9-D807-430F-ABB4-5E99740AACB8}" destId="{FAEDB357-C62E-4082-B88A-D05B41C51293}" srcOrd="1" destOrd="0" presId="urn:microsoft.com/office/officeart/2005/8/layout/hierarchy3"/>
    <dgm:cxn modelId="{72AE519A-E22D-48F1-B4A1-C5183D25A703}" type="presParOf" srcId="{FAEDB357-C62E-4082-B88A-D05B41C51293}" destId="{7640B17A-0E11-4AAD-BD1A-23B8325D662F}" srcOrd="0" destOrd="0" presId="urn:microsoft.com/office/officeart/2005/8/layout/hierarchy3"/>
    <dgm:cxn modelId="{3E74F9EE-6ED3-4391-9D5A-809E3623FB93}" type="presParOf" srcId="{7640B17A-0E11-4AAD-BD1A-23B8325D662F}" destId="{8BFDB521-6FA0-4373-BC34-3C3F68AEB7CE}" srcOrd="0" destOrd="0" presId="urn:microsoft.com/office/officeart/2005/8/layout/hierarchy3"/>
    <dgm:cxn modelId="{2B43E443-7F22-43F1-83EC-5B59602FC825}" type="presParOf" srcId="{7640B17A-0E11-4AAD-BD1A-23B8325D662F}" destId="{2BC76193-9C77-4EFB-9781-26287179CF99}" srcOrd="1" destOrd="0" presId="urn:microsoft.com/office/officeart/2005/8/layout/hierarchy3"/>
    <dgm:cxn modelId="{B7411547-57FD-45B5-890B-CDFF6494BC70}" type="presParOf" srcId="{FAEDB357-C62E-4082-B88A-D05B41C51293}" destId="{C16484F2-3051-45EF-A8A4-83DA37BD7E88}" srcOrd="1" destOrd="0" presId="urn:microsoft.com/office/officeart/2005/8/layout/hierarchy3"/>
    <dgm:cxn modelId="{1466DA78-DBC0-40CC-B2E6-422B231929AD}" type="presParOf" srcId="{C16484F2-3051-45EF-A8A4-83DA37BD7E88}" destId="{98BF5B18-3A76-4B3E-8693-FCFDDC1593F6}" srcOrd="0" destOrd="0" presId="urn:microsoft.com/office/officeart/2005/8/layout/hierarchy3"/>
    <dgm:cxn modelId="{7C12FB2D-FD80-466B-A66F-65AF4799D5B3}" type="presParOf" srcId="{C16484F2-3051-45EF-A8A4-83DA37BD7E88}" destId="{33643173-7174-41FB-8612-659E4C9AAF1C}" srcOrd="1" destOrd="0" presId="urn:microsoft.com/office/officeart/2005/8/layout/hierarchy3"/>
    <dgm:cxn modelId="{E9B450EB-737A-4F31-868A-ADA092F995ED}" type="presParOf" srcId="{C16484F2-3051-45EF-A8A4-83DA37BD7E88}" destId="{26B762FA-D06D-4508-90A1-F0C1F460A153}" srcOrd="2" destOrd="0" presId="urn:microsoft.com/office/officeart/2005/8/layout/hierarchy3"/>
    <dgm:cxn modelId="{A228D627-35DA-45EB-BCA2-7B45A8C8FBAD}" type="presParOf" srcId="{C16484F2-3051-45EF-A8A4-83DA37BD7E88}" destId="{2DCDAB04-F7FF-4C41-BB0E-EDF1067952D5}" srcOrd="3" destOrd="0" presId="urn:microsoft.com/office/officeart/2005/8/layout/hierarchy3"/>
    <dgm:cxn modelId="{100EB0F5-C31D-4F12-8BDF-B09523C1110A}" type="presParOf" srcId="{C16484F2-3051-45EF-A8A4-83DA37BD7E88}" destId="{55589AD8-C0FF-4139-93F4-9E2D09E07F6B}" srcOrd="4" destOrd="0" presId="urn:microsoft.com/office/officeart/2005/8/layout/hierarchy3"/>
    <dgm:cxn modelId="{C9068BF0-AAFC-4442-A8D6-B180FC05F7B1}" type="presParOf" srcId="{C16484F2-3051-45EF-A8A4-83DA37BD7E88}" destId="{C613BB4C-696D-4778-8678-787D2BBB9FE1}" srcOrd="5" destOrd="0" presId="urn:microsoft.com/office/officeart/2005/8/layout/hierarchy3"/>
    <dgm:cxn modelId="{6E051D75-57B6-4CD3-9DC4-75042FACB0BF}" type="presParOf" srcId="{2096A9D9-D807-430F-ABB4-5E99740AACB8}" destId="{20F251DB-2862-4FED-AA2D-9F7A9EAC7AE9}" srcOrd="2" destOrd="0" presId="urn:microsoft.com/office/officeart/2005/8/layout/hierarchy3"/>
    <dgm:cxn modelId="{94116BF2-C3FD-4DE2-86D9-863A9742954E}" type="presParOf" srcId="{20F251DB-2862-4FED-AA2D-9F7A9EAC7AE9}" destId="{41C79DEC-89F8-42E3-A3FF-0C7A43BD93BB}" srcOrd="0" destOrd="0" presId="urn:microsoft.com/office/officeart/2005/8/layout/hierarchy3"/>
    <dgm:cxn modelId="{D495B2F9-744D-4AAA-BA0D-147C822AF876}" type="presParOf" srcId="{41C79DEC-89F8-42E3-A3FF-0C7A43BD93BB}" destId="{641FFD85-7121-4700-9D43-F73F8869EA95}" srcOrd="0" destOrd="0" presId="urn:microsoft.com/office/officeart/2005/8/layout/hierarchy3"/>
    <dgm:cxn modelId="{40F8CDD3-E1D0-490E-96F9-047E29C690A5}" type="presParOf" srcId="{41C79DEC-89F8-42E3-A3FF-0C7A43BD93BB}" destId="{530ED542-9D4B-4CD6-980D-918D972FA272}" srcOrd="1" destOrd="0" presId="urn:microsoft.com/office/officeart/2005/8/layout/hierarchy3"/>
    <dgm:cxn modelId="{B4758187-0DB1-4F63-AE78-9A419DA6A4A2}" type="presParOf" srcId="{20F251DB-2862-4FED-AA2D-9F7A9EAC7AE9}" destId="{5AC6863B-9212-4142-B2E3-51FA0E5F201F}" srcOrd="1" destOrd="0" presId="urn:microsoft.com/office/officeart/2005/8/layout/hierarchy3"/>
    <dgm:cxn modelId="{927CCDE0-954F-4336-B4DC-35DD80E6C46A}" type="presParOf" srcId="{5AC6863B-9212-4142-B2E3-51FA0E5F201F}" destId="{068FCEAD-97E7-4D0F-AB59-F3AC2989EB4C}" srcOrd="0" destOrd="0" presId="urn:microsoft.com/office/officeart/2005/8/layout/hierarchy3"/>
    <dgm:cxn modelId="{2592B254-D594-487C-8820-569F4C829FBE}" type="presParOf" srcId="{5AC6863B-9212-4142-B2E3-51FA0E5F201F}" destId="{8DB6E438-4057-4857-A534-4F6710D1A8EB}" srcOrd="1" destOrd="0" presId="urn:microsoft.com/office/officeart/2005/8/layout/hierarchy3"/>
    <dgm:cxn modelId="{030CB35F-B880-4801-97C9-ABF06ED3B9E2}" type="presParOf" srcId="{5AC6863B-9212-4142-B2E3-51FA0E5F201F}" destId="{813274A2-1F5D-40CF-8F1C-0EFE968E3F86}" srcOrd="2" destOrd="0" presId="urn:microsoft.com/office/officeart/2005/8/layout/hierarchy3"/>
    <dgm:cxn modelId="{9A8A3C0D-B962-4B21-9D5B-638D2090E391}" type="presParOf" srcId="{5AC6863B-9212-4142-B2E3-51FA0E5F201F}" destId="{33E08EF0-F92D-4190-BEB8-E0235A4CA82F}" srcOrd="3" destOrd="0" presId="urn:microsoft.com/office/officeart/2005/8/layout/hierarchy3"/>
    <dgm:cxn modelId="{03171408-6120-4BB4-A4AA-9570B104916C}" type="presParOf" srcId="{5AC6863B-9212-4142-B2E3-51FA0E5F201F}" destId="{FE489FD0-4682-4BFC-8CE9-B3679C9A91B9}" srcOrd="4" destOrd="0" presId="urn:microsoft.com/office/officeart/2005/8/layout/hierarchy3"/>
    <dgm:cxn modelId="{2C420FE4-763B-4820-910D-2D0C9138E94D}" type="presParOf" srcId="{5AC6863B-9212-4142-B2E3-51FA0E5F201F}" destId="{7CC89E85-CEF2-476D-B74A-7E9F12E1E549}" srcOrd="5" destOrd="0" presId="urn:microsoft.com/office/officeart/2005/8/layout/hierarchy3"/>
    <dgm:cxn modelId="{62EBFFBD-B7AB-41F4-8F98-5907F2B45765}" type="presParOf" srcId="{5AC6863B-9212-4142-B2E3-51FA0E5F201F}" destId="{AFBBC5BC-8E8D-45C8-A670-62475E0BDBE2}" srcOrd="6" destOrd="0" presId="urn:microsoft.com/office/officeart/2005/8/layout/hierarchy3"/>
    <dgm:cxn modelId="{CC83A170-0722-4141-A7CC-505695592AA7}" type="presParOf" srcId="{5AC6863B-9212-4142-B2E3-51FA0E5F201F}" destId="{E419FF80-1D14-4920-8A3D-24A247392416}" srcOrd="7" destOrd="0" presId="urn:microsoft.com/office/officeart/2005/8/layout/hierarchy3"/>
    <dgm:cxn modelId="{4BFF35E8-D90B-4CC8-99E3-35ABD0D4F4A6}" type="presParOf" srcId="{2096A9D9-D807-430F-ABB4-5E99740AACB8}" destId="{7E4F367A-012F-4F30-9E43-088DE61B2B5D}" srcOrd="3" destOrd="0" presId="urn:microsoft.com/office/officeart/2005/8/layout/hierarchy3"/>
    <dgm:cxn modelId="{9C7B8F60-79A5-4F1E-B65F-89CF406AD387}" type="presParOf" srcId="{7E4F367A-012F-4F30-9E43-088DE61B2B5D}" destId="{9F8FA955-3129-44C3-894C-63F6769A475D}" srcOrd="0" destOrd="0" presId="urn:microsoft.com/office/officeart/2005/8/layout/hierarchy3"/>
    <dgm:cxn modelId="{078F8A9A-904A-46EA-8378-AE70CE69ED47}" type="presParOf" srcId="{9F8FA955-3129-44C3-894C-63F6769A475D}" destId="{935DA603-DB92-4777-AF0B-679A66001C65}" srcOrd="0" destOrd="0" presId="urn:microsoft.com/office/officeart/2005/8/layout/hierarchy3"/>
    <dgm:cxn modelId="{8C80273A-04AF-4B4A-A94F-D3DCA530A68F}" type="presParOf" srcId="{9F8FA955-3129-44C3-894C-63F6769A475D}" destId="{446A747E-CC2F-4711-AC78-12B65C4F3BF8}" srcOrd="1" destOrd="0" presId="urn:microsoft.com/office/officeart/2005/8/layout/hierarchy3"/>
    <dgm:cxn modelId="{9916BBCD-C89F-4EE6-99CF-870FD798B2B3}" type="presParOf" srcId="{7E4F367A-012F-4F30-9E43-088DE61B2B5D}" destId="{A3CCF857-A9AE-48D6-8204-5A07B8C7DB89}" srcOrd="1" destOrd="0" presId="urn:microsoft.com/office/officeart/2005/8/layout/hierarchy3"/>
    <dgm:cxn modelId="{6DD4365C-69FF-41DD-845F-00CA300BDB7A}" type="presParOf" srcId="{A3CCF857-A9AE-48D6-8204-5A07B8C7DB89}" destId="{450DB566-9D97-454C-8CA0-2CBAFCB4C06B}" srcOrd="0" destOrd="0" presId="urn:microsoft.com/office/officeart/2005/8/layout/hierarchy3"/>
    <dgm:cxn modelId="{31C2BD63-9F85-4008-B372-429CA96BD23C}" type="presParOf" srcId="{A3CCF857-A9AE-48D6-8204-5A07B8C7DB89}" destId="{CDDFD37C-1733-4C92-A94E-C66B9D967964}" srcOrd="1" destOrd="0" presId="urn:microsoft.com/office/officeart/2005/8/layout/hierarchy3"/>
    <dgm:cxn modelId="{EF5F5D6D-0200-42C6-BCFB-30FE3A83CE16}" type="presParOf" srcId="{A3CCF857-A9AE-48D6-8204-5A07B8C7DB89}" destId="{EBA742B4-FEA6-4582-ACBA-962A756362C4}" srcOrd="2" destOrd="0" presId="urn:microsoft.com/office/officeart/2005/8/layout/hierarchy3"/>
    <dgm:cxn modelId="{8CF59377-BC74-4E67-8C23-EB795F25B450}" type="presParOf" srcId="{A3CCF857-A9AE-48D6-8204-5A07B8C7DB89}" destId="{F1759B7B-D6B7-44FD-910B-0FC9A38A9BF6}" srcOrd="3" destOrd="0" presId="urn:microsoft.com/office/officeart/2005/8/layout/hierarchy3"/>
    <dgm:cxn modelId="{667CED9D-427C-4B4C-9FB9-50F44AD72E20}" type="presParOf" srcId="{2096A9D9-D807-430F-ABB4-5E99740AACB8}" destId="{486A57D8-75DC-4BB4-B774-A551F14EDD1E}" srcOrd="4" destOrd="0" presId="urn:microsoft.com/office/officeart/2005/8/layout/hierarchy3"/>
    <dgm:cxn modelId="{0C6625D3-630D-4F4E-9F83-F67CD1915E4F}" type="presParOf" srcId="{486A57D8-75DC-4BB4-B774-A551F14EDD1E}" destId="{01FF5724-1D94-4510-A9B2-353B17090314}" srcOrd="0" destOrd="0" presId="urn:microsoft.com/office/officeart/2005/8/layout/hierarchy3"/>
    <dgm:cxn modelId="{C21B1F57-4D5A-4499-A78A-195DFC1609A2}" type="presParOf" srcId="{01FF5724-1D94-4510-A9B2-353B17090314}" destId="{93479373-5365-4D0F-A456-E1574AE06D3E}" srcOrd="0" destOrd="0" presId="urn:microsoft.com/office/officeart/2005/8/layout/hierarchy3"/>
    <dgm:cxn modelId="{B84AD572-6EE5-4212-865D-7FE9E8459878}" type="presParOf" srcId="{01FF5724-1D94-4510-A9B2-353B17090314}" destId="{27085636-2242-407C-97C6-77E5BD57EAFA}" srcOrd="1" destOrd="0" presId="urn:microsoft.com/office/officeart/2005/8/layout/hierarchy3"/>
    <dgm:cxn modelId="{3E0FAF9F-8E55-49A2-9EC2-9A09D90DE5B2}" type="presParOf" srcId="{486A57D8-75DC-4BB4-B774-A551F14EDD1E}" destId="{F6A02185-DB80-4315-8E92-F6CE3E9EA0BF}" srcOrd="1" destOrd="0" presId="urn:microsoft.com/office/officeart/2005/8/layout/hierarchy3"/>
    <dgm:cxn modelId="{42896CF5-2B3D-44E2-A2B1-349DC4033E9C}" type="presParOf" srcId="{F6A02185-DB80-4315-8E92-F6CE3E9EA0BF}" destId="{F876FFF9-562B-4B28-B010-25102CA2E5CA}" srcOrd="0" destOrd="0" presId="urn:microsoft.com/office/officeart/2005/8/layout/hierarchy3"/>
    <dgm:cxn modelId="{B1DA1FFE-3E73-4EA0-9E91-769A95BC0D5B}" type="presParOf" srcId="{F6A02185-DB80-4315-8E92-F6CE3E9EA0BF}" destId="{54EB4B81-0695-475D-8841-FF3E4934BAAD}" srcOrd="1" destOrd="0" presId="urn:microsoft.com/office/officeart/2005/8/layout/hierarchy3"/>
    <dgm:cxn modelId="{8BD133FF-8DC3-44E6-B152-4523D129A77E}" type="presParOf" srcId="{F6A02185-DB80-4315-8E92-F6CE3E9EA0BF}" destId="{01FC7C27-9BF5-48DF-8AD2-0169BCB30A53}" srcOrd="2" destOrd="0" presId="urn:microsoft.com/office/officeart/2005/8/layout/hierarchy3"/>
    <dgm:cxn modelId="{523C2123-3675-43AA-9717-C5E50EFB940D}" type="presParOf" srcId="{F6A02185-DB80-4315-8E92-F6CE3E9EA0BF}" destId="{B6D4210D-45AC-49D0-909D-79E1DBE071C4}" srcOrd="3" destOrd="0" presId="urn:microsoft.com/office/officeart/2005/8/layout/hierarchy3"/>
    <dgm:cxn modelId="{6AAE8A50-D456-4B3A-89A4-EDDD1F4AFE4E}" type="presParOf" srcId="{F6A02185-DB80-4315-8E92-F6CE3E9EA0BF}" destId="{0FAEB207-E974-4D1A-A48A-D522F211C52C}" srcOrd="4" destOrd="0" presId="urn:microsoft.com/office/officeart/2005/8/layout/hierarchy3"/>
    <dgm:cxn modelId="{A7E995F4-567B-424C-BB2C-CC72EFEDFB49}" type="presParOf" srcId="{F6A02185-DB80-4315-8E92-F6CE3E9EA0BF}" destId="{D3369F4A-AA3C-4883-A400-C7CFA55A689C}" srcOrd="5" destOrd="0" presId="urn:microsoft.com/office/officeart/2005/8/layout/hierarchy3"/>
    <dgm:cxn modelId="{B43B2B47-0990-46E4-97B1-E0EFD082CA58}" type="presParOf" srcId="{2096A9D9-D807-430F-ABB4-5E99740AACB8}" destId="{00D7F785-6E45-4594-A1F0-8885472310BF}" srcOrd="5" destOrd="0" presId="urn:microsoft.com/office/officeart/2005/8/layout/hierarchy3"/>
    <dgm:cxn modelId="{996D08AB-76DE-4F59-B4FF-D0468CC8FBF9}" type="presParOf" srcId="{00D7F785-6E45-4594-A1F0-8885472310BF}" destId="{FE422597-3C6F-427A-80C9-0CA275FE705B}" srcOrd="0" destOrd="0" presId="urn:microsoft.com/office/officeart/2005/8/layout/hierarchy3"/>
    <dgm:cxn modelId="{1910EB46-952F-429A-B492-ADE559998D47}" type="presParOf" srcId="{FE422597-3C6F-427A-80C9-0CA275FE705B}" destId="{21D83AFC-EE29-410A-B3DC-C27F6086DB84}" srcOrd="0" destOrd="0" presId="urn:microsoft.com/office/officeart/2005/8/layout/hierarchy3"/>
    <dgm:cxn modelId="{143E32E5-2BE4-420E-AF57-D9FCEBF71654}" type="presParOf" srcId="{FE422597-3C6F-427A-80C9-0CA275FE705B}" destId="{F6103AE6-BE7D-4258-A544-D8C783C405D9}" srcOrd="1" destOrd="0" presId="urn:microsoft.com/office/officeart/2005/8/layout/hierarchy3"/>
    <dgm:cxn modelId="{629C493A-C335-4AB0-8644-528888527B0B}" type="presParOf" srcId="{00D7F785-6E45-4594-A1F0-8885472310BF}" destId="{D8EEBB39-C628-42C0-AFC6-6129D29655E8}" srcOrd="1" destOrd="0" presId="urn:microsoft.com/office/officeart/2005/8/layout/hierarchy3"/>
    <dgm:cxn modelId="{0F70998A-0C2C-47DD-A1A4-CD55F40F5B49}" type="presParOf" srcId="{D8EEBB39-C628-42C0-AFC6-6129D29655E8}" destId="{85992154-CD68-484F-B446-5E16156B5814}" srcOrd="0" destOrd="0" presId="urn:microsoft.com/office/officeart/2005/8/layout/hierarchy3"/>
    <dgm:cxn modelId="{B0EA68CD-AFA6-4455-B810-FC862C7A02BC}" type="presParOf" srcId="{D8EEBB39-C628-42C0-AFC6-6129D29655E8}" destId="{C9C1EFB4-C11A-47AE-AD35-EA443F290B1C}" srcOrd="1" destOrd="0" presId="urn:microsoft.com/office/officeart/2005/8/layout/hierarchy3"/>
    <dgm:cxn modelId="{0F4AFC87-907B-40F4-A419-C6821076FC56}" type="presParOf" srcId="{D8EEBB39-C628-42C0-AFC6-6129D29655E8}" destId="{04530849-2D57-46A6-824E-EB1009B5C4BB}" srcOrd="2" destOrd="0" presId="urn:microsoft.com/office/officeart/2005/8/layout/hierarchy3"/>
    <dgm:cxn modelId="{240D0DCB-6A63-4F7B-8BD7-4B5F8CC847B3}" type="presParOf" srcId="{D8EEBB39-C628-42C0-AFC6-6129D29655E8}" destId="{CF16EEA2-6F15-4D2B-BD3C-16626570AF76}" srcOrd="3" destOrd="0" presId="urn:microsoft.com/office/officeart/2005/8/layout/hierarchy3"/>
    <dgm:cxn modelId="{B3CE70C8-4647-4C73-BE6F-C0C4958E6814}" type="presParOf" srcId="{2096A9D9-D807-430F-ABB4-5E99740AACB8}" destId="{CB188B46-05A6-4C17-96AF-7912B3E32D73}" srcOrd="6" destOrd="0" presId="urn:microsoft.com/office/officeart/2005/8/layout/hierarchy3"/>
    <dgm:cxn modelId="{F6E535FE-D07B-4B13-804A-F938CD116C77}" type="presParOf" srcId="{CB188B46-05A6-4C17-96AF-7912B3E32D73}" destId="{92AE4588-2F4F-437E-93CD-CE24E27FECF7}" srcOrd="0" destOrd="0" presId="urn:microsoft.com/office/officeart/2005/8/layout/hierarchy3"/>
    <dgm:cxn modelId="{924E7197-1061-4556-9268-EC1E162F8664}" type="presParOf" srcId="{92AE4588-2F4F-437E-93CD-CE24E27FECF7}" destId="{48DC6ED1-C4A6-44BE-9954-FD3012252E95}" srcOrd="0" destOrd="0" presId="urn:microsoft.com/office/officeart/2005/8/layout/hierarchy3"/>
    <dgm:cxn modelId="{5378B06A-7257-4BF1-BF0F-B673E8C79A84}" type="presParOf" srcId="{92AE4588-2F4F-437E-93CD-CE24E27FECF7}" destId="{56B4E0C5-A0CF-4DF2-A5B5-35356C45DEC8}" srcOrd="1" destOrd="0" presId="urn:microsoft.com/office/officeart/2005/8/layout/hierarchy3"/>
    <dgm:cxn modelId="{48DC2F4B-4A1E-43AC-82CE-CCD04322F649}" type="presParOf" srcId="{CB188B46-05A6-4C17-96AF-7912B3E32D73}" destId="{6795171D-D6BD-4510-B327-BE5A83AE123B}" srcOrd="1" destOrd="0" presId="urn:microsoft.com/office/officeart/2005/8/layout/hierarchy3"/>
    <dgm:cxn modelId="{EB088403-118A-49A4-B536-B42AF20177AF}" type="presParOf" srcId="{6795171D-D6BD-4510-B327-BE5A83AE123B}" destId="{DCE17D16-8BEC-4C0B-BD88-F84004FB5055}" srcOrd="0" destOrd="0" presId="urn:microsoft.com/office/officeart/2005/8/layout/hierarchy3"/>
    <dgm:cxn modelId="{085A8103-9B31-40DB-9D9E-B1D190015B7C}" type="presParOf" srcId="{6795171D-D6BD-4510-B327-BE5A83AE123B}" destId="{0FE5C5F2-AD0D-4A80-9BDB-E922585EEF4E}" srcOrd="1" destOrd="0" presId="urn:microsoft.com/office/officeart/2005/8/layout/hierarchy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7A368A4C-FC4A-4DD7-98DA-3DEF178D8AB0}" type="doc">
      <dgm:prSet loTypeId="urn:microsoft.com/office/officeart/2005/8/layout/hierarchy3" loCatId="hierarchy" qsTypeId="urn:microsoft.com/office/officeart/2005/8/quickstyle/simple1" qsCatId="simple" csTypeId="urn:microsoft.com/office/officeart/2005/8/colors/accent3_3" csCatId="accent3" phldr="1"/>
      <dgm:spPr/>
      <dgm:t>
        <a:bodyPr/>
        <a:lstStyle/>
        <a:p>
          <a:endParaRPr lang="zh-TW" altLang="en-US"/>
        </a:p>
      </dgm:t>
    </dgm:pt>
    <dgm:pt modelId="{870ACD7B-1CDB-4139-97FF-67439615BD41}">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綜合規劃</a:t>
          </a:r>
        </a:p>
      </dgm:t>
    </dgm:pt>
    <dgm:pt modelId="{A83FB594-1256-4973-8D0D-DBDE051BE544}" type="parTrans" cxnId="{529D3DA8-BE99-4504-8F42-A5A04FF2F7F6}">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79AAB9AE-03FC-4ECF-A116-612BB3D5C896}" type="sibTrans" cxnId="{529D3DA8-BE99-4504-8F42-A5A04FF2F7F6}">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AF78E19E-334C-440D-BA8F-B7224344D33B}">
      <dgm:prSet phldrT="[文字]"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人口統計</a:t>
          </a:r>
          <a:endParaRPr lang="en-US" altLang="zh-TW" sz="900">
            <a:solidFill>
              <a:sysClr val="windowText" lastClr="000000"/>
            </a:solidFill>
            <a:latin typeface="標楷體" panose="03000509000000000000" pitchFamily="65" charset="-120"/>
            <a:ea typeface="標楷體" panose="03000509000000000000" pitchFamily="65" charset="-120"/>
          </a:endParaRPr>
        </a:p>
      </dgm:t>
    </dgm:pt>
    <dgm:pt modelId="{42766048-F3F2-4A7E-B376-8533B1156364}" type="parTrans" cxnId="{EDF7F359-4880-408F-B60B-E5B700C47550}">
      <dgm:prSet/>
      <dgm:spPr>
        <a:ln>
          <a:solidFill>
            <a:schemeClr val="bg1">
              <a:lumMod val="50000"/>
            </a:schemeClr>
          </a:solidFill>
        </a:ln>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09658C58-F432-43E5-BFF7-9B7E14DA4BDA}" type="sibTrans" cxnId="{EDF7F359-4880-408F-B60B-E5B700C47550}">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BDAB3B2E-682F-4451-801D-712D01115A62}">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教育文化</a:t>
          </a:r>
        </a:p>
      </dgm:t>
    </dgm:pt>
    <dgm:pt modelId="{2940A727-EE29-4B7B-B0F5-EEAB4D077E53}" type="parTrans" cxnId="{763118E7-2A9F-4AFE-9CA6-FAD42BCF143A}">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867FF759-8CD0-4310-B2C3-F20D2578202D}" type="sibTrans" cxnId="{763118E7-2A9F-4AFE-9CA6-FAD42BCF143A}">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B23AE7B9-C00F-42D0-A075-292F2EB6F717}">
      <dgm:prSet phldrT="[文字]" custT="1"/>
      <dgm:spPr>
        <a:ln>
          <a:solidFill>
            <a:schemeClr val="bg1">
              <a:lumMod val="50000"/>
            </a:schemeClr>
          </a:solidFill>
          <a:prstDash val="sysDot"/>
        </a:ln>
      </dgm:spPr>
      <dgm:t>
        <a:bodyPr/>
        <a:lstStyle/>
        <a:p>
          <a:pPr algn="ctr"/>
          <a:r>
            <a:rPr lang="zh-TW" altLang="en-US" sz="800">
              <a:solidFill>
                <a:sysClr val="windowText" lastClr="000000"/>
              </a:solidFill>
              <a:latin typeface="標楷體" panose="03000509000000000000" pitchFamily="65" charset="-120"/>
              <a:ea typeface="標楷體" panose="03000509000000000000" pitchFamily="65" charset="-120"/>
            </a:rPr>
            <a:t>高等教育人才培育</a:t>
          </a:r>
        </a:p>
      </dgm:t>
    </dgm:pt>
    <dgm:pt modelId="{E5A801CE-CD28-4277-B776-4283DB8F4DB3}" type="parTrans" cxnId="{03745C0A-533F-4043-BE53-8A059C9A866C}">
      <dgm:prSet/>
      <dgm:spPr>
        <a:ln>
          <a:solidFill>
            <a:schemeClr val="bg1">
              <a:lumMod val="50000"/>
            </a:schemeClr>
          </a:solidFill>
        </a:ln>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2E6F0EA0-DB43-4FED-A074-0FEE43A8B938}" type="sibTrans" cxnId="{03745C0A-533F-4043-BE53-8A059C9A866C}">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9D48CBE9-BE7F-44B4-B3C9-D495C287BCAE}">
      <dgm:prSet phldrT="[文字]"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族語師資需求</a:t>
          </a:r>
        </a:p>
      </dgm:t>
    </dgm:pt>
    <dgm:pt modelId="{93474E4E-6DFF-4BBC-B7F5-80F023F67201}" type="parTrans" cxnId="{5FA07BD0-A21D-4E1D-BE88-FC091863D2D0}">
      <dgm:prSet/>
      <dgm:spPr>
        <a:ln>
          <a:solidFill>
            <a:schemeClr val="bg1">
              <a:lumMod val="50000"/>
            </a:schemeClr>
          </a:solidFill>
        </a:ln>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0E978AC5-65AD-4445-B819-1F874A21B748}" type="sibTrans" cxnId="{5FA07BD0-A21D-4E1D-BE88-FC091863D2D0}">
      <dgm:prSet/>
      <dgm:spPr/>
      <dgm:t>
        <a:bodyPr/>
        <a:lstStyle/>
        <a:p>
          <a:pPr algn="ctr"/>
          <a:endParaRPr lang="zh-TW" altLang="en-US" sz="1000">
            <a:solidFill>
              <a:sysClr val="windowText" lastClr="000000"/>
            </a:solidFill>
            <a:latin typeface="標楷體" panose="03000509000000000000" pitchFamily="65" charset="-120"/>
            <a:ea typeface="標楷體" panose="03000509000000000000" pitchFamily="65" charset="-120"/>
          </a:endParaRPr>
        </a:p>
      </dgm:t>
    </dgm:pt>
    <dgm:pt modelId="{72689515-9303-4884-BFA6-B2F953A77CB3}">
      <dgm:prSet phldrT="[文字]"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大專學生休退學</a:t>
          </a:r>
        </a:p>
      </dgm:t>
    </dgm:pt>
    <dgm:pt modelId="{199BAD13-CD87-463D-B49B-F9F4987D8014}" type="parTrans" cxnId="{1CBE87B3-5052-4D9E-AF9B-C5626539C613}">
      <dgm:prSet/>
      <dgm:spPr>
        <a:ln>
          <a:solidFill>
            <a:schemeClr val="bg1">
              <a:lumMod val="50000"/>
            </a:schemeClr>
          </a:solidFill>
        </a:ln>
      </dgm:spPr>
      <dgm:t>
        <a:bodyPr/>
        <a:lstStyle/>
        <a:p>
          <a:pPr algn="ctr"/>
          <a:endParaRPr lang="zh-TW" altLang="en-US" sz="1000">
            <a:solidFill>
              <a:sysClr val="windowText" lastClr="000000"/>
            </a:solidFill>
          </a:endParaRPr>
        </a:p>
      </dgm:t>
    </dgm:pt>
    <dgm:pt modelId="{424E59F4-B381-4FEF-9638-93AED9C8F210}" type="sibTrans" cxnId="{1CBE87B3-5052-4D9E-AF9B-C5626539C613}">
      <dgm:prSet/>
      <dgm:spPr/>
      <dgm:t>
        <a:bodyPr/>
        <a:lstStyle/>
        <a:p>
          <a:pPr algn="ctr"/>
          <a:endParaRPr lang="zh-TW" altLang="en-US" sz="1000">
            <a:solidFill>
              <a:sysClr val="windowText" lastClr="000000"/>
            </a:solidFill>
          </a:endParaRPr>
        </a:p>
      </dgm:t>
    </dgm:pt>
    <dgm:pt modelId="{8A45A180-EFCC-4489-A2EA-920E4252191A}">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社會福利</a:t>
          </a:r>
        </a:p>
      </dgm:t>
    </dgm:pt>
    <dgm:pt modelId="{E70BCD4B-9F60-4927-97D9-9DC5A44250F0}" type="parTrans" cxnId="{37634413-9197-4622-AFCE-887A3A33D698}">
      <dgm:prSet/>
      <dgm:spPr/>
      <dgm:t>
        <a:bodyPr/>
        <a:lstStyle/>
        <a:p>
          <a:pPr algn="ctr"/>
          <a:endParaRPr lang="zh-TW" altLang="en-US" sz="1000">
            <a:solidFill>
              <a:sysClr val="windowText" lastClr="000000"/>
            </a:solidFill>
          </a:endParaRPr>
        </a:p>
      </dgm:t>
    </dgm:pt>
    <dgm:pt modelId="{9E43F37A-7E3F-4763-977E-7717126D8466}" type="sibTrans" cxnId="{37634413-9197-4622-AFCE-887A3A33D698}">
      <dgm:prSet/>
      <dgm:spPr/>
      <dgm:t>
        <a:bodyPr/>
        <a:lstStyle/>
        <a:p>
          <a:pPr algn="ctr"/>
          <a:endParaRPr lang="zh-TW" altLang="en-US" sz="1000">
            <a:solidFill>
              <a:sysClr val="windowText" lastClr="000000"/>
            </a:solidFill>
          </a:endParaRPr>
        </a:p>
      </dgm:t>
    </dgm:pt>
    <dgm:pt modelId="{09017965-429E-45A8-9AA3-DB3FF297BC29}">
      <dgm:prSet custT="1"/>
      <dgm:spPr>
        <a:ln>
          <a:solidFill>
            <a:schemeClr val="bg1">
              <a:lumMod val="50000"/>
            </a:schemeClr>
          </a:solidFill>
          <a:prstDash val="sysDot"/>
        </a:ln>
      </dgm:spPr>
      <dgm:t>
        <a:bodyPr/>
        <a:lstStyle/>
        <a:p>
          <a:pPr algn="ctr" hangingPunct="0"/>
          <a:r>
            <a:rPr lang="zh-TW" altLang="en-US" sz="900" kern="900" spc="40" baseline="0">
              <a:solidFill>
                <a:sysClr val="windowText" lastClr="000000"/>
              </a:solidFill>
              <a:latin typeface="標楷體" panose="03000509000000000000" pitchFamily="65" charset="-120"/>
              <a:ea typeface="標楷體" panose="03000509000000000000" pitchFamily="65" charset="-120"/>
            </a:rPr>
            <a:t>文化健康站</a:t>
          </a:r>
        </a:p>
      </dgm:t>
    </dgm:pt>
    <dgm:pt modelId="{C500B29B-AD43-4E93-B1DA-7A3DB12BC0A5}" type="parTrans" cxnId="{E7691E10-8E87-490E-BA42-894256A5D0A2}">
      <dgm:prSet/>
      <dgm:spPr>
        <a:ln>
          <a:solidFill>
            <a:schemeClr val="bg1">
              <a:lumMod val="50000"/>
            </a:schemeClr>
          </a:solidFill>
        </a:ln>
      </dgm:spPr>
      <dgm:t>
        <a:bodyPr/>
        <a:lstStyle/>
        <a:p>
          <a:pPr algn="ctr"/>
          <a:endParaRPr lang="zh-TW" altLang="en-US" sz="1000">
            <a:solidFill>
              <a:sysClr val="windowText" lastClr="000000"/>
            </a:solidFill>
          </a:endParaRPr>
        </a:p>
      </dgm:t>
    </dgm:pt>
    <dgm:pt modelId="{CFFC46C4-5828-44FE-9659-6DC289B03E82}" type="sibTrans" cxnId="{E7691E10-8E87-490E-BA42-894256A5D0A2}">
      <dgm:prSet/>
      <dgm:spPr/>
      <dgm:t>
        <a:bodyPr/>
        <a:lstStyle/>
        <a:p>
          <a:pPr algn="ctr"/>
          <a:endParaRPr lang="zh-TW" altLang="en-US" sz="1000">
            <a:solidFill>
              <a:sysClr val="windowText" lastClr="000000"/>
            </a:solidFill>
          </a:endParaRPr>
        </a:p>
      </dgm:t>
    </dgm:pt>
    <dgm:pt modelId="{0BAF5D6E-BEA7-45C3-9E98-D8CEBF551A04}">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長期照顧及醫療</a:t>
          </a:r>
        </a:p>
      </dgm:t>
    </dgm:pt>
    <dgm:pt modelId="{D1D990A8-92EA-40D8-9A98-463642688B76}" type="parTrans" cxnId="{F6B7DC36-C463-40BB-B622-5AE9241D233E}">
      <dgm:prSet/>
      <dgm:spPr>
        <a:ln>
          <a:solidFill>
            <a:schemeClr val="bg1">
              <a:lumMod val="50000"/>
            </a:schemeClr>
          </a:solidFill>
        </a:ln>
      </dgm:spPr>
      <dgm:t>
        <a:bodyPr/>
        <a:lstStyle/>
        <a:p>
          <a:pPr algn="ctr"/>
          <a:endParaRPr lang="zh-TW" altLang="en-US" sz="1000">
            <a:solidFill>
              <a:sysClr val="windowText" lastClr="000000"/>
            </a:solidFill>
          </a:endParaRPr>
        </a:p>
      </dgm:t>
    </dgm:pt>
    <dgm:pt modelId="{6930AD66-F68C-4158-889F-C5FB031BA7F9}" type="sibTrans" cxnId="{F6B7DC36-C463-40BB-B622-5AE9241D233E}">
      <dgm:prSet/>
      <dgm:spPr/>
      <dgm:t>
        <a:bodyPr/>
        <a:lstStyle/>
        <a:p>
          <a:pPr algn="ctr"/>
          <a:endParaRPr lang="zh-TW" altLang="en-US" sz="1000">
            <a:solidFill>
              <a:sysClr val="windowText" lastClr="000000"/>
            </a:solidFill>
          </a:endParaRPr>
        </a:p>
      </dgm:t>
    </dgm:pt>
    <dgm:pt modelId="{2BB7C176-1DDC-4788-9225-3B972FAEBDC6}">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原家中心</a:t>
          </a:r>
        </a:p>
      </dgm:t>
    </dgm:pt>
    <dgm:pt modelId="{84B9F2F8-0E96-4299-BC66-E6C54718F830}" type="parTrans" cxnId="{C402C939-09B0-4912-BC25-4C152A0784C4}">
      <dgm:prSet/>
      <dgm:spPr>
        <a:ln>
          <a:solidFill>
            <a:schemeClr val="bg1">
              <a:lumMod val="50000"/>
            </a:schemeClr>
          </a:solidFill>
        </a:ln>
      </dgm:spPr>
      <dgm:t>
        <a:bodyPr/>
        <a:lstStyle/>
        <a:p>
          <a:pPr algn="ctr"/>
          <a:endParaRPr lang="zh-TW" altLang="en-US" sz="1000">
            <a:solidFill>
              <a:sysClr val="windowText" lastClr="000000"/>
            </a:solidFill>
          </a:endParaRPr>
        </a:p>
      </dgm:t>
    </dgm:pt>
    <dgm:pt modelId="{DCDAA529-2333-4984-9E27-D745D2E67317}" type="sibTrans" cxnId="{C402C939-09B0-4912-BC25-4C152A0784C4}">
      <dgm:prSet/>
      <dgm:spPr/>
      <dgm:t>
        <a:bodyPr/>
        <a:lstStyle/>
        <a:p>
          <a:pPr algn="ctr"/>
          <a:endParaRPr lang="zh-TW" altLang="en-US" sz="1000">
            <a:solidFill>
              <a:sysClr val="windowText" lastClr="000000"/>
            </a:solidFill>
          </a:endParaRPr>
        </a:p>
      </dgm:t>
    </dgm:pt>
    <dgm:pt modelId="{BF0B6EC8-73A0-431C-A8AE-D13D916C7317}">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經濟發展</a:t>
          </a:r>
        </a:p>
      </dgm:t>
    </dgm:pt>
    <dgm:pt modelId="{2AA8B172-22BC-4AF8-84CD-EDEBC83ED372}" type="parTrans" cxnId="{C988EED8-B418-4ACA-BC6A-E349A298EFF9}">
      <dgm:prSet/>
      <dgm:spPr/>
      <dgm:t>
        <a:bodyPr/>
        <a:lstStyle/>
        <a:p>
          <a:pPr algn="ctr"/>
          <a:endParaRPr lang="zh-TW" altLang="en-US" sz="1000">
            <a:solidFill>
              <a:sysClr val="windowText" lastClr="000000"/>
            </a:solidFill>
          </a:endParaRPr>
        </a:p>
      </dgm:t>
    </dgm:pt>
    <dgm:pt modelId="{BAFA4BE7-0833-4104-94BE-E13F36658DED}" type="sibTrans" cxnId="{C988EED8-B418-4ACA-BC6A-E349A298EFF9}">
      <dgm:prSet/>
      <dgm:spPr/>
      <dgm:t>
        <a:bodyPr/>
        <a:lstStyle/>
        <a:p>
          <a:pPr algn="ctr"/>
          <a:endParaRPr lang="zh-TW" altLang="en-US" sz="1000">
            <a:solidFill>
              <a:sysClr val="windowText" lastClr="000000"/>
            </a:solidFill>
          </a:endParaRPr>
        </a:p>
      </dgm:t>
    </dgm:pt>
    <dgm:pt modelId="{D7451759-3187-4751-B012-2E0E12BAC750}">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經濟發展</a:t>
          </a:r>
        </a:p>
      </dgm:t>
    </dgm:pt>
    <dgm:pt modelId="{5A0481D8-A768-4EE7-9B34-0AA51F176E9E}" type="parTrans" cxnId="{E98A3548-808E-415C-848A-4BECE0F90013}">
      <dgm:prSet/>
      <dgm:spPr>
        <a:ln>
          <a:solidFill>
            <a:schemeClr val="bg1">
              <a:lumMod val="50000"/>
            </a:schemeClr>
          </a:solidFill>
        </a:ln>
      </dgm:spPr>
      <dgm:t>
        <a:bodyPr/>
        <a:lstStyle/>
        <a:p>
          <a:pPr algn="ctr"/>
          <a:endParaRPr lang="zh-TW" altLang="en-US" sz="1000">
            <a:solidFill>
              <a:sysClr val="windowText" lastClr="000000"/>
            </a:solidFill>
          </a:endParaRPr>
        </a:p>
      </dgm:t>
    </dgm:pt>
    <dgm:pt modelId="{7C1C2A0A-9D4E-4080-A41B-3085ED444DFF}" type="sibTrans" cxnId="{E98A3548-808E-415C-848A-4BECE0F90013}">
      <dgm:prSet/>
      <dgm:spPr/>
      <dgm:t>
        <a:bodyPr/>
        <a:lstStyle/>
        <a:p>
          <a:pPr algn="ctr"/>
          <a:endParaRPr lang="zh-TW" altLang="en-US" sz="1000">
            <a:solidFill>
              <a:sysClr val="windowText" lastClr="000000"/>
            </a:solidFill>
          </a:endParaRPr>
        </a:p>
      </dgm:t>
    </dgm:pt>
    <dgm:pt modelId="{DD04ECFC-E093-4843-9AA3-354CCDDE5F82}">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融資貸款</a:t>
          </a:r>
        </a:p>
      </dgm:t>
    </dgm:pt>
    <dgm:pt modelId="{E422247B-50BD-48CD-9B49-5FCE48C9FDA8}" type="parTrans" cxnId="{0F382974-CD9F-48CB-8FC8-7C76702F6ED8}">
      <dgm:prSet/>
      <dgm:spPr>
        <a:ln>
          <a:solidFill>
            <a:schemeClr val="bg1">
              <a:lumMod val="50000"/>
            </a:schemeClr>
          </a:solidFill>
        </a:ln>
      </dgm:spPr>
      <dgm:t>
        <a:bodyPr/>
        <a:lstStyle/>
        <a:p>
          <a:pPr algn="ctr"/>
          <a:endParaRPr lang="zh-TW" altLang="en-US" sz="1000">
            <a:solidFill>
              <a:sysClr val="windowText" lastClr="000000"/>
            </a:solidFill>
          </a:endParaRPr>
        </a:p>
      </dgm:t>
    </dgm:pt>
    <dgm:pt modelId="{1A035B6D-52A1-4D16-A80A-844620AC85DC}" type="sibTrans" cxnId="{0F382974-CD9F-48CB-8FC8-7C76702F6ED8}">
      <dgm:prSet/>
      <dgm:spPr/>
      <dgm:t>
        <a:bodyPr/>
        <a:lstStyle/>
        <a:p>
          <a:pPr algn="ctr"/>
          <a:endParaRPr lang="zh-TW" altLang="en-US" sz="1000">
            <a:solidFill>
              <a:sysClr val="windowText" lastClr="000000"/>
            </a:solidFill>
          </a:endParaRPr>
        </a:p>
      </dgm:t>
    </dgm:pt>
    <dgm:pt modelId="{6B32737A-FC23-4494-9520-8505250F91FC}">
      <dgm:prSet phldrT="[文字]" custT="1"/>
      <dgm:spPr>
        <a:solidFill>
          <a:schemeClr val="bg1">
            <a:lumMod val="75000"/>
          </a:schemeClr>
        </a:solidFill>
      </dgm:spPr>
      <dgm:t>
        <a:bodyPr/>
        <a:lstStyle/>
        <a:p>
          <a:pPr algn="ctr"/>
          <a:r>
            <a:rPr lang="zh-TW" altLang="en-US" sz="1000">
              <a:solidFill>
                <a:schemeClr val="tx1"/>
              </a:solidFill>
              <a:latin typeface="標楷體" panose="03000509000000000000" pitchFamily="65" charset="-120"/>
              <a:ea typeface="標楷體" panose="03000509000000000000" pitchFamily="65" charset="-120"/>
            </a:rPr>
            <a:t>公共建設</a:t>
          </a:r>
        </a:p>
      </dgm:t>
    </dgm:pt>
    <dgm:pt modelId="{8FB7339C-6B93-4C01-BC36-C09AD28AB054}" type="parTrans" cxnId="{9D6DDC7C-D49C-4DE6-8359-0CD0616E0E78}">
      <dgm:prSet/>
      <dgm:spPr/>
      <dgm:t>
        <a:bodyPr/>
        <a:lstStyle/>
        <a:p>
          <a:pPr algn="ctr"/>
          <a:endParaRPr lang="zh-TW" altLang="en-US" sz="1000">
            <a:solidFill>
              <a:sysClr val="windowText" lastClr="000000"/>
            </a:solidFill>
          </a:endParaRPr>
        </a:p>
      </dgm:t>
    </dgm:pt>
    <dgm:pt modelId="{A64768EF-57C8-4E90-97A7-474C98FD5F77}" type="sibTrans" cxnId="{9D6DDC7C-D49C-4DE6-8359-0CD0616E0E78}">
      <dgm:prSet/>
      <dgm:spPr/>
      <dgm:t>
        <a:bodyPr/>
        <a:lstStyle/>
        <a:p>
          <a:pPr algn="ctr"/>
          <a:endParaRPr lang="zh-TW" altLang="en-US" sz="1000">
            <a:solidFill>
              <a:sysClr val="windowText" lastClr="000000"/>
            </a:solidFill>
          </a:endParaRPr>
        </a:p>
      </dgm:t>
    </dgm:pt>
    <dgm:pt modelId="{799BBA5A-E149-4B90-9419-FFC0C5DA2DE6}">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部落空間建置整修</a:t>
          </a:r>
        </a:p>
      </dgm:t>
    </dgm:pt>
    <dgm:pt modelId="{6002C496-0D1A-4C43-B64C-47BD37DBDCAA}" type="parTrans" cxnId="{226F19F2-BF8D-48CD-8F7B-3C01534B14B1}">
      <dgm:prSet/>
      <dgm:spPr>
        <a:ln>
          <a:solidFill>
            <a:schemeClr val="bg1">
              <a:lumMod val="50000"/>
            </a:schemeClr>
          </a:solidFill>
        </a:ln>
      </dgm:spPr>
      <dgm:t>
        <a:bodyPr/>
        <a:lstStyle/>
        <a:p>
          <a:pPr algn="ctr"/>
          <a:endParaRPr lang="zh-TW" altLang="en-US" sz="1000">
            <a:solidFill>
              <a:sysClr val="windowText" lastClr="000000"/>
            </a:solidFill>
          </a:endParaRPr>
        </a:p>
      </dgm:t>
    </dgm:pt>
    <dgm:pt modelId="{48FF33CD-07B2-477E-9F7C-C7601BFA6D51}" type="sibTrans" cxnId="{226F19F2-BF8D-48CD-8F7B-3C01534B14B1}">
      <dgm:prSet/>
      <dgm:spPr/>
      <dgm:t>
        <a:bodyPr/>
        <a:lstStyle/>
        <a:p>
          <a:pPr algn="ctr"/>
          <a:endParaRPr lang="zh-TW" altLang="en-US" sz="1000">
            <a:solidFill>
              <a:sysClr val="windowText" lastClr="000000"/>
            </a:solidFill>
          </a:endParaRPr>
        </a:p>
      </dgm:t>
    </dgm:pt>
    <dgm:pt modelId="{DD6AC9B3-DFEE-434D-8A71-FC607899114B}">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特色道路</a:t>
          </a:r>
        </a:p>
      </dgm:t>
    </dgm:pt>
    <dgm:pt modelId="{BF0BD25F-C55E-4521-B189-1A3844E9FFA1}" type="parTrans" cxnId="{88A5EBBF-C01E-4781-8A9B-0A86B13A8611}">
      <dgm:prSet/>
      <dgm:spPr>
        <a:ln>
          <a:solidFill>
            <a:schemeClr val="bg1">
              <a:lumMod val="50000"/>
            </a:schemeClr>
          </a:solidFill>
        </a:ln>
      </dgm:spPr>
      <dgm:t>
        <a:bodyPr/>
        <a:lstStyle/>
        <a:p>
          <a:pPr algn="ctr"/>
          <a:endParaRPr lang="zh-TW" altLang="en-US" sz="1000">
            <a:solidFill>
              <a:sysClr val="windowText" lastClr="000000"/>
            </a:solidFill>
          </a:endParaRPr>
        </a:p>
      </dgm:t>
    </dgm:pt>
    <dgm:pt modelId="{EC408B8F-55E8-49BF-9216-2C0BA1A35A51}" type="sibTrans" cxnId="{88A5EBBF-C01E-4781-8A9B-0A86B13A8611}">
      <dgm:prSet/>
      <dgm:spPr/>
      <dgm:t>
        <a:bodyPr/>
        <a:lstStyle/>
        <a:p>
          <a:pPr algn="ctr"/>
          <a:endParaRPr lang="zh-TW" altLang="en-US" sz="1000">
            <a:solidFill>
              <a:sysClr val="windowText" lastClr="000000"/>
            </a:solidFill>
          </a:endParaRPr>
        </a:p>
      </dgm:t>
    </dgm:pt>
    <dgm:pt modelId="{2E5C1971-5419-4B63-8860-65B975EE8D5B}">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災害風險決策</a:t>
          </a:r>
        </a:p>
      </dgm:t>
    </dgm:pt>
    <dgm:pt modelId="{C48331D1-662D-42D6-9D42-0E89C84FB42E}" type="parTrans" cxnId="{F02E4B67-558E-467F-A3CE-BD6ABE15085E}">
      <dgm:prSet/>
      <dgm:spPr>
        <a:ln>
          <a:solidFill>
            <a:schemeClr val="bg1">
              <a:lumMod val="50000"/>
            </a:schemeClr>
          </a:solidFill>
        </a:ln>
      </dgm:spPr>
      <dgm:t>
        <a:bodyPr/>
        <a:lstStyle/>
        <a:p>
          <a:pPr algn="ctr"/>
          <a:endParaRPr lang="zh-TW" altLang="en-US" sz="1000">
            <a:solidFill>
              <a:sysClr val="windowText" lastClr="000000"/>
            </a:solidFill>
          </a:endParaRPr>
        </a:p>
      </dgm:t>
    </dgm:pt>
    <dgm:pt modelId="{BAD84451-9E0F-48A9-83FA-BB642DA20340}" type="sibTrans" cxnId="{F02E4B67-558E-467F-A3CE-BD6ABE15085E}">
      <dgm:prSet/>
      <dgm:spPr/>
      <dgm:t>
        <a:bodyPr/>
        <a:lstStyle/>
        <a:p>
          <a:pPr algn="ctr"/>
          <a:endParaRPr lang="zh-TW" altLang="en-US" sz="1000">
            <a:solidFill>
              <a:sysClr val="windowText" lastClr="000000"/>
            </a:solidFill>
          </a:endParaRPr>
        </a:p>
      </dgm:t>
    </dgm:pt>
    <dgm:pt modelId="{2274CE85-039D-496B-BE1E-A10C13800296}">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土地管理</a:t>
          </a:r>
        </a:p>
      </dgm:t>
    </dgm:pt>
    <dgm:pt modelId="{B661DDA4-F86E-4844-826D-101301CD9867}" type="parTrans" cxnId="{4F223841-8859-4CDF-901D-1A76EA735387}">
      <dgm:prSet/>
      <dgm:spPr/>
      <dgm:t>
        <a:bodyPr/>
        <a:lstStyle/>
        <a:p>
          <a:pPr algn="ctr"/>
          <a:endParaRPr lang="zh-TW" altLang="en-US" sz="1000">
            <a:solidFill>
              <a:sysClr val="windowText" lastClr="000000"/>
            </a:solidFill>
          </a:endParaRPr>
        </a:p>
      </dgm:t>
    </dgm:pt>
    <dgm:pt modelId="{533F884C-51CA-4C69-BBB6-B2CAB816E897}" type="sibTrans" cxnId="{4F223841-8859-4CDF-901D-1A76EA735387}">
      <dgm:prSet/>
      <dgm:spPr/>
      <dgm:t>
        <a:bodyPr/>
        <a:lstStyle/>
        <a:p>
          <a:pPr algn="ctr"/>
          <a:endParaRPr lang="zh-TW" altLang="en-US" sz="1000">
            <a:solidFill>
              <a:sysClr val="windowText" lastClr="000000"/>
            </a:solidFill>
          </a:endParaRPr>
        </a:p>
      </dgm:t>
    </dgm:pt>
    <dgm:pt modelId="{620B5E2E-8C00-4A5B-8D04-FA72005980C5}">
      <dgm:prSet custT="1"/>
      <dgm:spPr>
        <a:ln>
          <a:solidFill>
            <a:schemeClr val="bg1">
              <a:lumMod val="50000"/>
            </a:schemeClr>
          </a:solidFill>
          <a:prstDash val="sysDot"/>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保留地抵押設定</a:t>
          </a:r>
        </a:p>
      </dgm:t>
    </dgm:pt>
    <dgm:pt modelId="{AE172ECF-C7E6-4399-9DBC-674513738D06}" type="parTrans" cxnId="{458DCC06-F4DA-4AB4-BAA9-07A14762A9AB}">
      <dgm:prSet/>
      <dgm:spPr>
        <a:ln>
          <a:solidFill>
            <a:schemeClr val="bg1">
              <a:lumMod val="50000"/>
            </a:schemeClr>
          </a:solidFill>
        </a:ln>
      </dgm:spPr>
      <dgm:t>
        <a:bodyPr/>
        <a:lstStyle/>
        <a:p>
          <a:pPr algn="ctr"/>
          <a:endParaRPr lang="zh-TW" altLang="en-US" sz="1000">
            <a:solidFill>
              <a:sysClr val="windowText" lastClr="000000"/>
            </a:solidFill>
          </a:endParaRPr>
        </a:p>
      </dgm:t>
    </dgm:pt>
    <dgm:pt modelId="{E234D115-ABA2-4EFF-8D0C-38D38FDD012D}" type="sibTrans" cxnId="{458DCC06-F4DA-4AB4-BAA9-07A14762A9AB}">
      <dgm:prSet/>
      <dgm:spPr/>
      <dgm:t>
        <a:bodyPr/>
        <a:lstStyle/>
        <a:p>
          <a:pPr algn="ctr"/>
          <a:endParaRPr lang="zh-TW" altLang="en-US" sz="1000">
            <a:solidFill>
              <a:sysClr val="windowText" lastClr="000000"/>
            </a:solidFill>
          </a:endParaRPr>
        </a:p>
      </dgm:t>
    </dgm:pt>
    <dgm:pt modelId="{D3DE8774-E2CC-4778-97A6-D150AD5057B1}">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違規利用</a:t>
          </a:r>
        </a:p>
      </dgm:t>
    </dgm:pt>
    <dgm:pt modelId="{123EDC12-287B-4AE8-B942-B8311C99D231}" type="parTrans" cxnId="{A2B57B17-ABF0-4132-816E-30B0C86AB673}">
      <dgm:prSet/>
      <dgm:spPr>
        <a:ln>
          <a:solidFill>
            <a:schemeClr val="bg1">
              <a:lumMod val="50000"/>
            </a:schemeClr>
          </a:solidFill>
        </a:ln>
      </dgm:spPr>
      <dgm:t>
        <a:bodyPr/>
        <a:lstStyle/>
        <a:p>
          <a:pPr algn="ctr"/>
          <a:endParaRPr lang="zh-TW" altLang="en-US" sz="1000">
            <a:solidFill>
              <a:sysClr val="windowText" lastClr="000000"/>
            </a:solidFill>
          </a:endParaRPr>
        </a:p>
      </dgm:t>
    </dgm:pt>
    <dgm:pt modelId="{DF805BFF-A93D-4350-9F25-538B086B2E6A}" type="sibTrans" cxnId="{A2B57B17-ABF0-4132-816E-30B0C86AB673}">
      <dgm:prSet/>
      <dgm:spPr/>
      <dgm:t>
        <a:bodyPr/>
        <a:lstStyle/>
        <a:p>
          <a:pPr algn="ctr"/>
          <a:endParaRPr lang="zh-TW" altLang="en-US" sz="1000">
            <a:solidFill>
              <a:sysClr val="windowText" lastClr="000000"/>
            </a:solidFill>
          </a:endParaRPr>
        </a:p>
      </dgm:t>
    </dgm:pt>
    <dgm:pt modelId="{0215F039-CEA8-4076-B52A-659E0BC42FE9}">
      <dgm:prSet phldrT="[文字]" custT="1"/>
      <dgm:spPr>
        <a:solidFill>
          <a:schemeClr val="bg1">
            <a:lumMod val="75000"/>
          </a:schemeClr>
        </a:solidFill>
      </dgm:spPr>
      <dgm:t>
        <a:bodyPr/>
        <a:lstStyle/>
        <a:p>
          <a:pPr algn="ctr"/>
          <a:r>
            <a:rPr lang="zh-TW" altLang="en-US" sz="1000">
              <a:solidFill>
                <a:sysClr val="windowText" lastClr="000000"/>
              </a:solidFill>
              <a:latin typeface="標楷體" panose="03000509000000000000" pitchFamily="65" charset="-120"/>
              <a:ea typeface="標楷體" panose="03000509000000000000" pitchFamily="65" charset="-120"/>
            </a:rPr>
            <a:t>原發中心</a:t>
          </a:r>
        </a:p>
      </dgm:t>
    </dgm:pt>
    <dgm:pt modelId="{9C06CFFC-1A72-4DA6-90EF-DE6C0D4AD16E}" type="parTrans" cxnId="{E494A628-7CD4-4F0E-A03B-B28C21F4E3F8}">
      <dgm:prSet/>
      <dgm:spPr/>
      <dgm:t>
        <a:bodyPr/>
        <a:lstStyle/>
        <a:p>
          <a:pPr algn="ctr"/>
          <a:endParaRPr lang="zh-TW" altLang="en-US" sz="1000">
            <a:solidFill>
              <a:sysClr val="windowText" lastClr="000000"/>
            </a:solidFill>
          </a:endParaRPr>
        </a:p>
      </dgm:t>
    </dgm:pt>
    <dgm:pt modelId="{AF026011-CEDF-4AB0-8600-FF8ECCA66944}" type="sibTrans" cxnId="{E494A628-7CD4-4F0E-A03B-B28C21F4E3F8}">
      <dgm:prSet/>
      <dgm:spPr/>
      <dgm:t>
        <a:bodyPr/>
        <a:lstStyle/>
        <a:p>
          <a:pPr algn="ctr"/>
          <a:endParaRPr lang="zh-TW" altLang="en-US" sz="1000">
            <a:solidFill>
              <a:sysClr val="windowText" lastClr="000000"/>
            </a:solidFill>
          </a:endParaRPr>
        </a:p>
      </dgm:t>
    </dgm:pt>
    <dgm:pt modelId="{0159D7C8-A064-4982-8E3B-2442EC26777A}">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園區營運</a:t>
          </a:r>
        </a:p>
      </dgm:t>
    </dgm:pt>
    <dgm:pt modelId="{75A3FAE0-F41D-4F57-B6B2-085E11B6EB8E}" type="parTrans" cxnId="{E95C48B1-C7A1-4D34-8164-21E2AEA3214C}">
      <dgm:prSet/>
      <dgm:spPr>
        <a:ln>
          <a:solidFill>
            <a:schemeClr val="bg1">
              <a:lumMod val="50000"/>
            </a:schemeClr>
          </a:solidFill>
        </a:ln>
      </dgm:spPr>
      <dgm:t>
        <a:bodyPr/>
        <a:lstStyle/>
        <a:p>
          <a:pPr algn="ctr"/>
          <a:endParaRPr lang="zh-TW" altLang="en-US" sz="1000">
            <a:solidFill>
              <a:sysClr val="windowText" lastClr="000000"/>
            </a:solidFill>
          </a:endParaRPr>
        </a:p>
      </dgm:t>
    </dgm:pt>
    <dgm:pt modelId="{442F21AC-663C-48C3-ADBB-034B4E61C44F}" type="sibTrans" cxnId="{E95C48B1-C7A1-4D34-8164-21E2AEA3214C}">
      <dgm:prSet/>
      <dgm:spPr/>
      <dgm:t>
        <a:bodyPr/>
        <a:lstStyle/>
        <a:p>
          <a:pPr algn="ctr"/>
          <a:endParaRPr lang="zh-TW" altLang="en-US" sz="1000">
            <a:solidFill>
              <a:sysClr val="windowText" lastClr="000000"/>
            </a:solidFill>
          </a:endParaRPr>
        </a:p>
      </dgm:t>
    </dgm:pt>
    <dgm:pt modelId="{89CC8B33-5381-41DE-801A-D8761CE080AB}">
      <dgm:prSet phldrT="[文字]" custT="1"/>
      <dgm:spPr>
        <a:ln>
          <a:solidFill>
            <a:schemeClr val="bg1">
              <a:lumMod val="50000"/>
            </a:schemeClr>
          </a:solidFill>
        </a:ln>
      </dgm:spPr>
      <dgm:t>
        <a:bodyPr/>
        <a:lstStyle/>
        <a:p>
          <a:pPr algn="ctr"/>
          <a:r>
            <a:rPr lang="zh-TW" altLang="en-US" sz="800">
              <a:solidFill>
                <a:sysClr val="windowText" lastClr="000000"/>
              </a:solidFill>
              <a:latin typeface="標楷體" panose="03000509000000000000" pitchFamily="65" charset="-120"/>
              <a:ea typeface="標楷體" panose="03000509000000000000" pitchFamily="65" charset="-120"/>
            </a:rPr>
            <a:t>都市原住民族發展</a:t>
          </a:r>
          <a:endParaRPr lang="en-US" altLang="zh-TW" sz="800">
            <a:solidFill>
              <a:sysClr val="windowText" lastClr="000000"/>
            </a:solidFill>
            <a:latin typeface="標楷體" panose="03000509000000000000" pitchFamily="65" charset="-120"/>
            <a:ea typeface="標楷體" panose="03000509000000000000" pitchFamily="65" charset="-120"/>
          </a:endParaRPr>
        </a:p>
      </dgm:t>
    </dgm:pt>
    <dgm:pt modelId="{3E111B50-289E-4027-BB00-D88E7E9A2D68}" type="parTrans" cxnId="{D5D41643-5D5B-491A-90F6-CB5B71E482E3}">
      <dgm:prSet/>
      <dgm:spPr>
        <a:ln>
          <a:solidFill>
            <a:schemeClr val="bg1">
              <a:lumMod val="50000"/>
            </a:schemeClr>
          </a:solidFill>
        </a:ln>
      </dgm:spPr>
      <dgm:t>
        <a:bodyPr/>
        <a:lstStyle/>
        <a:p>
          <a:pPr algn="ctr"/>
          <a:endParaRPr lang="zh-TW" altLang="en-US">
            <a:solidFill>
              <a:sysClr val="windowText" lastClr="000000"/>
            </a:solidFill>
          </a:endParaRPr>
        </a:p>
      </dgm:t>
    </dgm:pt>
    <dgm:pt modelId="{65E6431A-07B3-42FB-A5AF-5B3154B2407A}" type="sibTrans" cxnId="{D5D41643-5D5B-491A-90F6-CB5B71E482E3}">
      <dgm:prSet/>
      <dgm:spPr/>
      <dgm:t>
        <a:bodyPr/>
        <a:lstStyle/>
        <a:p>
          <a:pPr algn="ctr"/>
          <a:endParaRPr lang="zh-TW" altLang="en-US">
            <a:solidFill>
              <a:sysClr val="windowText" lastClr="000000"/>
            </a:solidFill>
          </a:endParaRPr>
        </a:p>
      </dgm:t>
    </dgm:pt>
    <dgm:pt modelId="{0BA0CA2F-383A-42AB-A7ED-D497CFB027CF}">
      <dgm:prSet custT="1"/>
      <dgm:spPr>
        <a:ln>
          <a:solidFill>
            <a:schemeClr val="bg1">
              <a:lumMod val="50000"/>
            </a:schemeClr>
          </a:solidFill>
        </a:ln>
      </dgm:spPr>
      <dgm:t>
        <a:bodyPr/>
        <a:lstStyle/>
        <a:p>
          <a:pPr algn="ctr"/>
          <a:r>
            <a:rPr lang="zh-TW" altLang="en-US" sz="900">
              <a:solidFill>
                <a:sysClr val="windowText" lastClr="000000"/>
              </a:solidFill>
              <a:latin typeface="標楷體" panose="03000509000000000000" pitchFamily="65" charset="-120"/>
              <a:ea typeface="標楷體" panose="03000509000000000000" pitchFamily="65" charset="-120"/>
            </a:rPr>
            <a:t>法律扶助</a:t>
          </a:r>
        </a:p>
      </dgm:t>
    </dgm:pt>
    <dgm:pt modelId="{7E9D3001-37C3-42C5-AF06-BF27AFF4A8DD}" type="parTrans" cxnId="{0BFFD010-C04A-498C-AFA2-D9B547911909}">
      <dgm:prSet/>
      <dgm:spPr>
        <a:ln>
          <a:solidFill>
            <a:schemeClr val="bg1">
              <a:lumMod val="50000"/>
            </a:schemeClr>
          </a:solidFill>
        </a:ln>
      </dgm:spPr>
      <dgm:t>
        <a:bodyPr/>
        <a:lstStyle/>
        <a:p>
          <a:pPr algn="ctr"/>
          <a:endParaRPr lang="zh-TW" altLang="en-US">
            <a:solidFill>
              <a:sysClr val="windowText" lastClr="000000"/>
            </a:solidFill>
          </a:endParaRPr>
        </a:p>
      </dgm:t>
    </dgm:pt>
    <dgm:pt modelId="{F9D80F13-A7FE-4847-9B13-7DAC837E55C8}" type="sibTrans" cxnId="{0BFFD010-C04A-498C-AFA2-D9B547911909}">
      <dgm:prSet/>
      <dgm:spPr/>
      <dgm:t>
        <a:bodyPr/>
        <a:lstStyle/>
        <a:p>
          <a:pPr algn="ctr"/>
          <a:endParaRPr lang="zh-TW" altLang="en-US">
            <a:solidFill>
              <a:sysClr val="windowText" lastClr="000000"/>
            </a:solidFill>
          </a:endParaRPr>
        </a:p>
      </dgm:t>
    </dgm:pt>
    <dgm:pt modelId="{2096A9D9-D807-430F-ABB4-5E99740AACB8}" type="pres">
      <dgm:prSet presAssocID="{7A368A4C-FC4A-4DD7-98DA-3DEF178D8AB0}" presName="diagram" presStyleCnt="0">
        <dgm:presLayoutVars>
          <dgm:chPref val="1"/>
          <dgm:dir/>
          <dgm:animOne val="branch"/>
          <dgm:animLvl val="lvl"/>
          <dgm:resizeHandles/>
        </dgm:presLayoutVars>
      </dgm:prSet>
      <dgm:spPr/>
      <dgm:t>
        <a:bodyPr/>
        <a:lstStyle/>
        <a:p>
          <a:endParaRPr lang="zh-TW" altLang="en-US"/>
        </a:p>
      </dgm:t>
    </dgm:pt>
    <dgm:pt modelId="{2F47282F-0EBC-410D-B136-138EB9F34FDE}" type="pres">
      <dgm:prSet presAssocID="{870ACD7B-1CDB-4139-97FF-67439615BD41}" presName="root" presStyleCnt="0"/>
      <dgm:spPr/>
      <dgm:t>
        <a:bodyPr/>
        <a:lstStyle/>
        <a:p>
          <a:endParaRPr lang="zh-TW" altLang="en-US"/>
        </a:p>
      </dgm:t>
    </dgm:pt>
    <dgm:pt modelId="{97D132F0-AEB7-410E-BB5A-40BD60F74E07}" type="pres">
      <dgm:prSet presAssocID="{870ACD7B-1CDB-4139-97FF-67439615BD41}" presName="rootComposite" presStyleCnt="0"/>
      <dgm:spPr/>
      <dgm:t>
        <a:bodyPr/>
        <a:lstStyle/>
        <a:p>
          <a:endParaRPr lang="zh-TW" altLang="en-US"/>
        </a:p>
      </dgm:t>
    </dgm:pt>
    <dgm:pt modelId="{17D3E9FC-6511-4182-A2DA-FC4D36398778}" type="pres">
      <dgm:prSet presAssocID="{870ACD7B-1CDB-4139-97FF-67439615BD41}" presName="rootText" presStyleLbl="node1" presStyleIdx="0" presStyleCnt="7"/>
      <dgm:spPr/>
      <dgm:t>
        <a:bodyPr/>
        <a:lstStyle/>
        <a:p>
          <a:endParaRPr lang="zh-TW" altLang="en-US"/>
        </a:p>
      </dgm:t>
    </dgm:pt>
    <dgm:pt modelId="{093FE340-F383-4858-8BF8-D6A95059FD70}" type="pres">
      <dgm:prSet presAssocID="{870ACD7B-1CDB-4139-97FF-67439615BD41}" presName="rootConnector" presStyleLbl="node1" presStyleIdx="0" presStyleCnt="7"/>
      <dgm:spPr/>
      <dgm:t>
        <a:bodyPr/>
        <a:lstStyle/>
        <a:p>
          <a:endParaRPr lang="zh-TW" altLang="en-US"/>
        </a:p>
      </dgm:t>
    </dgm:pt>
    <dgm:pt modelId="{4B4D244D-2C09-4BAB-B5DF-6B9A8F92FBB3}" type="pres">
      <dgm:prSet presAssocID="{870ACD7B-1CDB-4139-97FF-67439615BD41}" presName="childShape" presStyleCnt="0"/>
      <dgm:spPr/>
      <dgm:t>
        <a:bodyPr/>
        <a:lstStyle/>
        <a:p>
          <a:endParaRPr lang="zh-TW" altLang="en-US"/>
        </a:p>
      </dgm:t>
    </dgm:pt>
    <dgm:pt modelId="{83C8160E-5CB7-408F-AAF7-2F669BA99F3D}" type="pres">
      <dgm:prSet presAssocID="{42766048-F3F2-4A7E-B376-8533B1156364}" presName="Name13" presStyleLbl="parChTrans1D2" presStyleIdx="0" presStyleCnt="17"/>
      <dgm:spPr/>
      <dgm:t>
        <a:bodyPr/>
        <a:lstStyle/>
        <a:p>
          <a:endParaRPr lang="zh-TW" altLang="en-US"/>
        </a:p>
      </dgm:t>
    </dgm:pt>
    <dgm:pt modelId="{0DA66F01-8BF5-4882-900D-1951FF366619}" type="pres">
      <dgm:prSet presAssocID="{AF78E19E-334C-440D-BA8F-B7224344D33B}" presName="childText" presStyleLbl="bgAcc1" presStyleIdx="0" presStyleCnt="17">
        <dgm:presLayoutVars>
          <dgm:bulletEnabled val="1"/>
        </dgm:presLayoutVars>
      </dgm:prSet>
      <dgm:spPr/>
      <dgm:t>
        <a:bodyPr/>
        <a:lstStyle/>
        <a:p>
          <a:endParaRPr lang="zh-TW" altLang="en-US"/>
        </a:p>
      </dgm:t>
    </dgm:pt>
    <dgm:pt modelId="{77CDD573-FF34-4722-B0FD-9361068FF5E0}" type="pres">
      <dgm:prSet presAssocID="{3E111B50-289E-4027-BB00-D88E7E9A2D68}" presName="Name13" presStyleLbl="parChTrans1D2" presStyleIdx="1" presStyleCnt="17"/>
      <dgm:spPr/>
      <dgm:t>
        <a:bodyPr/>
        <a:lstStyle/>
        <a:p>
          <a:endParaRPr lang="zh-TW" altLang="en-US"/>
        </a:p>
      </dgm:t>
    </dgm:pt>
    <dgm:pt modelId="{1B351C96-EFB3-400C-B393-B414E728533B}" type="pres">
      <dgm:prSet presAssocID="{89CC8B33-5381-41DE-801A-D8761CE080AB}" presName="childText" presStyleLbl="bgAcc1" presStyleIdx="1" presStyleCnt="17">
        <dgm:presLayoutVars>
          <dgm:bulletEnabled val="1"/>
        </dgm:presLayoutVars>
      </dgm:prSet>
      <dgm:spPr/>
      <dgm:t>
        <a:bodyPr/>
        <a:lstStyle/>
        <a:p>
          <a:endParaRPr lang="zh-TW" altLang="en-US"/>
        </a:p>
      </dgm:t>
    </dgm:pt>
    <dgm:pt modelId="{FAEDB357-C62E-4082-B88A-D05B41C51293}" type="pres">
      <dgm:prSet presAssocID="{BDAB3B2E-682F-4451-801D-712D01115A62}" presName="root" presStyleCnt="0"/>
      <dgm:spPr/>
      <dgm:t>
        <a:bodyPr/>
        <a:lstStyle/>
        <a:p>
          <a:endParaRPr lang="zh-TW" altLang="en-US"/>
        </a:p>
      </dgm:t>
    </dgm:pt>
    <dgm:pt modelId="{7640B17A-0E11-4AAD-BD1A-23B8325D662F}" type="pres">
      <dgm:prSet presAssocID="{BDAB3B2E-682F-4451-801D-712D01115A62}" presName="rootComposite" presStyleCnt="0"/>
      <dgm:spPr/>
      <dgm:t>
        <a:bodyPr/>
        <a:lstStyle/>
        <a:p>
          <a:endParaRPr lang="zh-TW" altLang="en-US"/>
        </a:p>
      </dgm:t>
    </dgm:pt>
    <dgm:pt modelId="{8BFDB521-6FA0-4373-BC34-3C3F68AEB7CE}" type="pres">
      <dgm:prSet presAssocID="{BDAB3B2E-682F-4451-801D-712D01115A62}" presName="rootText" presStyleLbl="node1" presStyleIdx="1" presStyleCnt="7"/>
      <dgm:spPr/>
      <dgm:t>
        <a:bodyPr/>
        <a:lstStyle/>
        <a:p>
          <a:endParaRPr lang="zh-TW" altLang="en-US"/>
        </a:p>
      </dgm:t>
    </dgm:pt>
    <dgm:pt modelId="{2BC76193-9C77-4EFB-9781-26287179CF99}" type="pres">
      <dgm:prSet presAssocID="{BDAB3B2E-682F-4451-801D-712D01115A62}" presName="rootConnector" presStyleLbl="node1" presStyleIdx="1" presStyleCnt="7"/>
      <dgm:spPr/>
      <dgm:t>
        <a:bodyPr/>
        <a:lstStyle/>
        <a:p>
          <a:endParaRPr lang="zh-TW" altLang="en-US"/>
        </a:p>
      </dgm:t>
    </dgm:pt>
    <dgm:pt modelId="{C16484F2-3051-45EF-A8A4-83DA37BD7E88}" type="pres">
      <dgm:prSet presAssocID="{BDAB3B2E-682F-4451-801D-712D01115A62}" presName="childShape" presStyleCnt="0"/>
      <dgm:spPr/>
      <dgm:t>
        <a:bodyPr/>
        <a:lstStyle/>
        <a:p>
          <a:endParaRPr lang="zh-TW" altLang="en-US"/>
        </a:p>
      </dgm:t>
    </dgm:pt>
    <dgm:pt modelId="{98BF5B18-3A76-4B3E-8693-FCFDDC1593F6}" type="pres">
      <dgm:prSet presAssocID="{E5A801CE-CD28-4277-B776-4283DB8F4DB3}" presName="Name13" presStyleLbl="parChTrans1D2" presStyleIdx="2" presStyleCnt="17"/>
      <dgm:spPr/>
      <dgm:t>
        <a:bodyPr/>
        <a:lstStyle/>
        <a:p>
          <a:endParaRPr lang="zh-TW" altLang="en-US"/>
        </a:p>
      </dgm:t>
    </dgm:pt>
    <dgm:pt modelId="{33643173-7174-41FB-8612-659E4C9AAF1C}" type="pres">
      <dgm:prSet presAssocID="{B23AE7B9-C00F-42D0-A075-292F2EB6F717}" presName="childText" presStyleLbl="bgAcc1" presStyleIdx="2" presStyleCnt="17">
        <dgm:presLayoutVars>
          <dgm:bulletEnabled val="1"/>
        </dgm:presLayoutVars>
      </dgm:prSet>
      <dgm:spPr/>
      <dgm:t>
        <a:bodyPr/>
        <a:lstStyle/>
        <a:p>
          <a:endParaRPr lang="zh-TW" altLang="en-US"/>
        </a:p>
      </dgm:t>
    </dgm:pt>
    <dgm:pt modelId="{26B762FA-D06D-4508-90A1-F0C1F460A153}" type="pres">
      <dgm:prSet presAssocID="{93474E4E-6DFF-4BBC-B7F5-80F023F67201}" presName="Name13" presStyleLbl="parChTrans1D2" presStyleIdx="3" presStyleCnt="17"/>
      <dgm:spPr/>
      <dgm:t>
        <a:bodyPr/>
        <a:lstStyle/>
        <a:p>
          <a:endParaRPr lang="zh-TW" altLang="en-US"/>
        </a:p>
      </dgm:t>
    </dgm:pt>
    <dgm:pt modelId="{2DCDAB04-F7FF-4C41-BB0E-EDF1067952D5}" type="pres">
      <dgm:prSet presAssocID="{9D48CBE9-BE7F-44B4-B3C9-D495C287BCAE}" presName="childText" presStyleLbl="bgAcc1" presStyleIdx="3" presStyleCnt="17">
        <dgm:presLayoutVars>
          <dgm:bulletEnabled val="1"/>
        </dgm:presLayoutVars>
      </dgm:prSet>
      <dgm:spPr/>
      <dgm:t>
        <a:bodyPr/>
        <a:lstStyle/>
        <a:p>
          <a:endParaRPr lang="zh-TW" altLang="en-US"/>
        </a:p>
      </dgm:t>
    </dgm:pt>
    <dgm:pt modelId="{55589AD8-C0FF-4139-93F4-9E2D09E07F6B}" type="pres">
      <dgm:prSet presAssocID="{199BAD13-CD87-463D-B49B-F9F4987D8014}" presName="Name13" presStyleLbl="parChTrans1D2" presStyleIdx="4" presStyleCnt="17"/>
      <dgm:spPr/>
      <dgm:t>
        <a:bodyPr/>
        <a:lstStyle/>
        <a:p>
          <a:endParaRPr lang="zh-TW" altLang="en-US"/>
        </a:p>
      </dgm:t>
    </dgm:pt>
    <dgm:pt modelId="{C613BB4C-696D-4778-8678-787D2BBB9FE1}" type="pres">
      <dgm:prSet presAssocID="{72689515-9303-4884-BFA6-B2F953A77CB3}" presName="childText" presStyleLbl="bgAcc1" presStyleIdx="4" presStyleCnt="17">
        <dgm:presLayoutVars>
          <dgm:bulletEnabled val="1"/>
        </dgm:presLayoutVars>
      </dgm:prSet>
      <dgm:spPr/>
      <dgm:t>
        <a:bodyPr/>
        <a:lstStyle/>
        <a:p>
          <a:endParaRPr lang="zh-TW" altLang="en-US"/>
        </a:p>
      </dgm:t>
    </dgm:pt>
    <dgm:pt modelId="{20F251DB-2862-4FED-AA2D-9F7A9EAC7AE9}" type="pres">
      <dgm:prSet presAssocID="{8A45A180-EFCC-4489-A2EA-920E4252191A}" presName="root" presStyleCnt="0"/>
      <dgm:spPr/>
      <dgm:t>
        <a:bodyPr/>
        <a:lstStyle/>
        <a:p>
          <a:endParaRPr lang="zh-TW" altLang="en-US"/>
        </a:p>
      </dgm:t>
    </dgm:pt>
    <dgm:pt modelId="{41C79DEC-89F8-42E3-A3FF-0C7A43BD93BB}" type="pres">
      <dgm:prSet presAssocID="{8A45A180-EFCC-4489-A2EA-920E4252191A}" presName="rootComposite" presStyleCnt="0"/>
      <dgm:spPr/>
      <dgm:t>
        <a:bodyPr/>
        <a:lstStyle/>
        <a:p>
          <a:endParaRPr lang="zh-TW" altLang="en-US"/>
        </a:p>
      </dgm:t>
    </dgm:pt>
    <dgm:pt modelId="{641FFD85-7121-4700-9D43-F73F8869EA95}" type="pres">
      <dgm:prSet presAssocID="{8A45A180-EFCC-4489-A2EA-920E4252191A}" presName="rootText" presStyleLbl="node1" presStyleIdx="2" presStyleCnt="7"/>
      <dgm:spPr/>
      <dgm:t>
        <a:bodyPr/>
        <a:lstStyle/>
        <a:p>
          <a:endParaRPr lang="zh-TW" altLang="en-US"/>
        </a:p>
      </dgm:t>
    </dgm:pt>
    <dgm:pt modelId="{530ED542-9D4B-4CD6-980D-918D972FA272}" type="pres">
      <dgm:prSet presAssocID="{8A45A180-EFCC-4489-A2EA-920E4252191A}" presName="rootConnector" presStyleLbl="node1" presStyleIdx="2" presStyleCnt="7"/>
      <dgm:spPr/>
      <dgm:t>
        <a:bodyPr/>
        <a:lstStyle/>
        <a:p>
          <a:endParaRPr lang="zh-TW" altLang="en-US"/>
        </a:p>
      </dgm:t>
    </dgm:pt>
    <dgm:pt modelId="{5AC6863B-9212-4142-B2E3-51FA0E5F201F}" type="pres">
      <dgm:prSet presAssocID="{8A45A180-EFCC-4489-A2EA-920E4252191A}" presName="childShape" presStyleCnt="0"/>
      <dgm:spPr/>
      <dgm:t>
        <a:bodyPr/>
        <a:lstStyle/>
        <a:p>
          <a:endParaRPr lang="zh-TW" altLang="en-US"/>
        </a:p>
      </dgm:t>
    </dgm:pt>
    <dgm:pt modelId="{068FCEAD-97E7-4D0F-AB59-F3AC2989EB4C}" type="pres">
      <dgm:prSet presAssocID="{C500B29B-AD43-4E93-B1DA-7A3DB12BC0A5}" presName="Name13" presStyleLbl="parChTrans1D2" presStyleIdx="5" presStyleCnt="17"/>
      <dgm:spPr/>
      <dgm:t>
        <a:bodyPr/>
        <a:lstStyle/>
        <a:p>
          <a:endParaRPr lang="zh-TW" altLang="en-US"/>
        </a:p>
      </dgm:t>
    </dgm:pt>
    <dgm:pt modelId="{8DB6E438-4057-4857-A534-4F6710D1A8EB}" type="pres">
      <dgm:prSet presAssocID="{09017965-429E-45A8-9AA3-DB3FF297BC29}" presName="childText" presStyleLbl="bgAcc1" presStyleIdx="5" presStyleCnt="17">
        <dgm:presLayoutVars>
          <dgm:bulletEnabled val="1"/>
        </dgm:presLayoutVars>
      </dgm:prSet>
      <dgm:spPr/>
      <dgm:t>
        <a:bodyPr/>
        <a:lstStyle/>
        <a:p>
          <a:endParaRPr lang="zh-TW" altLang="en-US"/>
        </a:p>
      </dgm:t>
    </dgm:pt>
    <dgm:pt modelId="{813274A2-1F5D-40CF-8F1C-0EFE968E3F86}" type="pres">
      <dgm:prSet presAssocID="{D1D990A8-92EA-40D8-9A98-463642688B76}" presName="Name13" presStyleLbl="parChTrans1D2" presStyleIdx="6" presStyleCnt="17"/>
      <dgm:spPr/>
      <dgm:t>
        <a:bodyPr/>
        <a:lstStyle/>
        <a:p>
          <a:endParaRPr lang="zh-TW" altLang="en-US"/>
        </a:p>
      </dgm:t>
    </dgm:pt>
    <dgm:pt modelId="{33E08EF0-F92D-4190-BEB8-E0235A4CA82F}" type="pres">
      <dgm:prSet presAssocID="{0BAF5D6E-BEA7-45C3-9E98-D8CEBF551A04}" presName="childText" presStyleLbl="bgAcc1" presStyleIdx="6" presStyleCnt="17">
        <dgm:presLayoutVars>
          <dgm:bulletEnabled val="1"/>
        </dgm:presLayoutVars>
      </dgm:prSet>
      <dgm:spPr/>
      <dgm:t>
        <a:bodyPr/>
        <a:lstStyle/>
        <a:p>
          <a:endParaRPr lang="zh-TW" altLang="en-US"/>
        </a:p>
      </dgm:t>
    </dgm:pt>
    <dgm:pt modelId="{FE489FD0-4682-4BFC-8CE9-B3679C9A91B9}" type="pres">
      <dgm:prSet presAssocID="{84B9F2F8-0E96-4299-BC66-E6C54718F830}" presName="Name13" presStyleLbl="parChTrans1D2" presStyleIdx="7" presStyleCnt="17"/>
      <dgm:spPr/>
      <dgm:t>
        <a:bodyPr/>
        <a:lstStyle/>
        <a:p>
          <a:endParaRPr lang="zh-TW" altLang="en-US"/>
        </a:p>
      </dgm:t>
    </dgm:pt>
    <dgm:pt modelId="{7CC89E85-CEF2-476D-B74A-7E9F12E1E549}" type="pres">
      <dgm:prSet presAssocID="{2BB7C176-1DDC-4788-9225-3B972FAEBDC6}" presName="childText" presStyleLbl="bgAcc1" presStyleIdx="7" presStyleCnt="17">
        <dgm:presLayoutVars>
          <dgm:bulletEnabled val="1"/>
        </dgm:presLayoutVars>
      </dgm:prSet>
      <dgm:spPr/>
      <dgm:t>
        <a:bodyPr/>
        <a:lstStyle/>
        <a:p>
          <a:endParaRPr lang="zh-TW" altLang="en-US"/>
        </a:p>
      </dgm:t>
    </dgm:pt>
    <dgm:pt modelId="{AFBBC5BC-8E8D-45C8-A670-62475E0BDBE2}" type="pres">
      <dgm:prSet presAssocID="{7E9D3001-37C3-42C5-AF06-BF27AFF4A8DD}" presName="Name13" presStyleLbl="parChTrans1D2" presStyleIdx="8" presStyleCnt="17"/>
      <dgm:spPr/>
      <dgm:t>
        <a:bodyPr/>
        <a:lstStyle/>
        <a:p>
          <a:endParaRPr lang="zh-TW" altLang="en-US"/>
        </a:p>
      </dgm:t>
    </dgm:pt>
    <dgm:pt modelId="{E419FF80-1D14-4920-8A3D-24A247392416}" type="pres">
      <dgm:prSet presAssocID="{0BA0CA2F-383A-42AB-A7ED-D497CFB027CF}" presName="childText" presStyleLbl="bgAcc1" presStyleIdx="8" presStyleCnt="17">
        <dgm:presLayoutVars>
          <dgm:bulletEnabled val="1"/>
        </dgm:presLayoutVars>
      </dgm:prSet>
      <dgm:spPr/>
      <dgm:t>
        <a:bodyPr/>
        <a:lstStyle/>
        <a:p>
          <a:endParaRPr lang="zh-TW" altLang="en-US"/>
        </a:p>
      </dgm:t>
    </dgm:pt>
    <dgm:pt modelId="{7E4F367A-012F-4F30-9E43-088DE61B2B5D}" type="pres">
      <dgm:prSet presAssocID="{BF0B6EC8-73A0-431C-A8AE-D13D916C7317}" presName="root" presStyleCnt="0"/>
      <dgm:spPr/>
      <dgm:t>
        <a:bodyPr/>
        <a:lstStyle/>
        <a:p>
          <a:endParaRPr lang="zh-TW" altLang="en-US"/>
        </a:p>
      </dgm:t>
    </dgm:pt>
    <dgm:pt modelId="{9F8FA955-3129-44C3-894C-63F6769A475D}" type="pres">
      <dgm:prSet presAssocID="{BF0B6EC8-73A0-431C-A8AE-D13D916C7317}" presName="rootComposite" presStyleCnt="0"/>
      <dgm:spPr/>
      <dgm:t>
        <a:bodyPr/>
        <a:lstStyle/>
        <a:p>
          <a:endParaRPr lang="zh-TW" altLang="en-US"/>
        </a:p>
      </dgm:t>
    </dgm:pt>
    <dgm:pt modelId="{935DA603-DB92-4777-AF0B-679A66001C65}" type="pres">
      <dgm:prSet presAssocID="{BF0B6EC8-73A0-431C-A8AE-D13D916C7317}" presName="rootText" presStyleLbl="node1" presStyleIdx="3" presStyleCnt="7"/>
      <dgm:spPr/>
      <dgm:t>
        <a:bodyPr/>
        <a:lstStyle/>
        <a:p>
          <a:endParaRPr lang="zh-TW" altLang="en-US"/>
        </a:p>
      </dgm:t>
    </dgm:pt>
    <dgm:pt modelId="{446A747E-CC2F-4711-AC78-12B65C4F3BF8}" type="pres">
      <dgm:prSet presAssocID="{BF0B6EC8-73A0-431C-A8AE-D13D916C7317}" presName="rootConnector" presStyleLbl="node1" presStyleIdx="3" presStyleCnt="7"/>
      <dgm:spPr/>
      <dgm:t>
        <a:bodyPr/>
        <a:lstStyle/>
        <a:p>
          <a:endParaRPr lang="zh-TW" altLang="en-US"/>
        </a:p>
      </dgm:t>
    </dgm:pt>
    <dgm:pt modelId="{A3CCF857-A9AE-48D6-8204-5A07B8C7DB89}" type="pres">
      <dgm:prSet presAssocID="{BF0B6EC8-73A0-431C-A8AE-D13D916C7317}" presName="childShape" presStyleCnt="0"/>
      <dgm:spPr/>
      <dgm:t>
        <a:bodyPr/>
        <a:lstStyle/>
        <a:p>
          <a:endParaRPr lang="zh-TW" altLang="en-US"/>
        </a:p>
      </dgm:t>
    </dgm:pt>
    <dgm:pt modelId="{450DB566-9D97-454C-8CA0-2CBAFCB4C06B}" type="pres">
      <dgm:prSet presAssocID="{5A0481D8-A768-4EE7-9B34-0AA51F176E9E}" presName="Name13" presStyleLbl="parChTrans1D2" presStyleIdx="9" presStyleCnt="17"/>
      <dgm:spPr/>
      <dgm:t>
        <a:bodyPr/>
        <a:lstStyle/>
        <a:p>
          <a:endParaRPr lang="zh-TW" altLang="en-US"/>
        </a:p>
      </dgm:t>
    </dgm:pt>
    <dgm:pt modelId="{CDDFD37C-1733-4C92-A94E-C66B9D967964}" type="pres">
      <dgm:prSet presAssocID="{D7451759-3187-4751-B012-2E0E12BAC750}" presName="childText" presStyleLbl="bgAcc1" presStyleIdx="9" presStyleCnt="17">
        <dgm:presLayoutVars>
          <dgm:bulletEnabled val="1"/>
        </dgm:presLayoutVars>
      </dgm:prSet>
      <dgm:spPr/>
      <dgm:t>
        <a:bodyPr/>
        <a:lstStyle/>
        <a:p>
          <a:endParaRPr lang="zh-TW" altLang="en-US"/>
        </a:p>
      </dgm:t>
    </dgm:pt>
    <dgm:pt modelId="{EBA742B4-FEA6-4582-ACBA-962A756362C4}" type="pres">
      <dgm:prSet presAssocID="{E422247B-50BD-48CD-9B49-5FCE48C9FDA8}" presName="Name13" presStyleLbl="parChTrans1D2" presStyleIdx="10" presStyleCnt="17"/>
      <dgm:spPr/>
      <dgm:t>
        <a:bodyPr/>
        <a:lstStyle/>
        <a:p>
          <a:endParaRPr lang="zh-TW" altLang="en-US"/>
        </a:p>
      </dgm:t>
    </dgm:pt>
    <dgm:pt modelId="{F1759B7B-D6B7-44FD-910B-0FC9A38A9BF6}" type="pres">
      <dgm:prSet presAssocID="{DD04ECFC-E093-4843-9AA3-354CCDDE5F82}" presName="childText" presStyleLbl="bgAcc1" presStyleIdx="10" presStyleCnt="17">
        <dgm:presLayoutVars>
          <dgm:bulletEnabled val="1"/>
        </dgm:presLayoutVars>
      </dgm:prSet>
      <dgm:spPr/>
      <dgm:t>
        <a:bodyPr/>
        <a:lstStyle/>
        <a:p>
          <a:endParaRPr lang="zh-TW" altLang="en-US"/>
        </a:p>
      </dgm:t>
    </dgm:pt>
    <dgm:pt modelId="{486A57D8-75DC-4BB4-B774-A551F14EDD1E}" type="pres">
      <dgm:prSet presAssocID="{6B32737A-FC23-4494-9520-8505250F91FC}" presName="root" presStyleCnt="0"/>
      <dgm:spPr/>
      <dgm:t>
        <a:bodyPr/>
        <a:lstStyle/>
        <a:p>
          <a:endParaRPr lang="zh-TW" altLang="en-US"/>
        </a:p>
      </dgm:t>
    </dgm:pt>
    <dgm:pt modelId="{01FF5724-1D94-4510-A9B2-353B17090314}" type="pres">
      <dgm:prSet presAssocID="{6B32737A-FC23-4494-9520-8505250F91FC}" presName="rootComposite" presStyleCnt="0"/>
      <dgm:spPr/>
      <dgm:t>
        <a:bodyPr/>
        <a:lstStyle/>
        <a:p>
          <a:endParaRPr lang="zh-TW" altLang="en-US"/>
        </a:p>
      </dgm:t>
    </dgm:pt>
    <dgm:pt modelId="{93479373-5365-4D0F-A456-E1574AE06D3E}" type="pres">
      <dgm:prSet presAssocID="{6B32737A-FC23-4494-9520-8505250F91FC}" presName="rootText" presStyleLbl="node1" presStyleIdx="4" presStyleCnt="7"/>
      <dgm:spPr/>
      <dgm:t>
        <a:bodyPr/>
        <a:lstStyle/>
        <a:p>
          <a:endParaRPr lang="zh-TW" altLang="en-US"/>
        </a:p>
      </dgm:t>
    </dgm:pt>
    <dgm:pt modelId="{27085636-2242-407C-97C6-77E5BD57EAFA}" type="pres">
      <dgm:prSet presAssocID="{6B32737A-FC23-4494-9520-8505250F91FC}" presName="rootConnector" presStyleLbl="node1" presStyleIdx="4" presStyleCnt="7"/>
      <dgm:spPr/>
      <dgm:t>
        <a:bodyPr/>
        <a:lstStyle/>
        <a:p>
          <a:endParaRPr lang="zh-TW" altLang="en-US"/>
        </a:p>
      </dgm:t>
    </dgm:pt>
    <dgm:pt modelId="{F6A02185-DB80-4315-8E92-F6CE3E9EA0BF}" type="pres">
      <dgm:prSet presAssocID="{6B32737A-FC23-4494-9520-8505250F91FC}" presName="childShape" presStyleCnt="0"/>
      <dgm:spPr/>
      <dgm:t>
        <a:bodyPr/>
        <a:lstStyle/>
        <a:p>
          <a:endParaRPr lang="zh-TW" altLang="en-US"/>
        </a:p>
      </dgm:t>
    </dgm:pt>
    <dgm:pt modelId="{F876FFF9-562B-4B28-B010-25102CA2E5CA}" type="pres">
      <dgm:prSet presAssocID="{6002C496-0D1A-4C43-B64C-47BD37DBDCAA}" presName="Name13" presStyleLbl="parChTrans1D2" presStyleIdx="11" presStyleCnt="17"/>
      <dgm:spPr/>
      <dgm:t>
        <a:bodyPr/>
        <a:lstStyle/>
        <a:p>
          <a:endParaRPr lang="zh-TW" altLang="en-US"/>
        </a:p>
      </dgm:t>
    </dgm:pt>
    <dgm:pt modelId="{54EB4B81-0695-475D-8841-FF3E4934BAAD}" type="pres">
      <dgm:prSet presAssocID="{799BBA5A-E149-4B90-9419-FFC0C5DA2DE6}" presName="childText" presStyleLbl="bgAcc1" presStyleIdx="11" presStyleCnt="17">
        <dgm:presLayoutVars>
          <dgm:bulletEnabled val="1"/>
        </dgm:presLayoutVars>
      </dgm:prSet>
      <dgm:spPr/>
      <dgm:t>
        <a:bodyPr/>
        <a:lstStyle/>
        <a:p>
          <a:endParaRPr lang="zh-TW" altLang="en-US"/>
        </a:p>
      </dgm:t>
    </dgm:pt>
    <dgm:pt modelId="{01FC7C27-9BF5-48DF-8AD2-0169BCB30A53}" type="pres">
      <dgm:prSet presAssocID="{BF0BD25F-C55E-4521-B189-1A3844E9FFA1}" presName="Name13" presStyleLbl="parChTrans1D2" presStyleIdx="12" presStyleCnt="17"/>
      <dgm:spPr/>
      <dgm:t>
        <a:bodyPr/>
        <a:lstStyle/>
        <a:p>
          <a:endParaRPr lang="zh-TW" altLang="en-US"/>
        </a:p>
      </dgm:t>
    </dgm:pt>
    <dgm:pt modelId="{B6D4210D-45AC-49D0-909D-79E1DBE071C4}" type="pres">
      <dgm:prSet presAssocID="{DD6AC9B3-DFEE-434D-8A71-FC607899114B}" presName="childText" presStyleLbl="bgAcc1" presStyleIdx="12" presStyleCnt="17">
        <dgm:presLayoutVars>
          <dgm:bulletEnabled val="1"/>
        </dgm:presLayoutVars>
      </dgm:prSet>
      <dgm:spPr/>
      <dgm:t>
        <a:bodyPr/>
        <a:lstStyle/>
        <a:p>
          <a:endParaRPr lang="zh-TW" altLang="en-US"/>
        </a:p>
      </dgm:t>
    </dgm:pt>
    <dgm:pt modelId="{0FAEB207-E974-4D1A-A48A-D522F211C52C}" type="pres">
      <dgm:prSet presAssocID="{C48331D1-662D-42D6-9D42-0E89C84FB42E}" presName="Name13" presStyleLbl="parChTrans1D2" presStyleIdx="13" presStyleCnt="17"/>
      <dgm:spPr/>
      <dgm:t>
        <a:bodyPr/>
        <a:lstStyle/>
        <a:p>
          <a:endParaRPr lang="zh-TW" altLang="en-US"/>
        </a:p>
      </dgm:t>
    </dgm:pt>
    <dgm:pt modelId="{D3369F4A-AA3C-4883-A400-C7CFA55A689C}" type="pres">
      <dgm:prSet presAssocID="{2E5C1971-5419-4B63-8860-65B975EE8D5B}" presName="childText" presStyleLbl="bgAcc1" presStyleIdx="13" presStyleCnt="17">
        <dgm:presLayoutVars>
          <dgm:bulletEnabled val="1"/>
        </dgm:presLayoutVars>
      </dgm:prSet>
      <dgm:spPr/>
      <dgm:t>
        <a:bodyPr/>
        <a:lstStyle/>
        <a:p>
          <a:endParaRPr lang="zh-TW" altLang="en-US"/>
        </a:p>
      </dgm:t>
    </dgm:pt>
    <dgm:pt modelId="{00D7F785-6E45-4594-A1F0-8885472310BF}" type="pres">
      <dgm:prSet presAssocID="{2274CE85-039D-496B-BE1E-A10C13800296}" presName="root" presStyleCnt="0"/>
      <dgm:spPr/>
      <dgm:t>
        <a:bodyPr/>
        <a:lstStyle/>
        <a:p>
          <a:endParaRPr lang="zh-TW" altLang="en-US"/>
        </a:p>
      </dgm:t>
    </dgm:pt>
    <dgm:pt modelId="{FE422597-3C6F-427A-80C9-0CA275FE705B}" type="pres">
      <dgm:prSet presAssocID="{2274CE85-039D-496B-BE1E-A10C13800296}" presName="rootComposite" presStyleCnt="0"/>
      <dgm:spPr/>
      <dgm:t>
        <a:bodyPr/>
        <a:lstStyle/>
        <a:p>
          <a:endParaRPr lang="zh-TW" altLang="en-US"/>
        </a:p>
      </dgm:t>
    </dgm:pt>
    <dgm:pt modelId="{21D83AFC-EE29-410A-B3DC-C27F6086DB84}" type="pres">
      <dgm:prSet presAssocID="{2274CE85-039D-496B-BE1E-A10C13800296}" presName="rootText" presStyleLbl="node1" presStyleIdx="5" presStyleCnt="7"/>
      <dgm:spPr/>
      <dgm:t>
        <a:bodyPr/>
        <a:lstStyle/>
        <a:p>
          <a:endParaRPr lang="zh-TW" altLang="en-US"/>
        </a:p>
      </dgm:t>
    </dgm:pt>
    <dgm:pt modelId="{F6103AE6-BE7D-4258-A544-D8C783C405D9}" type="pres">
      <dgm:prSet presAssocID="{2274CE85-039D-496B-BE1E-A10C13800296}" presName="rootConnector" presStyleLbl="node1" presStyleIdx="5" presStyleCnt="7"/>
      <dgm:spPr/>
      <dgm:t>
        <a:bodyPr/>
        <a:lstStyle/>
        <a:p>
          <a:endParaRPr lang="zh-TW" altLang="en-US"/>
        </a:p>
      </dgm:t>
    </dgm:pt>
    <dgm:pt modelId="{D8EEBB39-C628-42C0-AFC6-6129D29655E8}" type="pres">
      <dgm:prSet presAssocID="{2274CE85-039D-496B-BE1E-A10C13800296}" presName="childShape" presStyleCnt="0"/>
      <dgm:spPr/>
      <dgm:t>
        <a:bodyPr/>
        <a:lstStyle/>
        <a:p>
          <a:endParaRPr lang="zh-TW" altLang="en-US"/>
        </a:p>
      </dgm:t>
    </dgm:pt>
    <dgm:pt modelId="{85992154-CD68-484F-B446-5E16156B5814}" type="pres">
      <dgm:prSet presAssocID="{AE172ECF-C7E6-4399-9DBC-674513738D06}" presName="Name13" presStyleLbl="parChTrans1D2" presStyleIdx="14" presStyleCnt="17"/>
      <dgm:spPr/>
      <dgm:t>
        <a:bodyPr/>
        <a:lstStyle/>
        <a:p>
          <a:endParaRPr lang="zh-TW" altLang="en-US"/>
        </a:p>
      </dgm:t>
    </dgm:pt>
    <dgm:pt modelId="{C9C1EFB4-C11A-47AE-AD35-EA443F290B1C}" type="pres">
      <dgm:prSet presAssocID="{620B5E2E-8C00-4A5B-8D04-FA72005980C5}" presName="childText" presStyleLbl="bgAcc1" presStyleIdx="14" presStyleCnt="17">
        <dgm:presLayoutVars>
          <dgm:bulletEnabled val="1"/>
        </dgm:presLayoutVars>
      </dgm:prSet>
      <dgm:spPr/>
      <dgm:t>
        <a:bodyPr/>
        <a:lstStyle/>
        <a:p>
          <a:endParaRPr lang="zh-TW" altLang="en-US"/>
        </a:p>
      </dgm:t>
    </dgm:pt>
    <dgm:pt modelId="{04530849-2D57-46A6-824E-EB1009B5C4BB}" type="pres">
      <dgm:prSet presAssocID="{123EDC12-287B-4AE8-B942-B8311C99D231}" presName="Name13" presStyleLbl="parChTrans1D2" presStyleIdx="15" presStyleCnt="17"/>
      <dgm:spPr/>
      <dgm:t>
        <a:bodyPr/>
        <a:lstStyle/>
        <a:p>
          <a:endParaRPr lang="zh-TW" altLang="en-US"/>
        </a:p>
      </dgm:t>
    </dgm:pt>
    <dgm:pt modelId="{CF16EEA2-6F15-4D2B-BD3C-16626570AF76}" type="pres">
      <dgm:prSet presAssocID="{D3DE8774-E2CC-4778-97A6-D150AD5057B1}" presName="childText" presStyleLbl="bgAcc1" presStyleIdx="15" presStyleCnt="17">
        <dgm:presLayoutVars>
          <dgm:bulletEnabled val="1"/>
        </dgm:presLayoutVars>
      </dgm:prSet>
      <dgm:spPr/>
      <dgm:t>
        <a:bodyPr/>
        <a:lstStyle/>
        <a:p>
          <a:endParaRPr lang="zh-TW" altLang="en-US"/>
        </a:p>
      </dgm:t>
    </dgm:pt>
    <dgm:pt modelId="{CB188B46-05A6-4C17-96AF-7912B3E32D73}" type="pres">
      <dgm:prSet presAssocID="{0215F039-CEA8-4076-B52A-659E0BC42FE9}" presName="root" presStyleCnt="0"/>
      <dgm:spPr/>
      <dgm:t>
        <a:bodyPr/>
        <a:lstStyle/>
        <a:p>
          <a:endParaRPr lang="zh-TW" altLang="en-US"/>
        </a:p>
      </dgm:t>
    </dgm:pt>
    <dgm:pt modelId="{92AE4588-2F4F-437E-93CD-CE24E27FECF7}" type="pres">
      <dgm:prSet presAssocID="{0215F039-CEA8-4076-B52A-659E0BC42FE9}" presName="rootComposite" presStyleCnt="0"/>
      <dgm:spPr/>
      <dgm:t>
        <a:bodyPr/>
        <a:lstStyle/>
        <a:p>
          <a:endParaRPr lang="zh-TW" altLang="en-US"/>
        </a:p>
      </dgm:t>
    </dgm:pt>
    <dgm:pt modelId="{48DC6ED1-C4A6-44BE-9954-FD3012252E95}" type="pres">
      <dgm:prSet presAssocID="{0215F039-CEA8-4076-B52A-659E0BC42FE9}" presName="rootText" presStyleLbl="node1" presStyleIdx="6" presStyleCnt="7"/>
      <dgm:spPr/>
      <dgm:t>
        <a:bodyPr/>
        <a:lstStyle/>
        <a:p>
          <a:endParaRPr lang="zh-TW" altLang="en-US"/>
        </a:p>
      </dgm:t>
    </dgm:pt>
    <dgm:pt modelId="{56B4E0C5-A0CF-4DF2-A5B5-35356C45DEC8}" type="pres">
      <dgm:prSet presAssocID="{0215F039-CEA8-4076-B52A-659E0BC42FE9}" presName="rootConnector" presStyleLbl="node1" presStyleIdx="6" presStyleCnt="7"/>
      <dgm:spPr/>
      <dgm:t>
        <a:bodyPr/>
        <a:lstStyle/>
        <a:p>
          <a:endParaRPr lang="zh-TW" altLang="en-US"/>
        </a:p>
      </dgm:t>
    </dgm:pt>
    <dgm:pt modelId="{6795171D-D6BD-4510-B327-BE5A83AE123B}" type="pres">
      <dgm:prSet presAssocID="{0215F039-CEA8-4076-B52A-659E0BC42FE9}" presName="childShape" presStyleCnt="0"/>
      <dgm:spPr/>
      <dgm:t>
        <a:bodyPr/>
        <a:lstStyle/>
        <a:p>
          <a:endParaRPr lang="zh-TW" altLang="en-US"/>
        </a:p>
      </dgm:t>
    </dgm:pt>
    <dgm:pt modelId="{DCE17D16-8BEC-4C0B-BD88-F84004FB5055}" type="pres">
      <dgm:prSet presAssocID="{75A3FAE0-F41D-4F57-B6B2-085E11B6EB8E}" presName="Name13" presStyleLbl="parChTrans1D2" presStyleIdx="16" presStyleCnt="17"/>
      <dgm:spPr/>
      <dgm:t>
        <a:bodyPr/>
        <a:lstStyle/>
        <a:p>
          <a:endParaRPr lang="zh-TW" altLang="en-US"/>
        </a:p>
      </dgm:t>
    </dgm:pt>
    <dgm:pt modelId="{0FE5C5F2-AD0D-4A80-9BDB-E922585EEF4E}" type="pres">
      <dgm:prSet presAssocID="{0159D7C8-A064-4982-8E3B-2442EC26777A}" presName="childText" presStyleLbl="bgAcc1" presStyleIdx="16" presStyleCnt="17">
        <dgm:presLayoutVars>
          <dgm:bulletEnabled val="1"/>
        </dgm:presLayoutVars>
      </dgm:prSet>
      <dgm:spPr/>
      <dgm:t>
        <a:bodyPr/>
        <a:lstStyle/>
        <a:p>
          <a:endParaRPr lang="zh-TW" altLang="en-US"/>
        </a:p>
      </dgm:t>
    </dgm:pt>
  </dgm:ptLst>
  <dgm:cxnLst>
    <dgm:cxn modelId="{88A5EBBF-C01E-4781-8A9B-0A86B13A8611}" srcId="{6B32737A-FC23-4494-9520-8505250F91FC}" destId="{DD6AC9B3-DFEE-434D-8A71-FC607899114B}" srcOrd="1" destOrd="0" parTransId="{BF0BD25F-C55E-4521-B189-1A3844E9FFA1}" sibTransId="{EC408B8F-55E8-49BF-9216-2C0BA1A35A51}"/>
    <dgm:cxn modelId="{9EE9E4FB-9348-4CBA-9A3F-8D2C8DE79142}" type="presOf" srcId="{2BB7C176-1DDC-4788-9225-3B972FAEBDC6}" destId="{7CC89E85-CEF2-476D-B74A-7E9F12E1E549}" srcOrd="0" destOrd="0" presId="urn:microsoft.com/office/officeart/2005/8/layout/hierarchy3"/>
    <dgm:cxn modelId="{101F20A8-4D12-4601-AE8B-91412DE3AEEC}" type="presOf" srcId="{BF0B6EC8-73A0-431C-A8AE-D13D916C7317}" destId="{935DA603-DB92-4777-AF0B-679A66001C65}" srcOrd="0" destOrd="0" presId="urn:microsoft.com/office/officeart/2005/8/layout/hierarchy3"/>
    <dgm:cxn modelId="{BB7924C8-F386-47CA-A1E7-6D3E14D6B021}" type="presOf" srcId="{6002C496-0D1A-4C43-B64C-47BD37DBDCAA}" destId="{F876FFF9-562B-4B28-B010-25102CA2E5CA}" srcOrd="0" destOrd="0" presId="urn:microsoft.com/office/officeart/2005/8/layout/hierarchy3"/>
    <dgm:cxn modelId="{DBCF6CF4-C903-4528-BBD9-946D7AF389DC}" type="presOf" srcId="{123EDC12-287B-4AE8-B942-B8311C99D231}" destId="{04530849-2D57-46A6-824E-EB1009B5C4BB}" srcOrd="0" destOrd="0" presId="urn:microsoft.com/office/officeart/2005/8/layout/hierarchy3"/>
    <dgm:cxn modelId="{8094699E-5C34-44E9-B4C0-F01695830E2E}" type="presOf" srcId="{B23AE7B9-C00F-42D0-A075-292F2EB6F717}" destId="{33643173-7174-41FB-8612-659E4C9AAF1C}" srcOrd="0" destOrd="0" presId="urn:microsoft.com/office/officeart/2005/8/layout/hierarchy3"/>
    <dgm:cxn modelId="{FA5C70BF-6A18-42DE-94CF-6C0BEA611E22}" type="presOf" srcId="{0215F039-CEA8-4076-B52A-659E0BC42FE9}" destId="{48DC6ED1-C4A6-44BE-9954-FD3012252E95}" srcOrd="0" destOrd="0" presId="urn:microsoft.com/office/officeart/2005/8/layout/hierarchy3"/>
    <dgm:cxn modelId="{3F590999-FF6F-4273-8606-63024CD9D3BB}" type="presOf" srcId="{6B32737A-FC23-4494-9520-8505250F91FC}" destId="{27085636-2242-407C-97C6-77E5BD57EAFA}" srcOrd="1" destOrd="0" presId="urn:microsoft.com/office/officeart/2005/8/layout/hierarchy3"/>
    <dgm:cxn modelId="{27113867-A44B-4061-AC91-CC5AAF305B2D}" type="presOf" srcId="{09017965-429E-45A8-9AA3-DB3FF297BC29}" destId="{8DB6E438-4057-4857-A534-4F6710D1A8EB}" srcOrd="0" destOrd="0" presId="urn:microsoft.com/office/officeart/2005/8/layout/hierarchy3"/>
    <dgm:cxn modelId="{3C8B329C-FB81-4AA0-BF59-24DA53A135C3}" type="presOf" srcId="{9D48CBE9-BE7F-44B4-B3C9-D495C287BCAE}" destId="{2DCDAB04-F7FF-4C41-BB0E-EDF1067952D5}" srcOrd="0" destOrd="0" presId="urn:microsoft.com/office/officeart/2005/8/layout/hierarchy3"/>
    <dgm:cxn modelId="{6154A241-27C4-46B1-B639-D1AD601E15D7}" type="presOf" srcId="{199BAD13-CD87-463D-B49B-F9F4987D8014}" destId="{55589AD8-C0FF-4139-93F4-9E2D09E07F6B}" srcOrd="0" destOrd="0" presId="urn:microsoft.com/office/officeart/2005/8/layout/hierarchy3"/>
    <dgm:cxn modelId="{C8DF85E8-261C-45FC-A7D4-4A4915BB9669}" type="presOf" srcId="{AF78E19E-334C-440D-BA8F-B7224344D33B}" destId="{0DA66F01-8BF5-4882-900D-1951FF366619}" srcOrd="0" destOrd="0" presId="urn:microsoft.com/office/officeart/2005/8/layout/hierarchy3"/>
    <dgm:cxn modelId="{5FA07BD0-A21D-4E1D-BE88-FC091863D2D0}" srcId="{BDAB3B2E-682F-4451-801D-712D01115A62}" destId="{9D48CBE9-BE7F-44B4-B3C9-D495C287BCAE}" srcOrd="1" destOrd="0" parTransId="{93474E4E-6DFF-4BBC-B7F5-80F023F67201}" sibTransId="{0E978AC5-65AD-4445-B819-1F874A21B748}"/>
    <dgm:cxn modelId="{E092749B-2876-4056-9ECC-7815EF36C099}" type="presOf" srcId="{2274CE85-039D-496B-BE1E-A10C13800296}" destId="{F6103AE6-BE7D-4258-A544-D8C783C405D9}" srcOrd="1" destOrd="0" presId="urn:microsoft.com/office/officeart/2005/8/layout/hierarchy3"/>
    <dgm:cxn modelId="{C4FE1ECB-CCCA-4F19-ADD8-2077F912E46E}" type="presOf" srcId="{2E5C1971-5419-4B63-8860-65B975EE8D5B}" destId="{D3369F4A-AA3C-4883-A400-C7CFA55A689C}" srcOrd="0" destOrd="0" presId="urn:microsoft.com/office/officeart/2005/8/layout/hierarchy3"/>
    <dgm:cxn modelId="{8AE22BCD-183E-4E0F-B3AA-84171D1C81E9}" type="presOf" srcId="{BDAB3B2E-682F-4451-801D-712D01115A62}" destId="{8BFDB521-6FA0-4373-BC34-3C3F68AEB7CE}" srcOrd="0" destOrd="0" presId="urn:microsoft.com/office/officeart/2005/8/layout/hierarchy3"/>
    <dgm:cxn modelId="{71DD8F65-71C2-4F22-8334-036CAA3BF3F8}" type="presOf" srcId="{E422247B-50BD-48CD-9B49-5FCE48C9FDA8}" destId="{EBA742B4-FEA6-4582-ACBA-962A756362C4}" srcOrd="0" destOrd="0" presId="urn:microsoft.com/office/officeart/2005/8/layout/hierarchy3"/>
    <dgm:cxn modelId="{96CBF844-7E29-4F09-BA43-5C69B88A6283}" type="presOf" srcId="{5A0481D8-A768-4EE7-9B34-0AA51F176E9E}" destId="{450DB566-9D97-454C-8CA0-2CBAFCB4C06B}" srcOrd="0" destOrd="0" presId="urn:microsoft.com/office/officeart/2005/8/layout/hierarchy3"/>
    <dgm:cxn modelId="{50EB3AE2-DA17-49D3-AD05-F227E4797A7E}" type="presOf" srcId="{7A368A4C-FC4A-4DD7-98DA-3DEF178D8AB0}" destId="{2096A9D9-D807-430F-ABB4-5E99740AACB8}" srcOrd="0" destOrd="0" presId="urn:microsoft.com/office/officeart/2005/8/layout/hierarchy3"/>
    <dgm:cxn modelId="{E98A3548-808E-415C-848A-4BECE0F90013}" srcId="{BF0B6EC8-73A0-431C-A8AE-D13D916C7317}" destId="{D7451759-3187-4751-B012-2E0E12BAC750}" srcOrd="0" destOrd="0" parTransId="{5A0481D8-A768-4EE7-9B34-0AA51F176E9E}" sibTransId="{7C1C2A0A-9D4E-4080-A41B-3085ED444DFF}"/>
    <dgm:cxn modelId="{37634413-9197-4622-AFCE-887A3A33D698}" srcId="{7A368A4C-FC4A-4DD7-98DA-3DEF178D8AB0}" destId="{8A45A180-EFCC-4489-A2EA-920E4252191A}" srcOrd="2" destOrd="0" parTransId="{E70BCD4B-9F60-4927-97D9-9DC5A44250F0}" sibTransId="{9E43F37A-7E3F-4763-977E-7717126D8466}"/>
    <dgm:cxn modelId="{F02E4B67-558E-467F-A3CE-BD6ABE15085E}" srcId="{6B32737A-FC23-4494-9520-8505250F91FC}" destId="{2E5C1971-5419-4B63-8860-65B975EE8D5B}" srcOrd="2" destOrd="0" parTransId="{C48331D1-662D-42D6-9D42-0E89C84FB42E}" sibTransId="{BAD84451-9E0F-48A9-83FA-BB642DA20340}"/>
    <dgm:cxn modelId="{777ADAE5-0F25-4FC5-BDD9-EAEE248915AE}" type="presOf" srcId="{8A45A180-EFCC-4489-A2EA-920E4252191A}" destId="{530ED542-9D4B-4CD6-980D-918D972FA272}" srcOrd="1" destOrd="0" presId="urn:microsoft.com/office/officeart/2005/8/layout/hierarchy3"/>
    <dgm:cxn modelId="{C988EED8-B418-4ACA-BC6A-E349A298EFF9}" srcId="{7A368A4C-FC4A-4DD7-98DA-3DEF178D8AB0}" destId="{BF0B6EC8-73A0-431C-A8AE-D13D916C7317}" srcOrd="3" destOrd="0" parTransId="{2AA8B172-22BC-4AF8-84CD-EDEBC83ED372}" sibTransId="{BAFA4BE7-0833-4104-94BE-E13F36658DED}"/>
    <dgm:cxn modelId="{DF0BEDB9-B571-4ADB-8CBA-10E3CDFE40C3}" type="presOf" srcId="{6B32737A-FC23-4494-9520-8505250F91FC}" destId="{93479373-5365-4D0F-A456-E1574AE06D3E}" srcOrd="0" destOrd="0" presId="urn:microsoft.com/office/officeart/2005/8/layout/hierarchy3"/>
    <dgm:cxn modelId="{EF03DBF2-2F88-400C-9F19-E93C4778B214}" type="presOf" srcId="{0BA0CA2F-383A-42AB-A7ED-D497CFB027CF}" destId="{E419FF80-1D14-4920-8A3D-24A247392416}" srcOrd="0" destOrd="0" presId="urn:microsoft.com/office/officeart/2005/8/layout/hierarchy3"/>
    <dgm:cxn modelId="{E9C81214-2A40-452F-B35D-3A2E246FF46F}" type="presOf" srcId="{BF0BD25F-C55E-4521-B189-1A3844E9FFA1}" destId="{01FC7C27-9BF5-48DF-8AD2-0169BCB30A53}" srcOrd="0" destOrd="0" presId="urn:microsoft.com/office/officeart/2005/8/layout/hierarchy3"/>
    <dgm:cxn modelId="{BD76F266-7660-49E8-ABFF-0754D6E20671}" type="presOf" srcId="{BDAB3B2E-682F-4451-801D-712D01115A62}" destId="{2BC76193-9C77-4EFB-9781-26287179CF99}" srcOrd="1" destOrd="0" presId="urn:microsoft.com/office/officeart/2005/8/layout/hierarchy3"/>
    <dgm:cxn modelId="{A2B57B17-ABF0-4132-816E-30B0C86AB673}" srcId="{2274CE85-039D-496B-BE1E-A10C13800296}" destId="{D3DE8774-E2CC-4778-97A6-D150AD5057B1}" srcOrd="1" destOrd="0" parTransId="{123EDC12-287B-4AE8-B942-B8311C99D231}" sibTransId="{DF805BFF-A93D-4350-9F25-538B086B2E6A}"/>
    <dgm:cxn modelId="{9327E065-DACF-43F7-B085-B4C29E1C8523}" type="presOf" srcId="{870ACD7B-1CDB-4139-97FF-67439615BD41}" destId="{17D3E9FC-6511-4182-A2DA-FC4D36398778}" srcOrd="0" destOrd="0" presId="urn:microsoft.com/office/officeart/2005/8/layout/hierarchy3"/>
    <dgm:cxn modelId="{95D7A42C-67EE-4F4A-9326-E927FD03E96F}" type="presOf" srcId="{BF0B6EC8-73A0-431C-A8AE-D13D916C7317}" destId="{446A747E-CC2F-4711-AC78-12B65C4F3BF8}" srcOrd="1" destOrd="0" presId="urn:microsoft.com/office/officeart/2005/8/layout/hierarchy3"/>
    <dgm:cxn modelId="{0BFFD010-C04A-498C-AFA2-D9B547911909}" srcId="{8A45A180-EFCC-4489-A2EA-920E4252191A}" destId="{0BA0CA2F-383A-42AB-A7ED-D497CFB027CF}" srcOrd="3" destOrd="0" parTransId="{7E9D3001-37C3-42C5-AF06-BF27AFF4A8DD}" sibTransId="{F9D80F13-A7FE-4847-9B13-7DAC837E55C8}"/>
    <dgm:cxn modelId="{8B16402F-4EE6-4E9D-8071-0CA54F016F01}" type="presOf" srcId="{93474E4E-6DFF-4BBC-B7F5-80F023F67201}" destId="{26B762FA-D06D-4508-90A1-F0C1F460A153}" srcOrd="0" destOrd="0" presId="urn:microsoft.com/office/officeart/2005/8/layout/hierarchy3"/>
    <dgm:cxn modelId="{3B9E56E0-98CA-4B5D-9BAC-73559ED529AE}" type="presOf" srcId="{75A3FAE0-F41D-4F57-B6B2-085E11B6EB8E}" destId="{DCE17D16-8BEC-4C0B-BD88-F84004FB5055}" srcOrd="0" destOrd="0" presId="urn:microsoft.com/office/officeart/2005/8/layout/hierarchy3"/>
    <dgm:cxn modelId="{EDF7F359-4880-408F-B60B-E5B700C47550}" srcId="{870ACD7B-1CDB-4139-97FF-67439615BD41}" destId="{AF78E19E-334C-440D-BA8F-B7224344D33B}" srcOrd="0" destOrd="0" parTransId="{42766048-F3F2-4A7E-B376-8533B1156364}" sibTransId="{09658C58-F432-43E5-BFF7-9B7E14DA4BDA}"/>
    <dgm:cxn modelId="{1B6389C8-88F5-4067-8232-A18AB078BF1D}" type="presOf" srcId="{84B9F2F8-0E96-4299-BC66-E6C54718F830}" destId="{FE489FD0-4682-4BFC-8CE9-B3679C9A91B9}" srcOrd="0" destOrd="0" presId="urn:microsoft.com/office/officeart/2005/8/layout/hierarchy3"/>
    <dgm:cxn modelId="{8806D6D7-2E5B-47B6-AA35-E014FE7874B7}" type="presOf" srcId="{DD04ECFC-E093-4843-9AA3-354CCDDE5F82}" destId="{F1759B7B-D6B7-44FD-910B-0FC9A38A9BF6}" srcOrd="0" destOrd="0" presId="urn:microsoft.com/office/officeart/2005/8/layout/hierarchy3"/>
    <dgm:cxn modelId="{6EFE5E74-E546-4FCC-A4AA-3C0A0C2A9941}" type="presOf" srcId="{2274CE85-039D-496B-BE1E-A10C13800296}" destId="{21D83AFC-EE29-410A-B3DC-C27F6086DB84}" srcOrd="0" destOrd="0" presId="urn:microsoft.com/office/officeart/2005/8/layout/hierarchy3"/>
    <dgm:cxn modelId="{E95C48B1-C7A1-4D34-8164-21E2AEA3214C}" srcId="{0215F039-CEA8-4076-B52A-659E0BC42FE9}" destId="{0159D7C8-A064-4982-8E3B-2442EC26777A}" srcOrd="0" destOrd="0" parTransId="{75A3FAE0-F41D-4F57-B6B2-085E11B6EB8E}" sibTransId="{442F21AC-663C-48C3-ADBB-034B4E61C44F}"/>
    <dgm:cxn modelId="{83A85DD8-D6DE-4139-856E-7C9CECA6597B}" type="presOf" srcId="{3E111B50-289E-4027-BB00-D88E7E9A2D68}" destId="{77CDD573-FF34-4722-B0FD-9361068FF5E0}" srcOrd="0" destOrd="0" presId="urn:microsoft.com/office/officeart/2005/8/layout/hierarchy3"/>
    <dgm:cxn modelId="{1CBE87B3-5052-4D9E-AF9B-C5626539C613}" srcId="{BDAB3B2E-682F-4451-801D-712D01115A62}" destId="{72689515-9303-4884-BFA6-B2F953A77CB3}" srcOrd="2" destOrd="0" parTransId="{199BAD13-CD87-463D-B49B-F9F4987D8014}" sibTransId="{424E59F4-B381-4FEF-9638-93AED9C8F210}"/>
    <dgm:cxn modelId="{23A92F8C-27CB-4195-BBC3-ED90E3BCF5E8}" type="presOf" srcId="{72689515-9303-4884-BFA6-B2F953A77CB3}" destId="{C613BB4C-696D-4778-8678-787D2BBB9FE1}" srcOrd="0" destOrd="0" presId="urn:microsoft.com/office/officeart/2005/8/layout/hierarchy3"/>
    <dgm:cxn modelId="{35E446B1-C88E-4C31-A64F-8E83751CC427}" type="presOf" srcId="{D7451759-3187-4751-B012-2E0E12BAC750}" destId="{CDDFD37C-1733-4C92-A94E-C66B9D967964}" srcOrd="0" destOrd="0" presId="urn:microsoft.com/office/officeart/2005/8/layout/hierarchy3"/>
    <dgm:cxn modelId="{9D6DDC7C-D49C-4DE6-8359-0CD0616E0E78}" srcId="{7A368A4C-FC4A-4DD7-98DA-3DEF178D8AB0}" destId="{6B32737A-FC23-4494-9520-8505250F91FC}" srcOrd="4" destOrd="0" parTransId="{8FB7339C-6B93-4C01-BC36-C09AD28AB054}" sibTransId="{A64768EF-57C8-4E90-97A7-474C98FD5F77}"/>
    <dgm:cxn modelId="{619B104F-2EFD-4DB1-8936-D1B1F560C720}" type="presOf" srcId="{AE172ECF-C7E6-4399-9DBC-674513738D06}" destId="{85992154-CD68-484F-B446-5E16156B5814}" srcOrd="0" destOrd="0" presId="urn:microsoft.com/office/officeart/2005/8/layout/hierarchy3"/>
    <dgm:cxn modelId="{E7691E10-8E87-490E-BA42-894256A5D0A2}" srcId="{8A45A180-EFCC-4489-A2EA-920E4252191A}" destId="{09017965-429E-45A8-9AA3-DB3FF297BC29}" srcOrd="0" destOrd="0" parTransId="{C500B29B-AD43-4E93-B1DA-7A3DB12BC0A5}" sibTransId="{CFFC46C4-5828-44FE-9659-6DC289B03E82}"/>
    <dgm:cxn modelId="{2EC8B350-604E-4494-9AA0-E6BF3C83BA64}" type="presOf" srcId="{DD6AC9B3-DFEE-434D-8A71-FC607899114B}" destId="{B6D4210D-45AC-49D0-909D-79E1DBE071C4}" srcOrd="0" destOrd="0" presId="urn:microsoft.com/office/officeart/2005/8/layout/hierarchy3"/>
    <dgm:cxn modelId="{2F53C227-D11E-4238-ACF3-990FF977B44B}" type="presOf" srcId="{C48331D1-662D-42D6-9D42-0E89C84FB42E}" destId="{0FAEB207-E974-4D1A-A48A-D522F211C52C}" srcOrd="0" destOrd="0" presId="urn:microsoft.com/office/officeart/2005/8/layout/hierarchy3"/>
    <dgm:cxn modelId="{9BFD7B1C-9726-43F5-B2A7-13B5A00073AF}" type="presOf" srcId="{620B5E2E-8C00-4A5B-8D04-FA72005980C5}" destId="{C9C1EFB4-C11A-47AE-AD35-EA443F290B1C}" srcOrd="0" destOrd="0" presId="urn:microsoft.com/office/officeart/2005/8/layout/hierarchy3"/>
    <dgm:cxn modelId="{207C65BE-8B0D-4F3C-AFD0-52E2DF67F33D}" type="presOf" srcId="{8A45A180-EFCC-4489-A2EA-920E4252191A}" destId="{641FFD85-7121-4700-9D43-F73F8869EA95}" srcOrd="0" destOrd="0" presId="urn:microsoft.com/office/officeart/2005/8/layout/hierarchy3"/>
    <dgm:cxn modelId="{529D3DA8-BE99-4504-8F42-A5A04FF2F7F6}" srcId="{7A368A4C-FC4A-4DD7-98DA-3DEF178D8AB0}" destId="{870ACD7B-1CDB-4139-97FF-67439615BD41}" srcOrd="0" destOrd="0" parTransId="{A83FB594-1256-4973-8D0D-DBDE051BE544}" sibTransId="{79AAB9AE-03FC-4ECF-A116-612BB3D5C896}"/>
    <dgm:cxn modelId="{AC2657DB-1B39-4F66-9E5E-158B0E15E46E}" type="presOf" srcId="{870ACD7B-1CDB-4139-97FF-67439615BD41}" destId="{093FE340-F383-4858-8BF8-D6A95059FD70}" srcOrd="1" destOrd="0" presId="urn:microsoft.com/office/officeart/2005/8/layout/hierarchy3"/>
    <dgm:cxn modelId="{3D6F6A62-1AB2-4F88-81F9-9F2D996E707C}" type="presOf" srcId="{0BAF5D6E-BEA7-45C3-9E98-D8CEBF551A04}" destId="{33E08EF0-F92D-4190-BEB8-E0235A4CA82F}" srcOrd="0" destOrd="0" presId="urn:microsoft.com/office/officeart/2005/8/layout/hierarchy3"/>
    <dgm:cxn modelId="{9E1FEBA7-6C13-43FA-A5BA-9AEC6D384CD9}" type="presOf" srcId="{0215F039-CEA8-4076-B52A-659E0BC42FE9}" destId="{56B4E0C5-A0CF-4DF2-A5B5-35356C45DEC8}" srcOrd="1" destOrd="0" presId="urn:microsoft.com/office/officeart/2005/8/layout/hierarchy3"/>
    <dgm:cxn modelId="{B557B7EB-DE48-4643-B453-F3313159C03B}" type="presOf" srcId="{C500B29B-AD43-4E93-B1DA-7A3DB12BC0A5}" destId="{068FCEAD-97E7-4D0F-AB59-F3AC2989EB4C}" srcOrd="0" destOrd="0" presId="urn:microsoft.com/office/officeart/2005/8/layout/hierarchy3"/>
    <dgm:cxn modelId="{4F223841-8859-4CDF-901D-1A76EA735387}" srcId="{7A368A4C-FC4A-4DD7-98DA-3DEF178D8AB0}" destId="{2274CE85-039D-496B-BE1E-A10C13800296}" srcOrd="5" destOrd="0" parTransId="{B661DDA4-F86E-4844-826D-101301CD9867}" sibTransId="{533F884C-51CA-4C69-BBB6-B2CAB816E897}"/>
    <dgm:cxn modelId="{458DCC06-F4DA-4AB4-BAA9-07A14762A9AB}" srcId="{2274CE85-039D-496B-BE1E-A10C13800296}" destId="{620B5E2E-8C00-4A5B-8D04-FA72005980C5}" srcOrd="0" destOrd="0" parTransId="{AE172ECF-C7E6-4399-9DBC-674513738D06}" sibTransId="{E234D115-ABA2-4EFF-8D0C-38D38FDD012D}"/>
    <dgm:cxn modelId="{226F19F2-BF8D-48CD-8F7B-3C01534B14B1}" srcId="{6B32737A-FC23-4494-9520-8505250F91FC}" destId="{799BBA5A-E149-4B90-9419-FFC0C5DA2DE6}" srcOrd="0" destOrd="0" parTransId="{6002C496-0D1A-4C43-B64C-47BD37DBDCAA}" sibTransId="{48FF33CD-07B2-477E-9F7C-C7601BFA6D51}"/>
    <dgm:cxn modelId="{E494A628-7CD4-4F0E-A03B-B28C21F4E3F8}" srcId="{7A368A4C-FC4A-4DD7-98DA-3DEF178D8AB0}" destId="{0215F039-CEA8-4076-B52A-659E0BC42FE9}" srcOrd="6" destOrd="0" parTransId="{9C06CFFC-1A72-4DA6-90EF-DE6C0D4AD16E}" sibTransId="{AF026011-CEDF-4AB0-8600-FF8ECCA66944}"/>
    <dgm:cxn modelId="{03745C0A-533F-4043-BE53-8A059C9A866C}" srcId="{BDAB3B2E-682F-4451-801D-712D01115A62}" destId="{B23AE7B9-C00F-42D0-A075-292F2EB6F717}" srcOrd="0" destOrd="0" parTransId="{E5A801CE-CD28-4277-B776-4283DB8F4DB3}" sibTransId="{2E6F0EA0-DB43-4FED-A074-0FEE43A8B938}"/>
    <dgm:cxn modelId="{C402C939-09B0-4912-BC25-4C152A0784C4}" srcId="{8A45A180-EFCC-4489-A2EA-920E4252191A}" destId="{2BB7C176-1DDC-4788-9225-3B972FAEBDC6}" srcOrd="2" destOrd="0" parTransId="{84B9F2F8-0E96-4299-BC66-E6C54718F830}" sibTransId="{DCDAA529-2333-4984-9E27-D745D2E67317}"/>
    <dgm:cxn modelId="{D5D41643-5D5B-491A-90F6-CB5B71E482E3}" srcId="{870ACD7B-1CDB-4139-97FF-67439615BD41}" destId="{89CC8B33-5381-41DE-801A-D8761CE080AB}" srcOrd="1" destOrd="0" parTransId="{3E111B50-289E-4027-BB00-D88E7E9A2D68}" sibTransId="{65E6431A-07B3-42FB-A5AF-5B3154B2407A}"/>
    <dgm:cxn modelId="{EB4D5A3B-D7DD-4CD7-A32F-960CDFEBEAD0}" type="presOf" srcId="{89CC8B33-5381-41DE-801A-D8761CE080AB}" destId="{1B351C96-EFB3-400C-B393-B414E728533B}" srcOrd="0" destOrd="0" presId="urn:microsoft.com/office/officeart/2005/8/layout/hierarchy3"/>
    <dgm:cxn modelId="{C09F0100-DAB8-4C7D-909B-EA78B26FDC9D}" type="presOf" srcId="{42766048-F3F2-4A7E-B376-8533B1156364}" destId="{83C8160E-5CB7-408F-AAF7-2F669BA99F3D}" srcOrd="0" destOrd="0" presId="urn:microsoft.com/office/officeart/2005/8/layout/hierarchy3"/>
    <dgm:cxn modelId="{20B24C11-D650-42BB-AF1C-06B23A7D85E6}" type="presOf" srcId="{D3DE8774-E2CC-4778-97A6-D150AD5057B1}" destId="{CF16EEA2-6F15-4D2B-BD3C-16626570AF76}" srcOrd="0" destOrd="0" presId="urn:microsoft.com/office/officeart/2005/8/layout/hierarchy3"/>
    <dgm:cxn modelId="{0F382974-CD9F-48CB-8FC8-7C76702F6ED8}" srcId="{BF0B6EC8-73A0-431C-A8AE-D13D916C7317}" destId="{DD04ECFC-E093-4843-9AA3-354CCDDE5F82}" srcOrd="1" destOrd="0" parTransId="{E422247B-50BD-48CD-9B49-5FCE48C9FDA8}" sibTransId="{1A035B6D-52A1-4D16-A80A-844620AC85DC}"/>
    <dgm:cxn modelId="{F6B7DC36-C463-40BB-B622-5AE9241D233E}" srcId="{8A45A180-EFCC-4489-A2EA-920E4252191A}" destId="{0BAF5D6E-BEA7-45C3-9E98-D8CEBF551A04}" srcOrd="1" destOrd="0" parTransId="{D1D990A8-92EA-40D8-9A98-463642688B76}" sibTransId="{6930AD66-F68C-4158-889F-C5FB031BA7F9}"/>
    <dgm:cxn modelId="{05C20457-C28B-4776-A10E-EDB92E2CB825}" type="presOf" srcId="{E5A801CE-CD28-4277-B776-4283DB8F4DB3}" destId="{98BF5B18-3A76-4B3E-8693-FCFDDC1593F6}" srcOrd="0" destOrd="0" presId="urn:microsoft.com/office/officeart/2005/8/layout/hierarchy3"/>
    <dgm:cxn modelId="{6B8B1FFE-6DE7-41B9-8848-616FA6D66B83}" type="presOf" srcId="{7E9D3001-37C3-42C5-AF06-BF27AFF4A8DD}" destId="{AFBBC5BC-8E8D-45C8-A670-62475E0BDBE2}" srcOrd="0" destOrd="0" presId="urn:microsoft.com/office/officeart/2005/8/layout/hierarchy3"/>
    <dgm:cxn modelId="{C3525EBE-806E-488F-B462-D7226948B835}" type="presOf" srcId="{D1D990A8-92EA-40D8-9A98-463642688B76}" destId="{813274A2-1F5D-40CF-8F1C-0EFE968E3F86}" srcOrd="0" destOrd="0" presId="urn:microsoft.com/office/officeart/2005/8/layout/hierarchy3"/>
    <dgm:cxn modelId="{5B659962-5460-436D-9065-2670BDCA5E22}" type="presOf" srcId="{799BBA5A-E149-4B90-9419-FFC0C5DA2DE6}" destId="{54EB4B81-0695-475D-8841-FF3E4934BAAD}" srcOrd="0" destOrd="0" presId="urn:microsoft.com/office/officeart/2005/8/layout/hierarchy3"/>
    <dgm:cxn modelId="{55C9ACE1-9F6C-434A-8A3D-FCFF80C7A85F}" type="presOf" srcId="{0159D7C8-A064-4982-8E3B-2442EC26777A}" destId="{0FE5C5F2-AD0D-4A80-9BDB-E922585EEF4E}" srcOrd="0" destOrd="0" presId="urn:microsoft.com/office/officeart/2005/8/layout/hierarchy3"/>
    <dgm:cxn modelId="{763118E7-2A9F-4AFE-9CA6-FAD42BCF143A}" srcId="{7A368A4C-FC4A-4DD7-98DA-3DEF178D8AB0}" destId="{BDAB3B2E-682F-4451-801D-712D01115A62}" srcOrd="1" destOrd="0" parTransId="{2940A727-EE29-4B7B-B0F5-EEAB4D077E53}" sibTransId="{867FF759-8CD0-4310-B2C3-F20D2578202D}"/>
    <dgm:cxn modelId="{CEA1B491-E472-42EF-89F8-2F01DA480370}" type="presParOf" srcId="{2096A9D9-D807-430F-ABB4-5E99740AACB8}" destId="{2F47282F-0EBC-410D-B136-138EB9F34FDE}" srcOrd="0" destOrd="0" presId="urn:microsoft.com/office/officeart/2005/8/layout/hierarchy3"/>
    <dgm:cxn modelId="{848B937B-77BE-4DD1-9FC6-207FD1C85B18}" type="presParOf" srcId="{2F47282F-0EBC-410D-B136-138EB9F34FDE}" destId="{97D132F0-AEB7-410E-BB5A-40BD60F74E07}" srcOrd="0" destOrd="0" presId="urn:microsoft.com/office/officeart/2005/8/layout/hierarchy3"/>
    <dgm:cxn modelId="{E97EBB0A-0E29-4F1C-80B4-DC77ACA2AC3B}" type="presParOf" srcId="{97D132F0-AEB7-410E-BB5A-40BD60F74E07}" destId="{17D3E9FC-6511-4182-A2DA-FC4D36398778}" srcOrd="0" destOrd="0" presId="urn:microsoft.com/office/officeart/2005/8/layout/hierarchy3"/>
    <dgm:cxn modelId="{57B0D987-2D68-4DA0-A713-01F88002E113}" type="presParOf" srcId="{97D132F0-AEB7-410E-BB5A-40BD60F74E07}" destId="{093FE340-F383-4858-8BF8-D6A95059FD70}" srcOrd="1" destOrd="0" presId="urn:microsoft.com/office/officeart/2005/8/layout/hierarchy3"/>
    <dgm:cxn modelId="{F10DCCFF-AE1F-4E12-85A2-E0B120196B82}" type="presParOf" srcId="{2F47282F-0EBC-410D-B136-138EB9F34FDE}" destId="{4B4D244D-2C09-4BAB-B5DF-6B9A8F92FBB3}" srcOrd="1" destOrd="0" presId="urn:microsoft.com/office/officeart/2005/8/layout/hierarchy3"/>
    <dgm:cxn modelId="{97ED00A3-B0D8-4809-8908-CF732586E681}" type="presParOf" srcId="{4B4D244D-2C09-4BAB-B5DF-6B9A8F92FBB3}" destId="{83C8160E-5CB7-408F-AAF7-2F669BA99F3D}" srcOrd="0" destOrd="0" presId="urn:microsoft.com/office/officeart/2005/8/layout/hierarchy3"/>
    <dgm:cxn modelId="{0C801EAA-B2E3-4F36-97FF-1806661B8043}" type="presParOf" srcId="{4B4D244D-2C09-4BAB-B5DF-6B9A8F92FBB3}" destId="{0DA66F01-8BF5-4882-900D-1951FF366619}" srcOrd="1" destOrd="0" presId="urn:microsoft.com/office/officeart/2005/8/layout/hierarchy3"/>
    <dgm:cxn modelId="{342168D2-FE89-4CF9-9975-13078CFD3B12}" type="presParOf" srcId="{4B4D244D-2C09-4BAB-B5DF-6B9A8F92FBB3}" destId="{77CDD573-FF34-4722-B0FD-9361068FF5E0}" srcOrd="2" destOrd="0" presId="urn:microsoft.com/office/officeart/2005/8/layout/hierarchy3"/>
    <dgm:cxn modelId="{DDC33A1F-CF2C-43C8-9972-9CFEC108BCA3}" type="presParOf" srcId="{4B4D244D-2C09-4BAB-B5DF-6B9A8F92FBB3}" destId="{1B351C96-EFB3-400C-B393-B414E728533B}" srcOrd="3" destOrd="0" presId="urn:microsoft.com/office/officeart/2005/8/layout/hierarchy3"/>
    <dgm:cxn modelId="{3A98A4CB-F07B-4DC7-AA4B-9CD0CFE8444C}" type="presParOf" srcId="{2096A9D9-D807-430F-ABB4-5E99740AACB8}" destId="{FAEDB357-C62E-4082-B88A-D05B41C51293}" srcOrd="1" destOrd="0" presId="urn:microsoft.com/office/officeart/2005/8/layout/hierarchy3"/>
    <dgm:cxn modelId="{72AE519A-E22D-48F1-B4A1-C5183D25A703}" type="presParOf" srcId="{FAEDB357-C62E-4082-B88A-D05B41C51293}" destId="{7640B17A-0E11-4AAD-BD1A-23B8325D662F}" srcOrd="0" destOrd="0" presId="urn:microsoft.com/office/officeart/2005/8/layout/hierarchy3"/>
    <dgm:cxn modelId="{3E74F9EE-6ED3-4391-9D5A-809E3623FB93}" type="presParOf" srcId="{7640B17A-0E11-4AAD-BD1A-23B8325D662F}" destId="{8BFDB521-6FA0-4373-BC34-3C3F68AEB7CE}" srcOrd="0" destOrd="0" presId="urn:microsoft.com/office/officeart/2005/8/layout/hierarchy3"/>
    <dgm:cxn modelId="{2B43E443-7F22-43F1-83EC-5B59602FC825}" type="presParOf" srcId="{7640B17A-0E11-4AAD-BD1A-23B8325D662F}" destId="{2BC76193-9C77-4EFB-9781-26287179CF99}" srcOrd="1" destOrd="0" presId="urn:microsoft.com/office/officeart/2005/8/layout/hierarchy3"/>
    <dgm:cxn modelId="{B7411547-57FD-45B5-890B-CDFF6494BC70}" type="presParOf" srcId="{FAEDB357-C62E-4082-B88A-D05B41C51293}" destId="{C16484F2-3051-45EF-A8A4-83DA37BD7E88}" srcOrd="1" destOrd="0" presId="urn:microsoft.com/office/officeart/2005/8/layout/hierarchy3"/>
    <dgm:cxn modelId="{1466DA78-DBC0-40CC-B2E6-422B231929AD}" type="presParOf" srcId="{C16484F2-3051-45EF-A8A4-83DA37BD7E88}" destId="{98BF5B18-3A76-4B3E-8693-FCFDDC1593F6}" srcOrd="0" destOrd="0" presId="urn:microsoft.com/office/officeart/2005/8/layout/hierarchy3"/>
    <dgm:cxn modelId="{7C12FB2D-FD80-466B-A66F-65AF4799D5B3}" type="presParOf" srcId="{C16484F2-3051-45EF-A8A4-83DA37BD7E88}" destId="{33643173-7174-41FB-8612-659E4C9AAF1C}" srcOrd="1" destOrd="0" presId="urn:microsoft.com/office/officeart/2005/8/layout/hierarchy3"/>
    <dgm:cxn modelId="{E9B450EB-737A-4F31-868A-ADA092F995ED}" type="presParOf" srcId="{C16484F2-3051-45EF-A8A4-83DA37BD7E88}" destId="{26B762FA-D06D-4508-90A1-F0C1F460A153}" srcOrd="2" destOrd="0" presId="urn:microsoft.com/office/officeart/2005/8/layout/hierarchy3"/>
    <dgm:cxn modelId="{A228D627-35DA-45EB-BCA2-7B45A8C8FBAD}" type="presParOf" srcId="{C16484F2-3051-45EF-A8A4-83DA37BD7E88}" destId="{2DCDAB04-F7FF-4C41-BB0E-EDF1067952D5}" srcOrd="3" destOrd="0" presId="urn:microsoft.com/office/officeart/2005/8/layout/hierarchy3"/>
    <dgm:cxn modelId="{100EB0F5-C31D-4F12-8BDF-B09523C1110A}" type="presParOf" srcId="{C16484F2-3051-45EF-A8A4-83DA37BD7E88}" destId="{55589AD8-C0FF-4139-93F4-9E2D09E07F6B}" srcOrd="4" destOrd="0" presId="urn:microsoft.com/office/officeart/2005/8/layout/hierarchy3"/>
    <dgm:cxn modelId="{C9068BF0-AAFC-4442-A8D6-B180FC05F7B1}" type="presParOf" srcId="{C16484F2-3051-45EF-A8A4-83DA37BD7E88}" destId="{C613BB4C-696D-4778-8678-787D2BBB9FE1}" srcOrd="5" destOrd="0" presId="urn:microsoft.com/office/officeart/2005/8/layout/hierarchy3"/>
    <dgm:cxn modelId="{6E051D75-57B6-4CD3-9DC4-75042FACB0BF}" type="presParOf" srcId="{2096A9D9-D807-430F-ABB4-5E99740AACB8}" destId="{20F251DB-2862-4FED-AA2D-9F7A9EAC7AE9}" srcOrd="2" destOrd="0" presId="urn:microsoft.com/office/officeart/2005/8/layout/hierarchy3"/>
    <dgm:cxn modelId="{94116BF2-C3FD-4DE2-86D9-863A9742954E}" type="presParOf" srcId="{20F251DB-2862-4FED-AA2D-9F7A9EAC7AE9}" destId="{41C79DEC-89F8-42E3-A3FF-0C7A43BD93BB}" srcOrd="0" destOrd="0" presId="urn:microsoft.com/office/officeart/2005/8/layout/hierarchy3"/>
    <dgm:cxn modelId="{D495B2F9-744D-4AAA-BA0D-147C822AF876}" type="presParOf" srcId="{41C79DEC-89F8-42E3-A3FF-0C7A43BD93BB}" destId="{641FFD85-7121-4700-9D43-F73F8869EA95}" srcOrd="0" destOrd="0" presId="urn:microsoft.com/office/officeart/2005/8/layout/hierarchy3"/>
    <dgm:cxn modelId="{40F8CDD3-E1D0-490E-96F9-047E29C690A5}" type="presParOf" srcId="{41C79DEC-89F8-42E3-A3FF-0C7A43BD93BB}" destId="{530ED542-9D4B-4CD6-980D-918D972FA272}" srcOrd="1" destOrd="0" presId="urn:microsoft.com/office/officeart/2005/8/layout/hierarchy3"/>
    <dgm:cxn modelId="{B4758187-0DB1-4F63-AE78-9A419DA6A4A2}" type="presParOf" srcId="{20F251DB-2862-4FED-AA2D-9F7A9EAC7AE9}" destId="{5AC6863B-9212-4142-B2E3-51FA0E5F201F}" srcOrd="1" destOrd="0" presId="urn:microsoft.com/office/officeart/2005/8/layout/hierarchy3"/>
    <dgm:cxn modelId="{927CCDE0-954F-4336-B4DC-35DD80E6C46A}" type="presParOf" srcId="{5AC6863B-9212-4142-B2E3-51FA0E5F201F}" destId="{068FCEAD-97E7-4D0F-AB59-F3AC2989EB4C}" srcOrd="0" destOrd="0" presId="urn:microsoft.com/office/officeart/2005/8/layout/hierarchy3"/>
    <dgm:cxn modelId="{2592B254-D594-487C-8820-569F4C829FBE}" type="presParOf" srcId="{5AC6863B-9212-4142-B2E3-51FA0E5F201F}" destId="{8DB6E438-4057-4857-A534-4F6710D1A8EB}" srcOrd="1" destOrd="0" presId="urn:microsoft.com/office/officeart/2005/8/layout/hierarchy3"/>
    <dgm:cxn modelId="{030CB35F-B880-4801-97C9-ABF06ED3B9E2}" type="presParOf" srcId="{5AC6863B-9212-4142-B2E3-51FA0E5F201F}" destId="{813274A2-1F5D-40CF-8F1C-0EFE968E3F86}" srcOrd="2" destOrd="0" presId="urn:microsoft.com/office/officeart/2005/8/layout/hierarchy3"/>
    <dgm:cxn modelId="{9A8A3C0D-B962-4B21-9D5B-638D2090E391}" type="presParOf" srcId="{5AC6863B-9212-4142-B2E3-51FA0E5F201F}" destId="{33E08EF0-F92D-4190-BEB8-E0235A4CA82F}" srcOrd="3" destOrd="0" presId="urn:microsoft.com/office/officeart/2005/8/layout/hierarchy3"/>
    <dgm:cxn modelId="{03171408-6120-4BB4-A4AA-9570B104916C}" type="presParOf" srcId="{5AC6863B-9212-4142-B2E3-51FA0E5F201F}" destId="{FE489FD0-4682-4BFC-8CE9-B3679C9A91B9}" srcOrd="4" destOrd="0" presId="urn:microsoft.com/office/officeart/2005/8/layout/hierarchy3"/>
    <dgm:cxn modelId="{2C420FE4-763B-4820-910D-2D0C9138E94D}" type="presParOf" srcId="{5AC6863B-9212-4142-B2E3-51FA0E5F201F}" destId="{7CC89E85-CEF2-476D-B74A-7E9F12E1E549}" srcOrd="5" destOrd="0" presId="urn:microsoft.com/office/officeart/2005/8/layout/hierarchy3"/>
    <dgm:cxn modelId="{62EBFFBD-B7AB-41F4-8F98-5907F2B45765}" type="presParOf" srcId="{5AC6863B-9212-4142-B2E3-51FA0E5F201F}" destId="{AFBBC5BC-8E8D-45C8-A670-62475E0BDBE2}" srcOrd="6" destOrd="0" presId="urn:microsoft.com/office/officeart/2005/8/layout/hierarchy3"/>
    <dgm:cxn modelId="{CC83A170-0722-4141-A7CC-505695592AA7}" type="presParOf" srcId="{5AC6863B-9212-4142-B2E3-51FA0E5F201F}" destId="{E419FF80-1D14-4920-8A3D-24A247392416}" srcOrd="7" destOrd="0" presId="urn:microsoft.com/office/officeart/2005/8/layout/hierarchy3"/>
    <dgm:cxn modelId="{4BFF35E8-D90B-4CC8-99E3-35ABD0D4F4A6}" type="presParOf" srcId="{2096A9D9-D807-430F-ABB4-5E99740AACB8}" destId="{7E4F367A-012F-4F30-9E43-088DE61B2B5D}" srcOrd="3" destOrd="0" presId="urn:microsoft.com/office/officeart/2005/8/layout/hierarchy3"/>
    <dgm:cxn modelId="{9C7B8F60-79A5-4F1E-B65F-89CF406AD387}" type="presParOf" srcId="{7E4F367A-012F-4F30-9E43-088DE61B2B5D}" destId="{9F8FA955-3129-44C3-894C-63F6769A475D}" srcOrd="0" destOrd="0" presId="urn:microsoft.com/office/officeart/2005/8/layout/hierarchy3"/>
    <dgm:cxn modelId="{078F8A9A-904A-46EA-8378-AE70CE69ED47}" type="presParOf" srcId="{9F8FA955-3129-44C3-894C-63F6769A475D}" destId="{935DA603-DB92-4777-AF0B-679A66001C65}" srcOrd="0" destOrd="0" presId="urn:microsoft.com/office/officeart/2005/8/layout/hierarchy3"/>
    <dgm:cxn modelId="{8C80273A-04AF-4B4A-A94F-D3DCA530A68F}" type="presParOf" srcId="{9F8FA955-3129-44C3-894C-63F6769A475D}" destId="{446A747E-CC2F-4711-AC78-12B65C4F3BF8}" srcOrd="1" destOrd="0" presId="urn:microsoft.com/office/officeart/2005/8/layout/hierarchy3"/>
    <dgm:cxn modelId="{9916BBCD-C89F-4EE6-99CF-870FD798B2B3}" type="presParOf" srcId="{7E4F367A-012F-4F30-9E43-088DE61B2B5D}" destId="{A3CCF857-A9AE-48D6-8204-5A07B8C7DB89}" srcOrd="1" destOrd="0" presId="urn:microsoft.com/office/officeart/2005/8/layout/hierarchy3"/>
    <dgm:cxn modelId="{6DD4365C-69FF-41DD-845F-00CA300BDB7A}" type="presParOf" srcId="{A3CCF857-A9AE-48D6-8204-5A07B8C7DB89}" destId="{450DB566-9D97-454C-8CA0-2CBAFCB4C06B}" srcOrd="0" destOrd="0" presId="urn:microsoft.com/office/officeart/2005/8/layout/hierarchy3"/>
    <dgm:cxn modelId="{31C2BD63-9F85-4008-B372-429CA96BD23C}" type="presParOf" srcId="{A3CCF857-A9AE-48D6-8204-5A07B8C7DB89}" destId="{CDDFD37C-1733-4C92-A94E-C66B9D967964}" srcOrd="1" destOrd="0" presId="urn:microsoft.com/office/officeart/2005/8/layout/hierarchy3"/>
    <dgm:cxn modelId="{EF5F5D6D-0200-42C6-BCFB-30FE3A83CE16}" type="presParOf" srcId="{A3CCF857-A9AE-48D6-8204-5A07B8C7DB89}" destId="{EBA742B4-FEA6-4582-ACBA-962A756362C4}" srcOrd="2" destOrd="0" presId="urn:microsoft.com/office/officeart/2005/8/layout/hierarchy3"/>
    <dgm:cxn modelId="{8CF59377-BC74-4E67-8C23-EB795F25B450}" type="presParOf" srcId="{A3CCF857-A9AE-48D6-8204-5A07B8C7DB89}" destId="{F1759B7B-D6B7-44FD-910B-0FC9A38A9BF6}" srcOrd="3" destOrd="0" presId="urn:microsoft.com/office/officeart/2005/8/layout/hierarchy3"/>
    <dgm:cxn modelId="{667CED9D-427C-4B4C-9FB9-50F44AD72E20}" type="presParOf" srcId="{2096A9D9-D807-430F-ABB4-5E99740AACB8}" destId="{486A57D8-75DC-4BB4-B774-A551F14EDD1E}" srcOrd="4" destOrd="0" presId="urn:microsoft.com/office/officeart/2005/8/layout/hierarchy3"/>
    <dgm:cxn modelId="{0C6625D3-630D-4F4E-9F83-F67CD1915E4F}" type="presParOf" srcId="{486A57D8-75DC-4BB4-B774-A551F14EDD1E}" destId="{01FF5724-1D94-4510-A9B2-353B17090314}" srcOrd="0" destOrd="0" presId="urn:microsoft.com/office/officeart/2005/8/layout/hierarchy3"/>
    <dgm:cxn modelId="{C21B1F57-4D5A-4499-A78A-195DFC1609A2}" type="presParOf" srcId="{01FF5724-1D94-4510-A9B2-353B17090314}" destId="{93479373-5365-4D0F-A456-E1574AE06D3E}" srcOrd="0" destOrd="0" presId="urn:microsoft.com/office/officeart/2005/8/layout/hierarchy3"/>
    <dgm:cxn modelId="{B84AD572-6EE5-4212-865D-7FE9E8459878}" type="presParOf" srcId="{01FF5724-1D94-4510-A9B2-353B17090314}" destId="{27085636-2242-407C-97C6-77E5BD57EAFA}" srcOrd="1" destOrd="0" presId="urn:microsoft.com/office/officeart/2005/8/layout/hierarchy3"/>
    <dgm:cxn modelId="{3E0FAF9F-8E55-49A2-9EC2-9A09D90DE5B2}" type="presParOf" srcId="{486A57D8-75DC-4BB4-B774-A551F14EDD1E}" destId="{F6A02185-DB80-4315-8E92-F6CE3E9EA0BF}" srcOrd="1" destOrd="0" presId="urn:microsoft.com/office/officeart/2005/8/layout/hierarchy3"/>
    <dgm:cxn modelId="{42896CF5-2B3D-44E2-A2B1-349DC4033E9C}" type="presParOf" srcId="{F6A02185-DB80-4315-8E92-F6CE3E9EA0BF}" destId="{F876FFF9-562B-4B28-B010-25102CA2E5CA}" srcOrd="0" destOrd="0" presId="urn:microsoft.com/office/officeart/2005/8/layout/hierarchy3"/>
    <dgm:cxn modelId="{B1DA1FFE-3E73-4EA0-9E91-769A95BC0D5B}" type="presParOf" srcId="{F6A02185-DB80-4315-8E92-F6CE3E9EA0BF}" destId="{54EB4B81-0695-475D-8841-FF3E4934BAAD}" srcOrd="1" destOrd="0" presId="urn:microsoft.com/office/officeart/2005/8/layout/hierarchy3"/>
    <dgm:cxn modelId="{8BD133FF-8DC3-44E6-B152-4523D129A77E}" type="presParOf" srcId="{F6A02185-DB80-4315-8E92-F6CE3E9EA0BF}" destId="{01FC7C27-9BF5-48DF-8AD2-0169BCB30A53}" srcOrd="2" destOrd="0" presId="urn:microsoft.com/office/officeart/2005/8/layout/hierarchy3"/>
    <dgm:cxn modelId="{523C2123-3675-43AA-9717-C5E50EFB940D}" type="presParOf" srcId="{F6A02185-DB80-4315-8E92-F6CE3E9EA0BF}" destId="{B6D4210D-45AC-49D0-909D-79E1DBE071C4}" srcOrd="3" destOrd="0" presId="urn:microsoft.com/office/officeart/2005/8/layout/hierarchy3"/>
    <dgm:cxn modelId="{6AAE8A50-D456-4B3A-89A4-EDDD1F4AFE4E}" type="presParOf" srcId="{F6A02185-DB80-4315-8E92-F6CE3E9EA0BF}" destId="{0FAEB207-E974-4D1A-A48A-D522F211C52C}" srcOrd="4" destOrd="0" presId="urn:microsoft.com/office/officeart/2005/8/layout/hierarchy3"/>
    <dgm:cxn modelId="{A7E995F4-567B-424C-BB2C-CC72EFEDFB49}" type="presParOf" srcId="{F6A02185-DB80-4315-8E92-F6CE3E9EA0BF}" destId="{D3369F4A-AA3C-4883-A400-C7CFA55A689C}" srcOrd="5" destOrd="0" presId="urn:microsoft.com/office/officeart/2005/8/layout/hierarchy3"/>
    <dgm:cxn modelId="{B43B2B47-0990-46E4-97B1-E0EFD082CA58}" type="presParOf" srcId="{2096A9D9-D807-430F-ABB4-5E99740AACB8}" destId="{00D7F785-6E45-4594-A1F0-8885472310BF}" srcOrd="5" destOrd="0" presId="urn:microsoft.com/office/officeart/2005/8/layout/hierarchy3"/>
    <dgm:cxn modelId="{996D08AB-76DE-4F59-B4FF-D0468CC8FBF9}" type="presParOf" srcId="{00D7F785-6E45-4594-A1F0-8885472310BF}" destId="{FE422597-3C6F-427A-80C9-0CA275FE705B}" srcOrd="0" destOrd="0" presId="urn:microsoft.com/office/officeart/2005/8/layout/hierarchy3"/>
    <dgm:cxn modelId="{1910EB46-952F-429A-B492-ADE559998D47}" type="presParOf" srcId="{FE422597-3C6F-427A-80C9-0CA275FE705B}" destId="{21D83AFC-EE29-410A-B3DC-C27F6086DB84}" srcOrd="0" destOrd="0" presId="urn:microsoft.com/office/officeart/2005/8/layout/hierarchy3"/>
    <dgm:cxn modelId="{143E32E5-2BE4-420E-AF57-D9FCEBF71654}" type="presParOf" srcId="{FE422597-3C6F-427A-80C9-0CA275FE705B}" destId="{F6103AE6-BE7D-4258-A544-D8C783C405D9}" srcOrd="1" destOrd="0" presId="urn:microsoft.com/office/officeart/2005/8/layout/hierarchy3"/>
    <dgm:cxn modelId="{629C493A-C335-4AB0-8644-528888527B0B}" type="presParOf" srcId="{00D7F785-6E45-4594-A1F0-8885472310BF}" destId="{D8EEBB39-C628-42C0-AFC6-6129D29655E8}" srcOrd="1" destOrd="0" presId="urn:microsoft.com/office/officeart/2005/8/layout/hierarchy3"/>
    <dgm:cxn modelId="{0F70998A-0C2C-47DD-A1A4-CD55F40F5B49}" type="presParOf" srcId="{D8EEBB39-C628-42C0-AFC6-6129D29655E8}" destId="{85992154-CD68-484F-B446-5E16156B5814}" srcOrd="0" destOrd="0" presId="urn:microsoft.com/office/officeart/2005/8/layout/hierarchy3"/>
    <dgm:cxn modelId="{B0EA68CD-AFA6-4455-B810-FC862C7A02BC}" type="presParOf" srcId="{D8EEBB39-C628-42C0-AFC6-6129D29655E8}" destId="{C9C1EFB4-C11A-47AE-AD35-EA443F290B1C}" srcOrd="1" destOrd="0" presId="urn:microsoft.com/office/officeart/2005/8/layout/hierarchy3"/>
    <dgm:cxn modelId="{0F4AFC87-907B-40F4-A419-C6821076FC56}" type="presParOf" srcId="{D8EEBB39-C628-42C0-AFC6-6129D29655E8}" destId="{04530849-2D57-46A6-824E-EB1009B5C4BB}" srcOrd="2" destOrd="0" presId="urn:microsoft.com/office/officeart/2005/8/layout/hierarchy3"/>
    <dgm:cxn modelId="{240D0DCB-6A63-4F7B-8BD7-4B5F8CC847B3}" type="presParOf" srcId="{D8EEBB39-C628-42C0-AFC6-6129D29655E8}" destId="{CF16EEA2-6F15-4D2B-BD3C-16626570AF76}" srcOrd="3" destOrd="0" presId="urn:microsoft.com/office/officeart/2005/8/layout/hierarchy3"/>
    <dgm:cxn modelId="{B3CE70C8-4647-4C73-BE6F-C0C4958E6814}" type="presParOf" srcId="{2096A9D9-D807-430F-ABB4-5E99740AACB8}" destId="{CB188B46-05A6-4C17-96AF-7912B3E32D73}" srcOrd="6" destOrd="0" presId="urn:microsoft.com/office/officeart/2005/8/layout/hierarchy3"/>
    <dgm:cxn modelId="{F6E535FE-D07B-4B13-804A-F938CD116C77}" type="presParOf" srcId="{CB188B46-05A6-4C17-96AF-7912B3E32D73}" destId="{92AE4588-2F4F-437E-93CD-CE24E27FECF7}" srcOrd="0" destOrd="0" presId="urn:microsoft.com/office/officeart/2005/8/layout/hierarchy3"/>
    <dgm:cxn modelId="{924E7197-1061-4556-9268-EC1E162F8664}" type="presParOf" srcId="{92AE4588-2F4F-437E-93CD-CE24E27FECF7}" destId="{48DC6ED1-C4A6-44BE-9954-FD3012252E95}" srcOrd="0" destOrd="0" presId="urn:microsoft.com/office/officeart/2005/8/layout/hierarchy3"/>
    <dgm:cxn modelId="{5378B06A-7257-4BF1-BF0F-B673E8C79A84}" type="presParOf" srcId="{92AE4588-2F4F-437E-93CD-CE24E27FECF7}" destId="{56B4E0C5-A0CF-4DF2-A5B5-35356C45DEC8}" srcOrd="1" destOrd="0" presId="urn:microsoft.com/office/officeart/2005/8/layout/hierarchy3"/>
    <dgm:cxn modelId="{48DC2F4B-4A1E-43AC-82CE-CCD04322F649}" type="presParOf" srcId="{CB188B46-05A6-4C17-96AF-7912B3E32D73}" destId="{6795171D-D6BD-4510-B327-BE5A83AE123B}" srcOrd="1" destOrd="0" presId="urn:microsoft.com/office/officeart/2005/8/layout/hierarchy3"/>
    <dgm:cxn modelId="{EB088403-118A-49A4-B536-B42AF20177AF}" type="presParOf" srcId="{6795171D-D6BD-4510-B327-BE5A83AE123B}" destId="{DCE17D16-8BEC-4C0B-BD88-F84004FB5055}" srcOrd="0" destOrd="0" presId="urn:microsoft.com/office/officeart/2005/8/layout/hierarchy3"/>
    <dgm:cxn modelId="{085A8103-9B31-40DB-9D9E-B1D190015B7C}" type="presParOf" srcId="{6795171D-D6BD-4510-B327-BE5A83AE123B}" destId="{0FE5C5F2-AD0D-4A80-9BDB-E922585EEF4E}" srcOrd="1" destOrd="0" presId="urn:microsoft.com/office/officeart/2005/8/layout/hierarchy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7D3E9FC-6511-4182-A2DA-FC4D36398778}">
      <dsp:nvSpPr>
        <dsp:cNvPr id="0" name=""/>
        <dsp:cNvSpPr/>
      </dsp:nvSpPr>
      <dsp:spPr>
        <a:xfrm>
          <a:off x="55092" y="898"/>
          <a:ext cx="652815" cy="326407"/>
        </a:xfrm>
        <a:prstGeom prst="roundRect">
          <a:avLst>
            <a:gd name="adj" fmla="val 10000"/>
          </a:avLst>
        </a:prstGeom>
        <a:solidFill>
          <a:schemeClr val="bg1">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綜合規劃</a:t>
          </a:r>
        </a:p>
      </dsp:txBody>
      <dsp:txXfrm>
        <a:off x="64652" y="10458"/>
        <a:ext cx="633695" cy="307287"/>
      </dsp:txXfrm>
    </dsp:sp>
    <dsp:sp modelId="{83C8160E-5CB7-408F-AAF7-2F669BA99F3D}">
      <dsp:nvSpPr>
        <dsp:cNvPr id="0" name=""/>
        <dsp:cNvSpPr/>
      </dsp:nvSpPr>
      <dsp:spPr>
        <a:xfrm>
          <a:off x="74653" y="327306"/>
          <a:ext cx="91440" cy="244805"/>
        </a:xfrm>
        <a:custGeom>
          <a:avLst/>
          <a:gdLst/>
          <a:ahLst/>
          <a:cxnLst/>
          <a:rect l="0" t="0" r="0" b="0"/>
          <a:pathLst>
            <a:path>
              <a:moveTo>
                <a:pt x="45720" y="0"/>
              </a:moveTo>
              <a:lnTo>
                <a:pt x="45720" y="244805"/>
              </a:lnTo>
              <a:lnTo>
                <a:pt x="111001" y="24480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0DA66F01-8BF5-4882-900D-1951FF366619}">
      <dsp:nvSpPr>
        <dsp:cNvPr id="0" name=""/>
        <dsp:cNvSpPr/>
      </dsp:nvSpPr>
      <dsp:spPr>
        <a:xfrm>
          <a:off x="185655" y="40890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人口統計</a:t>
          </a:r>
          <a:endParaRPr lang="en-US" altLang="zh-TW" sz="900" kern="1200">
            <a:solidFill>
              <a:sysClr val="windowText" lastClr="000000"/>
            </a:solidFill>
            <a:latin typeface="標楷體" panose="03000509000000000000" pitchFamily="65" charset="-120"/>
            <a:ea typeface="標楷體" panose="03000509000000000000" pitchFamily="65" charset="-120"/>
          </a:endParaRPr>
        </a:p>
      </dsp:txBody>
      <dsp:txXfrm>
        <a:off x="195215" y="418468"/>
        <a:ext cx="503132" cy="307287"/>
      </dsp:txXfrm>
    </dsp:sp>
    <dsp:sp modelId="{77CDD573-FF34-4722-B0FD-9361068FF5E0}">
      <dsp:nvSpPr>
        <dsp:cNvPr id="0" name=""/>
        <dsp:cNvSpPr/>
      </dsp:nvSpPr>
      <dsp:spPr>
        <a:xfrm>
          <a:off x="74653" y="327306"/>
          <a:ext cx="91440" cy="652815"/>
        </a:xfrm>
        <a:custGeom>
          <a:avLst/>
          <a:gdLst/>
          <a:ahLst/>
          <a:cxnLst/>
          <a:rect l="0" t="0" r="0" b="0"/>
          <a:pathLst>
            <a:path>
              <a:moveTo>
                <a:pt x="45720" y="0"/>
              </a:moveTo>
              <a:lnTo>
                <a:pt x="45720" y="652815"/>
              </a:lnTo>
              <a:lnTo>
                <a:pt x="111001" y="65281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1B351C96-EFB3-400C-B393-B414E728533B}">
      <dsp:nvSpPr>
        <dsp:cNvPr id="0" name=""/>
        <dsp:cNvSpPr/>
      </dsp:nvSpPr>
      <dsp:spPr>
        <a:xfrm>
          <a:off x="185655" y="81691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5240" tIns="10160" rIns="15240" bIns="10160" numCol="1" spcCol="1270" anchor="ctr" anchorCtr="0">
          <a:noAutofit/>
        </a:bodyPr>
        <a:lstStyle/>
        <a:p>
          <a:pPr lvl="0" algn="ctr" defTabSz="355600">
            <a:lnSpc>
              <a:spcPct val="90000"/>
            </a:lnSpc>
            <a:spcBef>
              <a:spcPct val="0"/>
            </a:spcBef>
            <a:spcAft>
              <a:spcPct val="35000"/>
            </a:spcAft>
          </a:pPr>
          <a:r>
            <a:rPr lang="zh-TW" altLang="en-US" sz="800" kern="1200">
              <a:solidFill>
                <a:sysClr val="windowText" lastClr="000000"/>
              </a:solidFill>
              <a:latin typeface="標楷體" panose="03000509000000000000" pitchFamily="65" charset="-120"/>
              <a:ea typeface="標楷體" panose="03000509000000000000" pitchFamily="65" charset="-120"/>
            </a:rPr>
            <a:t>都市原住民族發展</a:t>
          </a:r>
          <a:endParaRPr lang="en-US" altLang="zh-TW" sz="800" kern="1200">
            <a:solidFill>
              <a:sysClr val="windowText" lastClr="000000"/>
            </a:solidFill>
            <a:latin typeface="標楷體" panose="03000509000000000000" pitchFamily="65" charset="-120"/>
            <a:ea typeface="標楷體" panose="03000509000000000000" pitchFamily="65" charset="-120"/>
          </a:endParaRPr>
        </a:p>
      </dsp:txBody>
      <dsp:txXfrm>
        <a:off x="195215" y="826478"/>
        <a:ext cx="503132" cy="307287"/>
      </dsp:txXfrm>
    </dsp:sp>
    <dsp:sp modelId="{8BFDB521-6FA0-4373-BC34-3C3F68AEB7CE}">
      <dsp:nvSpPr>
        <dsp:cNvPr id="0" name=""/>
        <dsp:cNvSpPr/>
      </dsp:nvSpPr>
      <dsp:spPr>
        <a:xfrm>
          <a:off x="871112" y="898"/>
          <a:ext cx="652815" cy="326407"/>
        </a:xfrm>
        <a:prstGeom prst="roundRect">
          <a:avLst>
            <a:gd name="adj" fmla="val 10000"/>
          </a:avLst>
        </a:prstGeom>
        <a:solidFill>
          <a:schemeClr val="bg1">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教育文化</a:t>
          </a:r>
        </a:p>
      </dsp:txBody>
      <dsp:txXfrm>
        <a:off x="880672" y="10458"/>
        <a:ext cx="633695" cy="307287"/>
      </dsp:txXfrm>
    </dsp:sp>
    <dsp:sp modelId="{98BF5B18-3A76-4B3E-8693-FCFDDC1593F6}">
      <dsp:nvSpPr>
        <dsp:cNvPr id="0" name=""/>
        <dsp:cNvSpPr/>
      </dsp:nvSpPr>
      <dsp:spPr>
        <a:xfrm>
          <a:off x="890673" y="327306"/>
          <a:ext cx="91440" cy="244805"/>
        </a:xfrm>
        <a:custGeom>
          <a:avLst/>
          <a:gdLst/>
          <a:ahLst/>
          <a:cxnLst/>
          <a:rect l="0" t="0" r="0" b="0"/>
          <a:pathLst>
            <a:path>
              <a:moveTo>
                <a:pt x="45720" y="0"/>
              </a:moveTo>
              <a:lnTo>
                <a:pt x="45720" y="244805"/>
              </a:lnTo>
              <a:lnTo>
                <a:pt x="111001" y="24480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33643173-7174-41FB-8612-659E4C9AAF1C}">
      <dsp:nvSpPr>
        <dsp:cNvPr id="0" name=""/>
        <dsp:cNvSpPr/>
      </dsp:nvSpPr>
      <dsp:spPr>
        <a:xfrm>
          <a:off x="1001675" y="40890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5240" tIns="10160" rIns="15240" bIns="10160" numCol="1" spcCol="1270" anchor="ctr" anchorCtr="0">
          <a:noAutofit/>
        </a:bodyPr>
        <a:lstStyle/>
        <a:p>
          <a:pPr lvl="0" algn="ctr" defTabSz="355600">
            <a:lnSpc>
              <a:spcPct val="90000"/>
            </a:lnSpc>
            <a:spcBef>
              <a:spcPct val="0"/>
            </a:spcBef>
            <a:spcAft>
              <a:spcPct val="35000"/>
            </a:spcAft>
          </a:pPr>
          <a:r>
            <a:rPr lang="zh-TW" altLang="en-US" sz="800" kern="1200">
              <a:solidFill>
                <a:sysClr val="windowText" lastClr="000000"/>
              </a:solidFill>
              <a:latin typeface="標楷體" panose="03000509000000000000" pitchFamily="65" charset="-120"/>
              <a:ea typeface="標楷體" panose="03000509000000000000" pitchFamily="65" charset="-120"/>
            </a:rPr>
            <a:t>高等教育人才培育</a:t>
          </a:r>
        </a:p>
      </dsp:txBody>
      <dsp:txXfrm>
        <a:off x="1011235" y="418468"/>
        <a:ext cx="503132" cy="307287"/>
      </dsp:txXfrm>
    </dsp:sp>
    <dsp:sp modelId="{26B762FA-D06D-4508-90A1-F0C1F460A153}">
      <dsp:nvSpPr>
        <dsp:cNvPr id="0" name=""/>
        <dsp:cNvSpPr/>
      </dsp:nvSpPr>
      <dsp:spPr>
        <a:xfrm>
          <a:off x="890673" y="327306"/>
          <a:ext cx="91440" cy="652815"/>
        </a:xfrm>
        <a:custGeom>
          <a:avLst/>
          <a:gdLst/>
          <a:ahLst/>
          <a:cxnLst/>
          <a:rect l="0" t="0" r="0" b="0"/>
          <a:pathLst>
            <a:path>
              <a:moveTo>
                <a:pt x="45720" y="0"/>
              </a:moveTo>
              <a:lnTo>
                <a:pt x="45720" y="652815"/>
              </a:lnTo>
              <a:lnTo>
                <a:pt x="111001" y="65281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2DCDAB04-F7FF-4C41-BB0E-EDF1067952D5}">
      <dsp:nvSpPr>
        <dsp:cNvPr id="0" name=""/>
        <dsp:cNvSpPr/>
      </dsp:nvSpPr>
      <dsp:spPr>
        <a:xfrm>
          <a:off x="1001675" y="81691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族語師資需求</a:t>
          </a:r>
        </a:p>
      </dsp:txBody>
      <dsp:txXfrm>
        <a:off x="1011235" y="826478"/>
        <a:ext cx="503132" cy="307287"/>
      </dsp:txXfrm>
    </dsp:sp>
    <dsp:sp modelId="{55589AD8-C0FF-4139-93F4-9E2D09E07F6B}">
      <dsp:nvSpPr>
        <dsp:cNvPr id="0" name=""/>
        <dsp:cNvSpPr/>
      </dsp:nvSpPr>
      <dsp:spPr>
        <a:xfrm>
          <a:off x="890673" y="327306"/>
          <a:ext cx="91440" cy="1060825"/>
        </a:xfrm>
        <a:custGeom>
          <a:avLst/>
          <a:gdLst/>
          <a:ahLst/>
          <a:cxnLst/>
          <a:rect l="0" t="0" r="0" b="0"/>
          <a:pathLst>
            <a:path>
              <a:moveTo>
                <a:pt x="45720" y="0"/>
              </a:moveTo>
              <a:lnTo>
                <a:pt x="45720" y="1060825"/>
              </a:lnTo>
              <a:lnTo>
                <a:pt x="111001" y="106082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C613BB4C-696D-4778-8678-787D2BBB9FE1}">
      <dsp:nvSpPr>
        <dsp:cNvPr id="0" name=""/>
        <dsp:cNvSpPr/>
      </dsp:nvSpPr>
      <dsp:spPr>
        <a:xfrm>
          <a:off x="1001675" y="1224927"/>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大專學生休退學</a:t>
          </a:r>
        </a:p>
      </dsp:txBody>
      <dsp:txXfrm>
        <a:off x="1011235" y="1234487"/>
        <a:ext cx="503132" cy="307287"/>
      </dsp:txXfrm>
    </dsp:sp>
    <dsp:sp modelId="{641FFD85-7121-4700-9D43-F73F8869EA95}">
      <dsp:nvSpPr>
        <dsp:cNvPr id="0" name=""/>
        <dsp:cNvSpPr/>
      </dsp:nvSpPr>
      <dsp:spPr>
        <a:xfrm>
          <a:off x="1687132" y="898"/>
          <a:ext cx="652815" cy="326407"/>
        </a:xfrm>
        <a:prstGeom prst="roundRect">
          <a:avLst>
            <a:gd name="adj" fmla="val 10000"/>
          </a:avLst>
        </a:prstGeom>
        <a:solidFill>
          <a:schemeClr val="bg1">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社會福利</a:t>
          </a:r>
        </a:p>
      </dsp:txBody>
      <dsp:txXfrm>
        <a:off x="1696692" y="10458"/>
        <a:ext cx="633695" cy="307287"/>
      </dsp:txXfrm>
    </dsp:sp>
    <dsp:sp modelId="{068FCEAD-97E7-4D0F-AB59-F3AC2989EB4C}">
      <dsp:nvSpPr>
        <dsp:cNvPr id="0" name=""/>
        <dsp:cNvSpPr/>
      </dsp:nvSpPr>
      <dsp:spPr>
        <a:xfrm>
          <a:off x="1706693" y="327306"/>
          <a:ext cx="91440" cy="244805"/>
        </a:xfrm>
        <a:custGeom>
          <a:avLst/>
          <a:gdLst/>
          <a:ahLst/>
          <a:cxnLst/>
          <a:rect l="0" t="0" r="0" b="0"/>
          <a:pathLst>
            <a:path>
              <a:moveTo>
                <a:pt x="45720" y="0"/>
              </a:moveTo>
              <a:lnTo>
                <a:pt x="45720" y="244805"/>
              </a:lnTo>
              <a:lnTo>
                <a:pt x="111001" y="24480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8DB6E438-4057-4857-A534-4F6710D1A8EB}">
      <dsp:nvSpPr>
        <dsp:cNvPr id="0" name=""/>
        <dsp:cNvSpPr/>
      </dsp:nvSpPr>
      <dsp:spPr>
        <a:xfrm>
          <a:off x="1817695" y="40890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hangingPunct="0">
            <a:lnSpc>
              <a:spcPct val="90000"/>
            </a:lnSpc>
            <a:spcBef>
              <a:spcPct val="0"/>
            </a:spcBef>
            <a:spcAft>
              <a:spcPct val="35000"/>
            </a:spcAft>
          </a:pPr>
          <a:r>
            <a:rPr lang="zh-TW" altLang="en-US" sz="900" kern="900" spc="40" baseline="0">
              <a:solidFill>
                <a:sysClr val="windowText" lastClr="000000"/>
              </a:solidFill>
              <a:latin typeface="標楷體" panose="03000509000000000000" pitchFamily="65" charset="-120"/>
              <a:ea typeface="標楷體" panose="03000509000000000000" pitchFamily="65" charset="-120"/>
            </a:rPr>
            <a:t>文化健康站</a:t>
          </a:r>
        </a:p>
      </dsp:txBody>
      <dsp:txXfrm>
        <a:off x="1827255" y="418468"/>
        <a:ext cx="503132" cy="307287"/>
      </dsp:txXfrm>
    </dsp:sp>
    <dsp:sp modelId="{813274A2-1F5D-40CF-8F1C-0EFE968E3F86}">
      <dsp:nvSpPr>
        <dsp:cNvPr id="0" name=""/>
        <dsp:cNvSpPr/>
      </dsp:nvSpPr>
      <dsp:spPr>
        <a:xfrm>
          <a:off x="1706693" y="327306"/>
          <a:ext cx="91440" cy="652815"/>
        </a:xfrm>
        <a:custGeom>
          <a:avLst/>
          <a:gdLst/>
          <a:ahLst/>
          <a:cxnLst/>
          <a:rect l="0" t="0" r="0" b="0"/>
          <a:pathLst>
            <a:path>
              <a:moveTo>
                <a:pt x="45720" y="0"/>
              </a:moveTo>
              <a:lnTo>
                <a:pt x="45720" y="652815"/>
              </a:lnTo>
              <a:lnTo>
                <a:pt x="111001" y="65281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33E08EF0-F92D-4190-BEB8-E0235A4CA82F}">
      <dsp:nvSpPr>
        <dsp:cNvPr id="0" name=""/>
        <dsp:cNvSpPr/>
      </dsp:nvSpPr>
      <dsp:spPr>
        <a:xfrm>
          <a:off x="1817695" y="81691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長期照顧及醫療</a:t>
          </a:r>
        </a:p>
      </dsp:txBody>
      <dsp:txXfrm>
        <a:off x="1827255" y="826478"/>
        <a:ext cx="503132" cy="307287"/>
      </dsp:txXfrm>
    </dsp:sp>
    <dsp:sp modelId="{FE489FD0-4682-4BFC-8CE9-B3679C9A91B9}">
      <dsp:nvSpPr>
        <dsp:cNvPr id="0" name=""/>
        <dsp:cNvSpPr/>
      </dsp:nvSpPr>
      <dsp:spPr>
        <a:xfrm>
          <a:off x="1706693" y="327306"/>
          <a:ext cx="91440" cy="1060825"/>
        </a:xfrm>
        <a:custGeom>
          <a:avLst/>
          <a:gdLst/>
          <a:ahLst/>
          <a:cxnLst/>
          <a:rect l="0" t="0" r="0" b="0"/>
          <a:pathLst>
            <a:path>
              <a:moveTo>
                <a:pt x="45720" y="0"/>
              </a:moveTo>
              <a:lnTo>
                <a:pt x="45720" y="1060825"/>
              </a:lnTo>
              <a:lnTo>
                <a:pt x="111001" y="106082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7CC89E85-CEF2-476D-B74A-7E9F12E1E549}">
      <dsp:nvSpPr>
        <dsp:cNvPr id="0" name=""/>
        <dsp:cNvSpPr/>
      </dsp:nvSpPr>
      <dsp:spPr>
        <a:xfrm>
          <a:off x="1817695" y="1224927"/>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原家中心</a:t>
          </a:r>
        </a:p>
      </dsp:txBody>
      <dsp:txXfrm>
        <a:off x="1827255" y="1234487"/>
        <a:ext cx="503132" cy="307287"/>
      </dsp:txXfrm>
    </dsp:sp>
    <dsp:sp modelId="{AFBBC5BC-8E8D-45C8-A670-62475E0BDBE2}">
      <dsp:nvSpPr>
        <dsp:cNvPr id="0" name=""/>
        <dsp:cNvSpPr/>
      </dsp:nvSpPr>
      <dsp:spPr>
        <a:xfrm>
          <a:off x="1706693" y="327306"/>
          <a:ext cx="91440" cy="1468835"/>
        </a:xfrm>
        <a:custGeom>
          <a:avLst/>
          <a:gdLst/>
          <a:ahLst/>
          <a:cxnLst/>
          <a:rect l="0" t="0" r="0" b="0"/>
          <a:pathLst>
            <a:path>
              <a:moveTo>
                <a:pt x="45720" y="0"/>
              </a:moveTo>
              <a:lnTo>
                <a:pt x="45720" y="1468835"/>
              </a:lnTo>
              <a:lnTo>
                <a:pt x="111001" y="146883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E419FF80-1D14-4920-8A3D-24A247392416}">
      <dsp:nvSpPr>
        <dsp:cNvPr id="0" name=""/>
        <dsp:cNvSpPr/>
      </dsp:nvSpPr>
      <dsp:spPr>
        <a:xfrm>
          <a:off x="1817695" y="1632937"/>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法律扶助</a:t>
          </a:r>
        </a:p>
      </dsp:txBody>
      <dsp:txXfrm>
        <a:off x="1827255" y="1642497"/>
        <a:ext cx="503132" cy="307287"/>
      </dsp:txXfrm>
    </dsp:sp>
    <dsp:sp modelId="{935DA603-DB92-4777-AF0B-679A66001C65}">
      <dsp:nvSpPr>
        <dsp:cNvPr id="0" name=""/>
        <dsp:cNvSpPr/>
      </dsp:nvSpPr>
      <dsp:spPr>
        <a:xfrm>
          <a:off x="2503152" y="898"/>
          <a:ext cx="652815" cy="326407"/>
        </a:xfrm>
        <a:prstGeom prst="roundRect">
          <a:avLst>
            <a:gd name="adj" fmla="val 10000"/>
          </a:avLst>
        </a:prstGeom>
        <a:solidFill>
          <a:schemeClr val="bg1">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經濟發展</a:t>
          </a:r>
        </a:p>
      </dsp:txBody>
      <dsp:txXfrm>
        <a:off x="2512712" y="10458"/>
        <a:ext cx="633695" cy="307287"/>
      </dsp:txXfrm>
    </dsp:sp>
    <dsp:sp modelId="{450DB566-9D97-454C-8CA0-2CBAFCB4C06B}">
      <dsp:nvSpPr>
        <dsp:cNvPr id="0" name=""/>
        <dsp:cNvSpPr/>
      </dsp:nvSpPr>
      <dsp:spPr>
        <a:xfrm>
          <a:off x="2522713" y="327306"/>
          <a:ext cx="91440" cy="244805"/>
        </a:xfrm>
        <a:custGeom>
          <a:avLst/>
          <a:gdLst/>
          <a:ahLst/>
          <a:cxnLst/>
          <a:rect l="0" t="0" r="0" b="0"/>
          <a:pathLst>
            <a:path>
              <a:moveTo>
                <a:pt x="45720" y="0"/>
              </a:moveTo>
              <a:lnTo>
                <a:pt x="45720" y="244805"/>
              </a:lnTo>
              <a:lnTo>
                <a:pt x="111001" y="24480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CDDFD37C-1733-4C92-A94E-C66B9D967964}">
      <dsp:nvSpPr>
        <dsp:cNvPr id="0" name=""/>
        <dsp:cNvSpPr/>
      </dsp:nvSpPr>
      <dsp:spPr>
        <a:xfrm>
          <a:off x="2633715" y="40890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經濟發展</a:t>
          </a:r>
        </a:p>
      </dsp:txBody>
      <dsp:txXfrm>
        <a:off x="2643275" y="418468"/>
        <a:ext cx="503132" cy="307287"/>
      </dsp:txXfrm>
    </dsp:sp>
    <dsp:sp modelId="{EBA742B4-FEA6-4582-ACBA-962A756362C4}">
      <dsp:nvSpPr>
        <dsp:cNvPr id="0" name=""/>
        <dsp:cNvSpPr/>
      </dsp:nvSpPr>
      <dsp:spPr>
        <a:xfrm>
          <a:off x="2522713" y="327306"/>
          <a:ext cx="91440" cy="652815"/>
        </a:xfrm>
        <a:custGeom>
          <a:avLst/>
          <a:gdLst/>
          <a:ahLst/>
          <a:cxnLst/>
          <a:rect l="0" t="0" r="0" b="0"/>
          <a:pathLst>
            <a:path>
              <a:moveTo>
                <a:pt x="45720" y="0"/>
              </a:moveTo>
              <a:lnTo>
                <a:pt x="45720" y="652815"/>
              </a:lnTo>
              <a:lnTo>
                <a:pt x="111001" y="65281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F1759B7B-D6B7-44FD-910B-0FC9A38A9BF6}">
      <dsp:nvSpPr>
        <dsp:cNvPr id="0" name=""/>
        <dsp:cNvSpPr/>
      </dsp:nvSpPr>
      <dsp:spPr>
        <a:xfrm>
          <a:off x="2633715" y="81691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融資貸款</a:t>
          </a:r>
        </a:p>
      </dsp:txBody>
      <dsp:txXfrm>
        <a:off x="2643275" y="826478"/>
        <a:ext cx="503132" cy="307287"/>
      </dsp:txXfrm>
    </dsp:sp>
    <dsp:sp modelId="{93479373-5365-4D0F-A456-E1574AE06D3E}">
      <dsp:nvSpPr>
        <dsp:cNvPr id="0" name=""/>
        <dsp:cNvSpPr/>
      </dsp:nvSpPr>
      <dsp:spPr>
        <a:xfrm>
          <a:off x="3319171" y="898"/>
          <a:ext cx="652815" cy="326407"/>
        </a:xfrm>
        <a:prstGeom prst="roundRect">
          <a:avLst>
            <a:gd name="adj" fmla="val 10000"/>
          </a:avLst>
        </a:prstGeom>
        <a:solidFill>
          <a:schemeClr val="bg1">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zh-TW" altLang="en-US" sz="1000" kern="1200">
              <a:solidFill>
                <a:schemeClr val="tx1"/>
              </a:solidFill>
              <a:latin typeface="標楷體" panose="03000509000000000000" pitchFamily="65" charset="-120"/>
              <a:ea typeface="標楷體" panose="03000509000000000000" pitchFamily="65" charset="-120"/>
            </a:rPr>
            <a:t>公共建設</a:t>
          </a:r>
        </a:p>
      </dsp:txBody>
      <dsp:txXfrm>
        <a:off x="3328731" y="10458"/>
        <a:ext cx="633695" cy="307287"/>
      </dsp:txXfrm>
    </dsp:sp>
    <dsp:sp modelId="{F876FFF9-562B-4B28-B010-25102CA2E5CA}">
      <dsp:nvSpPr>
        <dsp:cNvPr id="0" name=""/>
        <dsp:cNvSpPr/>
      </dsp:nvSpPr>
      <dsp:spPr>
        <a:xfrm>
          <a:off x="3338733" y="327306"/>
          <a:ext cx="91440" cy="244805"/>
        </a:xfrm>
        <a:custGeom>
          <a:avLst/>
          <a:gdLst/>
          <a:ahLst/>
          <a:cxnLst/>
          <a:rect l="0" t="0" r="0" b="0"/>
          <a:pathLst>
            <a:path>
              <a:moveTo>
                <a:pt x="45720" y="0"/>
              </a:moveTo>
              <a:lnTo>
                <a:pt x="45720" y="244805"/>
              </a:lnTo>
              <a:lnTo>
                <a:pt x="111001" y="24480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54EB4B81-0695-475D-8841-FF3E4934BAAD}">
      <dsp:nvSpPr>
        <dsp:cNvPr id="0" name=""/>
        <dsp:cNvSpPr/>
      </dsp:nvSpPr>
      <dsp:spPr>
        <a:xfrm>
          <a:off x="3449735" y="40890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部落空間建置整修</a:t>
          </a:r>
        </a:p>
      </dsp:txBody>
      <dsp:txXfrm>
        <a:off x="3459295" y="418468"/>
        <a:ext cx="503132" cy="307287"/>
      </dsp:txXfrm>
    </dsp:sp>
    <dsp:sp modelId="{01FC7C27-9BF5-48DF-8AD2-0169BCB30A53}">
      <dsp:nvSpPr>
        <dsp:cNvPr id="0" name=""/>
        <dsp:cNvSpPr/>
      </dsp:nvSpPr>
      <dsp:spPr>
        <a:xfrm>
          <a:off x="3338733" y="327306"/>
          <a:ext cx="91440" cy="652815"/>
        </a:xfrm>
        <a:custGeom>
          <a:avLst/>
          <a:gdLst/>
          <a:ahLst/>
          <a:cxnLst/>
          <a:rect l="0" t="0" r="0" b="0"/>
          <a:pathLst>
            <a:path>
              <a:moveTo>
                <a:pt x="45720" y="0"/>
              </a:moveTo>
              <a:lnTo>
                <a:pt x="45720" y="652815"/>
              </a:lnTo>
              <a:lnTo>
                <a:pt x="111001" y="65281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B6D4210D-45AC-49D0-909D-79E1DBE071C4}">
      <dsp:nvSpPr>
        <dsp:cNvPr id="0" name=""/>
        <dsp:cNvSpPr/>
      </dsp:nvSpPr>
      <dsp:spPr>
        <a:xfrm>
          <a:off x="3449735" y="81691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特色道路</a:t>
          </a:r>
        </a:p>
      </dsp:txBody>
      <dsp:txXfrm>
        <a:off x="3459295" y="826478"/>
        <a:ext cx="503132" cy="307287"/>
      </dsp:txXfrm>
    </dsp:sp>
    <dsp:sp modelId="{0FAEB207-E974-4D1A-A48A-D522F211C52C}">
      <dsp:nvSpPr>
        <dsp:cNvPr id="0" name=""/>
        <dsp:cNvSpPr/>
      </dsp:nvSpPr>
      <dsp:spPr>
        <a:xfrm>
          <a:off x="3338733" y="327306"/>
          <a:ext cx="91440" cy="1060825"/>
        </a:xfrm>
        <a:custGeom>
          <a:avLst/>
          <a:gdLst/>
          <a:ahLst/>
          <a:cxnLst/>
          <a:rect l="0" t="0" r="0" b="0"/>
          <a:pathLst>
            <a:path>
              <a:moveTo>
                <a:pt x="45720" y="0"/>
              </a:moveTo>
              <a:lnTo>
                <a:pt x="45720" y="1060825"/>
              </a:lnTo>
              <a:lnTo>
                <a:pt x="111001" y="106082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D3369F4A-AA3C-4883-A400-C7CFA55A689C}">
      <dsp:nvSpPr>
        <dsp:cNvPr id="0" name=""/>
        <dsp:cNvSpPr/>
      </dsp:nvSpPr>
      <dsp:spPr>
        <a:xfrm>
          <a:off x="3449735" y="1224927"/>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災害風險決策</a:t>
          </a:r>
        </a:p>
      </dsp:txBody>
      <dsp:txXfrm>
        <a:off x="3459295" y="1234487"/>
        <a:ext cx="503132" cy="307287"/>
      </dsp:txXfrm>
    </dsp:sp>
    <dsp:sp modelId="{21D83AFC-EE29-410A-B3DC-C27F6086DB84}">
      <dsp:nvSpPr>
        <dsp:cNvPr id="0" name=""/>
        <dsp:cNvSpPr/>
      </dsp:nvSpPr>
      <dsp:spPr>
        <a:xfrm>
          <a:off x="4135191" y="898"/>
          <a:ext cx="652815" cy="326407"/>
        </a:xfrm>
        <a:prstGeom prst="roundRect">
          <a:avLst>
            <a:gd name="adj" fmla="val 10000"/>
          </a:avLst>
        </a:prstGeom>
        <a:solidFill>
          <a:schemeClr val="bg1">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土地管理</a:t>
          </a:r>
        </a:p>
      </dsp:txBody>
      <dsp:txXfrm>
        <a:off x="4144751" y="10458"/>
        <a:ext cx="633695" cy="307287"/>
      </dsp:txXfrm>
    </dsp:sp>
    <dsp:sp modelId="{85992154-CD68-484F-B446-5E16156B5814}">
      <dsp:nvSpPr>
        <dsp:cNvPr id="0" name=""/>
        <dsp:cNvSpPr/>
      </dsp:nvSpPr>
      <dsp:spPr>
        <a:xfrm>
          <a:off x="4154753" y="327306"/>
          <a:ext cx="91440" cy="244805"/>
        </a:xfrm>
        <a:custGeom>
          <a:avLst/>
          <a:gdLst/>
          <a:ahLst/>
          <a:cxnLst/>
          <a:rect l="0" t="0" r="0" b="0"/>
          <a:pathLst>
            <a:path>
              <a:moveTo>
                <a:pt x="45720" y="0"/>
              </a:moveTo>
              <a:lnTo>
                <a:pt x="45720" y="244805"/>
              </a:lnTo>
              <a:lnTo>
                <a:pt x="111001" y="24480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C9C1EFB4-C11A-47AE-AD35-EA443F290B1C}">
      <dsp:nvSpPr>
        <dsp:cNvPr id="0" name=""/>
        <dsp:cNvSpPr/>
      </dsp:nvSpPr>
      <dsp:spPr>
        <a:xfrm>
          <a:off x="4265755" y="40890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ysDot"/>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保留地抵押設定</a:t>
          </a:r>
        </a:p>
      </dsp:txBody>
      <dsp:txXfrm>
        <a:off x="4275315" y="418468"/>
        <a:ext cx="503132" cy="307287"/>
      </dsp:txXfrm>
    </dsp:sp>
    <dsp:sp modelId="{04530849-2D57-46A6-824E-EB1009B5C4BB}">
      <dsp:nvSpPr>
        <dsp:cNvPr id="0" name=""/>
        <dsp:cNvSpPr/>
      </dsp:nvSpPr>
      <dsp:spPr>
        <a:xfrm>
          <a:off x="4154753" y="327306"/>
          <a:ext cx="91440" cy="652815"/>
        </a:xfrm>
        <a:custGeom>
          <a:avLst/>
          <a:gdLst/>
          <a:ahLst/>
          <a:cxnLst/>
          <a:rect l="0" t="0" r="0" b="0"/>
          <a:pathLst>
            <a:path>
              <a:moveTo>
                <a:pt x="45720" y="0"/>
              </a:moveTo>
              <a:lnTo>
                <a:pt x="45720" y="652815"/>
              </a:lnTo>
              <a:lnTo>
                <a:pt x="111001" y="65281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CF16EEA2-6F15-4D2B-BD3C-16626570AF76}">
      <dsp:nvSpPr>
        <dsp:cNvPr id="0" name=""/>
        <dsp:cNvSpPr/>
      </dsp:nvSpPr>
      <dsp:spPr>
        <a:xfrm>
          <a:off x="4265755" y="81691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違規利用</a:t>
          </a:r>
        </a:p>
      </dsp:txBody>
      <dsp:txXfrm>
        <a:off x="4275315" y="826478"/>
        <a:ext cx="503132" cy="307287"/>
      </dsp:txXfrm>
    </dsp:sp>
    <dsp:sp modelId="{48DC6ED1-C4A6-44BE-9954-FD3012252E95}">
      <dsp:nvSpPr>
        <dsp:cNvPr id="0" name=""/>
        <dsp:cNvSpPr/>
      </dsp:nvSpPr>
      <dsp:spPr>
        <a:xfrm>
          <a:off x="4951211" y="898"/>
          <a:ext cx="652815" cy="326407"/>
        </a:xfrm>
        <a:prstGeom prst="roundRect">
          <a:avLst>
            <a:gd name="adj" fmla="val 10000"/>
          </a:avLst>
        </a:prstGeom>
        <a:solidFill>
          <a:schemeClr val="bg1">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lvl="0" algn="ctr" defTabSz="444500">
            <a:lnSpc>
              <a:spcPct val="90000"/>
            </a:lnSpc>
            <a:spcBef>
              <a:spcPct val="0"/>
            </a:spcBef>
            <a:spcAft>
              <a:spcPct val="35000"/>
            </a:spcAft>
          </a:pPr>
          <a:r>
            <a:rPr lang="zh-TW" altLang="en-US" sz="1000" kern="1200">
              <a:solidFill>
                <a:sysClr val="windowText" lastClr="000000"/>
              </a:solidFill>
              <a:latin typeface="標楷體" panose="03000509000000000000" pitchFamily="65" charset="-120"/>
              <a:ea typeface="標楷體" panose="03000509000000000000" pitchFamily="65" charset="-120"/>
            </a:rPr>
            <a:t>原發中心</a:t>
          </a:r>
        </a:p>
      </dsp:txBody>
      <dsp:txXfrm>
        <a:off x="4960771" y="10458"/>
        <a:ext cx="633695" cy="307287"/>
      </dsp:txXfrm>
    </dsp:sp>
    <dsp:sp modelId="{DCE17D16-8BEC-4C0B-BD88-F84004FB5055}">
      <dsp:nvSpPr>
        <dsp:cNvPr id="0" name=""/>
        <dsp:cNvSpPr/>
      </dsp:nvSpPr>
      <dsp:spPr>
        <a:xfrm>
          <a:off x="4970773" y="327306"/>
          <a:ext cx="91440" cy="244805"/>
        </a:xfrm>
        <a:custGeom>
          <a:avLst/>
          <a:gdLst/>
          <a:ahLst/>
          <a:cxnLst/>
          <a:rect l="0" t="0" r="0" b="0"/>
          <a:pathLst>
            <a:path>
              <a:moveTo>
                <a:pt x="45720" y="0"/>
              </a:moveTo>
              <a:lnTo>
                <a:pt x="45720" y="244805"/>
              </a:lnTo>
              <a:lnTo>
                <a:pt x="111001" y="244805"/>
              </a:lnTo>
            </a:path>
          </a:pathLst>
        </a:custGeom>
        <a:noFill/>
        <a:ln w="25400" cap="flat" cmpd="sng" algn="ctr">
          <a:solidFill>
            <a:schemeClr val="bg1">
              <a:lumMod val="50000"/>
            </a:schemeClr>
          </a:solidFill>
          <a:prstDash val="solid"/>
        </a:ln>
        <a:effectLst/>
      </dsp:spPr>
      <dsp:style>
        <a:lnRef idx="2">
          <a:scrgbClr r="0" g="0" b="0"/>
        </a:lnRef>
        <a:fillRef idx="0">
          <a:scrgbClr r="0" g="0" b="0"/>
        </a:fillRef>
        <a:effectRef idx="0">
          <a:scrgbClr r="0" g="0" b="0"/>
        </a:effectRef>
        <a:fontRef idx="minor"/>
      </dsp:style>
    </dsp:sp>
    <dsp:sp modelId="{0FE5C5F2-AD0D-4A80-9BDB-E922585EEF4E}">
      <dsp:nvSpPr>
        <dsp:cNvPr id="0" name=""/>
        <dsp:cNvSpPr/>
      </dsp:nvSpPr>
      <dsp:spPr>
        <a:xfrm>
          <a:off x="5081775" y="408908"/>
          <a:ext cx="522252" cy="326407"/>
        </a:xfrm>
        <a:prstGeom prst="roundRect">
          <a:avLst>
            <a:gd name="adj" fmla="val 10000"/>
          </a:avLst>
        </a:prstGeom>
        <a:solidFill>
          <a:schemeClr val="lt1">
            <a:alpha val="90000"/>
            <a:hueOff val="0"/>
            <a:satOff val="0"/>
            <a:lumOff val="0"/>
            <a:alphaOff val="0"/>
          </a:schemeClr>
        </a:solidFill>
        <a:ln w="25400" cap="flat" cmpd="sng" algn="ctr">
          <a:solidFill>
            <a:schemeClr val="bg1">
              <a:lumMod val="5000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zh-TW" altLang="en-US" sz="900" kern="1200">
              <a:solidFill>
                <a:sysClr val="windowText" lastClr="000000"/>
              </a:solidFill>
              <a:latin typeface="標楷體" panose="03000509000000000000" pitchFamily="65" charset="-120"/>
              <a:ea typeface="標楷體" panose="03000509000000000000" pitchFamily="65" charset="-120"/>
            </a:rPr>
            <a:t>園區營運</a:t>
          </a:r>
        </a:p>
      </dsp:txBody>
      <dsp:txXfrm>
        <a:off x="5091335" y="418468"/>
        <a:ext cx="503132" cy="307287"/>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0.92162</cdr:x>
      <cdr:y>0.74346</cdr:y>
    </cdr:from>
    <cdr:to>
      <cdr:x>1</cdr:x>
      <cdr:y>0.83246</cdr:y>
    </cdr:to>
    <cdr:sp macro="" textlink="">
      <cdr:nvSpPr>
        <cdr:cNvPr id="6" name="文字方塊 7"/>
        <cdr:cNvSpPr txBox="1">
          <a:spLocks xmlns:a="http://schemas.openxmlformats.org/drawingml/2006/main" noChangeArrowheads="1"/>
        </cdr:cNvSpPr>
      </cdr:nvSpPr>
      <cdr:spPr bwMode="auto">
        <a:xfrm xmlns:a="http://schemas.openxmlformats.org/drawingml/2006/main">
          <a:off x="5435604" y="2164093"/>
          <a:ext cx="462276" cy="25906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spcAft>
              <a:spcPts val="0"/>
            </a:spcAft>
          </a:pPr>
          <a:r>
            <a:rPr lang="zh-TW" sz="1000" kern="0">
              <a:effectLst/>
              <a:latin typeface="Calibri" panose="020F0502020204030204" pitchFamily="34" charset="0"/>
              <a:ea typeface="標楷體" panose="03000509000000000000" pitchFamily="65" charset="-120"/>
              <a:cs typeface="Times New Roman" panose="02020603050405020304" pitchFamily="18" charset="0"/>
            </a:rPr>
            <a:t>年</a:t>
          </a:r>
          <a:endParaRPr lang="zh-TW" sz="14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0.00807</cdr:x>
      <cdr:y>0.02781</cdr:y>
    </cdr:from>
    <cdr:to>
      <cdr:x>0.05814</cdr:x>
      <cdr:y>0.10471</cdr:y>
    </cdr:to>
    <cdr:sp macro="" textlink="">
      <cdr:nvSpPr>
        <cdr:cNvPr id="3" name="文字方塊 2"/>
        <cdr:cNvSpPr txBox="1"/>
      </cdr:nvSpPr>
      <cdr:spPr>
        <a:xfrm xmlns:a="http://schemas.openxmlformats.org/drawingml/2006/main">
          <a:off x="47625" y="80961"/>
          <a:ext cx="295275" cy="22383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200"/>
            </a:lnSpc>
          </a:pPr>
          <a:r>
            <a:rPr lang="zh-TW" altLang="en-US" sz="1000">
              <a:latin typeface="標楷體" panose="03000509000000000000" pitchFamily="65" charset="-120"/>
              <a:ea typeface="標楷體" panose="03000509000000000000" pitchFamily="65" charset="-120"/>
            </a:rPr>
            <a:t>％</a:t>
          </a:r>
        </a:p>
      </cdr:txBody>
    </cdr:sp>
  </cdr:relSizeAnchor>
</c:userShapes>
</file>

<file path=word/drawings/drawing2.xml><?xml version="1.0" encoding="utf-8"?>
<c:userShapes xmlns:c="http://schemas.openxmlformats.org/drawingml/2006/chart">
  <cdr:relSizeAnchor xmlns:cdr="http://schemas.openxmlformats.org/drawingml/2006/chartDrawing">
    <cdr:from>
      <cdr:x>0.91791</cdr:x>
      <cdr:y>0.78745</cdr:y>
    </cdr:from>
    <cdr:to>
      <cdr:x>1</cdr:x>
      <cdr:y>0.87524</cdr:y>
    </cdr:to>
    <cdr:sp macro="" textlink="">
      <cdr:nvSpPr>
        <cdr:cNvPr id="2" name="文字方塊 14"/>
        <cdr:cNvSpPr txBox="1">
          <a:spLocks xmlns:a="http://schemas.openxmlformats.org/drawingml/2006/main" noChangeArrowheads="1"/>
        </cdr:cNvSpPr>
      </cdr:nvSpPr>
      <cdr:spPr bwMode="auto">
        <a:xfrm xmlns:a="http://schemas.openxmlformats.org/drawingml/2006/main">
          <a:off x="5434706" y="2597160"/>
          <a:ext cx="486034" cy="2895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spcAft>
              <a:spcPts val="0"/>
            </a:spcAft>
          </a:pPr>
          <a:r>
            <a:rPr lang="zh-TW" sz="1000" kern="0">
              <a:effectLst/>
              <a:latin typeface="Calibri" panose="020F0502020204030204" pitchFamily="34" charset="0"/>
              <a:ea typeface="標楷體" panose="03000509000000000000" pitchFamily="65" charset="-120"/>
              <a:cs typeface="Times New Roman" panose="02020603050405020304" pitchFamily="18" charset="0"/>
            </a:rPr>
            <a:t>年</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cdr:x>
      <cdr:y>0.87909</cdr:y>
    </cdr:from>
    <cdr:to>
      <cdr:x>0.78394</cdr:x>
      <cdr:y>0.95995</cdr:y>
    </cdr:to>
    <cdr:sp macro="" textlink="">
      <cdr:nvSpPr>
        <cdr:cNvPr id="4" name="文字方塊 2"/>
        <cdr:cNvSpPr txBox="1">
          <a:spLocks xmlns:a="http://schemas.openxmlformats.org/drawingml/2006/main" noChangeArrowheads="1"/>
        </cdr:cNvSpPr>
      </cdr:nvSpPr>
      <cdr:spPr bwMode="auto">
        <a:xfrm xmlns:a="http://schemas.openxmlformats.org/drawingml/2006/main">
          <a:off x="-891540" y="2899410"/>
          <a:ext cx="4414520" cy="266700"/>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indent="171450">
            <a:spcAft>
              <a:spcPts val="0"/>
            </a:spcAft>
          </a:pPr>
          <a:r>
            <a:rPr lang="zh-TW" sz="900" kern="100">
              <a:effectLst/>
              <a:latin typeface="Times New Roman" panose="02020603050405020304" pitchFamily="18" charset="0"/>
              <a:ea typeface="標楷體" panose="03000509000000000000" pitchFamily="65" charset="-120"/>
              <a:cs typeface="Times New Roman" panose="02020603050405020304" pitchFamily="18" charset="0"/>
            </a:rPr>
            <a:t>資料來源：整理自</a:t>
          </a:r>
          <a:r>
            <a:rPr lang="zh-TW" altLang="en-US" sz="900" kern="100">
              <a:effectLst/>
              <a:latin typeface="PMingLiU" panose="02020500000000000000" pitchFamily="18" charset="-120"/>
              <a:ea typeface="PMingLiU" panose="02020500000000000000" pitchFamily="18" charset="-120"/>
              <a:cs typeface="Times New Roman" panose="02020603050405020304" pitchFamily="18" charset="0"/>
            </a:rPr>
            <a:t>「</a:t>
          </a:r>
          <a:r>
            <a:rPr lang="en-US" sz="900" kern="100">
              <a:effectLst/>
              <a:latin typeface="Times New Roman" panose="02020603050405020304" pitchFamily="18" charset="0"/>
              <a:ea typeface="標楷體" panose="03000509000000000000" pitchFamily="65" charset="-120"/>
              <a:cs typeface="Times New Roman" panose="02020603050405020304" pitchFamily="18" charset="0"/>
            </a:rPr>
            <a:t>111</a:t>
          </a:r>
          <a:r>
            <a:rPr lang="zh-TW" sz="900" kern="100">
              <a:effectLst/>
              <a:latin typeface="Times New Roman" panose="02020603050405020304" pitchFamily="18" charset="0"/>
              <a:ea typeface="標楷體" panose="03000509000000000000" pitchFamily="65" charset="-120"/>
              <a:cs typeface="Times New Roman" panose="02020603050405020304" pitchFamily="18" charset="0"/>
            </a:rPr>
            <a:t>年家庭收支調查報告</a:t>
          </a:r>
          <a:r>
            <a:rPr lang="zh-TW" altLang="en-US" sz="900" kern="100">
              <a:effectLst/>
              <a:latin typeface="標楷體" panose="03000509000000000000" pitchFamily="65" charset="-120"/>
              <a:ea typeface="標楷體" panose="03000509000000000000" pitchFamily="65" charset="-120"/>
              <a:cs typeface="Times New Roman" panose="02020603050405020304" pitchFamily="18" charset="0"/>
            </a:rPr>
            <a:t>」</a:t>
          </a:r>
          <a:r>
            <a:rPr lang="zh-TW" sz="900" kern="100">
              <a:effectLst/>
              <a:latin typeface="Times New Roman" panose="02020603050405020304" pitchFamily="18" charset="0"/>
              <a:ea typeface="標楷體" panose="03000509000000000000" pitchFamily="65" charset="-120"/>
              <a:cs typeface="Times New Roman" panose="02020603050405020304" pitchFamily="18" charset="0"/>
            </a:rPr>
            <a:t>資料。</a:t>
          </a:r>
          <a:endParaRPr lang="zh-TW" sz="900" kern="100">
            <a:effectLst/>
            <a:latin typeface="Calibri" panose="020F0502020204030204" pitchFamily="34" charset="0"/>
            <a:ea typeface="新細明體" panose="02020500000000000000" pitchFamily="18" charset="-120"/>
            <a:cs typeface="Times New Roman" panose="02020603050405020304" pitchFamily="18" charset="0"/>
          </a:endParaRPr>
        </a:p>
        <a:p xmlns:a="http://schemas.openxmlformats.org/drawingml/2006/main">
          <a:pPr>
            <a:spcAft>
              <a:spcPts val="0"/>
            </a:spcAft>
          </a:pPr>
          <a:r>
            <a:rPr lang="en-US" sz="1000" kern="100">
              <a:effectLst/>
              <a:latin typeface="Calibri" panose="020F0502020204030204" pitchFamily="34" charset="0"/>
              <a:ea typeface="新細明體" panose="02020500000000000000" pitchFamily="18" charset="-120"/>
              <a:cs typeface="Times New Roman" panose="02020603050405020304" pitchFamily="18" charset="0"/>
            </a:rPr>
            <a:t> </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0.01437</cdr:x>
      <cdr:y>0.04351</cdr:y>
    </cdr:from>
    <cdr:to>
      <cdr:x>0.12668</cdr:x>
      <cdr:y>0.1313</cdr:y>
    </cdr:to>
    <cdr:sp macro="" textlink="">
      <cdr:nvSpPr>
        <cdr:cNvPr id="5" name="文字方塊 15"/>
        <cdr:cNvSpPr txBox="1">
          <a:spLocks xmlns:a="http://schemas.openxmlformats.org/drawingml/2006/main" noChangeArrowheads="1"/>
        </cdr:cNvSpPr>
      </cdr:nvSpPr>
      <cdr:spPr bwMode="auto">
        <a:xfrm xmlns:a="http://schemas.openxmlformats.org/drawingml/2006/main">
          <a:off x="85063" y="143511"/>
          <a:ext cx="664959" cy="289548"/>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spcAft>
              <a:spcPts val="0"/>
            </a:spcAft>
          </a:pPr>
          <a:r>
            <a:rPr lang="zh-TW" sz="1000" kern="0">
              <a:solidFill>
                <a:srgbClr val="000000"/>
              </a:solidFill>
              <a:effectLst/>
              <a:latin typeface="Calibri" panose="020F0502020204030204" pitchFamily="34" charset="0"/>
              <a:ea typeface="標楷體" panose="03000509000000000000" pitchFamily="65" charset="-120"/>
              <a:cs typeface="Times New Roman" panose="02020603050405020304" pitchFamily="18" charset="0"/>
            </a:rPr>
            <a:t>係數</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0.00868</cdr:x>
      <cdr:y>0.89554</cdr:y>
    </cdr:from>
    <cdr:to>
      <cdr:x>0.79493</cdr:x>
      <cdr:y>0.98939</cdr:y>
    </cdr:to>
    <cdr:sp macro="" textlink="">
      <cdr:nvSpPr>
        <cdr:cNvPr id="2" name="文字方塊 18"/>
        <cdr:cNvSpPr txBox="1">
          <a:spLocks xmlns:a="http://schemas.openxmlformats.org/drawingml/2006/main" noChangeArrowheads="1"/>
        </cdr:cNvSpPr>
      </cdr:nvSpPr>
      <cdr:spPr bwMode="auto">
        <a:xfrm xmlns:a="http://schemas.openxmlformats.org/drawingml/2006/main">
          <a:off x="40262" y="2968447"/>
          <a:ext cx="3648656" cy="311095"/>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indent="0">
            <a:spcAft>
              <a:spcPts val="0"/>
            </a:spcAft>
          </a:pPr>
          <a:r>
            <a:rPr lang="zh-TW" sz="900">
              <a:solidFill>
                <a:srgbClr val="000000"/>
              </a:solidFill>
              <a:effectLst/>
              <a:latin typeface="Times New Roman" panose="02020603050405020304" pitchFamily="18" charset="0"/>
              <a:ea typeface="標楷體" panose="03000509000000000000" pitchFamily="65" charset="-120"/>
              <a:cs typeface="Times New Roman" panose="02020603050405020304" pitchFamily="18" charset="0"/>
            </a:rPr>
            <a:t>資料來源：</a:t>
          </a:r>
          <a:r>
            <a:rPr lang="zh-TW" sz="900">
              <a:solidFill>
                <a:srgbClr val="000000"/>
              </a:solidFill>
              <a:effectLst/>
              <a:latin typeface="Calibri" panose="020F0502020204030204" pitchFamily="34" charset="0"/>
              <a:ea typeface="標楷體" panose="03000509000000000000" pitchFamily="65" charset="-120"/>
              <a:cs typeface="Times New Roman" panose="02020603050405020304" pitchFamily="18" charset="0"/>
            </a:rPr>
            <a:t>整理</a:t>
          </a:r>
          <a:r>
            <a:rPr lang="zh-TW" sz="900">
              <a:effectLst/>
              <a:latin typeface="Times New Roman" panose="02020603050405020304" pitchFamily="18" charset="0"/>
              <a:ea typeface="標楷體" panose="03000509000000000000" pitchFamily="65" charset="-120"/>
              <a:cs typeface="新細明體" panose="02020500000000000000" pitchFamily="18" charset="-120"/>
            </a:rPr>
            <a:t>自</a:t>
          </a:r>
          <a:r>
            <a:rPr lang="zh-TW" altLang="en-US" sz="900">
              <a:effectLst/>
              <a:latin typeface="PMingLiU" panose="02020500000000000000" pitchFamily="18" charset="-120"/>
              <a:ea typeface="PMingLiU" panose="02020500000000000000" pitchFamily="18" charset="-120"/>
              <a:cs typeface="新細明體" panose="02020500000000000000" pitchFamily="18" charset="-120"/>
            </a:rPr>
            <a:t>「</a:t>
          </a:r>
          <a:r>
            <a:rPr lang="en-US" sz="900">
              <a:effectLst/>
              <a:latin typeface="Times New Roman" panose="02020603050405020304" pitchFamily="18" charset="0"/>
              <a:ea typeface="標楷體" panose="03000509000000000000" pitchFamily="65" charset="-120"/>
              <a:cs typeface="新細明體" panose="02020500000000000000" pitchFamily="18" charset="-120"/>
            </a:rPr>
            <a:t>111</a:t>
          </a:r>
          <a:r>
            <a:rPr lang="zh-TW" sz="900">
              <a:effectLst/>
              <a:latin typeface="Times New Roman" panose="02020603050405020304" pitchFamily="18" charset="0"/>
              <a:ea typeface="標楷體" panose="03000509000000000000" pitchFamily="65" charset="-120"/>
              <a:cs typeface="新細明體" panose="02020500000000000000" pitchFamily="18" charset="-120"/>
            </a:rPr>
            <a:t>年家庭收支調查報告</a:t>
          </a:r>
          <a:r>
            <a:rPr lang="zh-TW" altLang="en-US" sz="900">
              <a:effectLst/>
              <a:latin typeface="標楷體" panose="03000509000000000000" pitchFamily="65" charset="-120"/>
              <a:ea typeface="標楷體" panose="03000509000000000000" pitchFamily="65" charset="-120"/>
              <a:cs typeface="新細明體" panose="02020500000000000000" pitchFamily="18" charset="-120"/>
            </a:rPr>
            <a:t>」</a:t>
          </a:r>
          <a:r>
            <a:rPr lang="zh-TW" sz="900">
              <a:effectLst/>
              <a:latin typeface="Times New Roman" panose="02020603050405020304" pitchFamily="18" charset="0"/>
              <a:ea typeface="標楷體" panose="03000509000000000000" pitchFamily="65" charset="-120"/>
              <a:cs typeface="新細明體" panose="02020500000000000000" pitchFamily="18" charset="-120"/>
            </a:rPr>
            <a:t>資料。</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a:p xmlns:a="http://schemas.openxmlformats.org/drawingml/2006/main">
          <a:pPr>
            <a:spcAft>
              <a:spcPts val="0"/>
            </a:spcAft>
          </a:pPr>
          <a:r>
            <a:rPr lang="en-US" sz="1200">
              <a:solidFill>
                <a:srgbClr val="000000"/>
              </a:solidFill>
              <a:effectLst/>
              <a:latin typeface="Calibri" panose="020F0502020204030204" pitchFamily="34" charset="0"/>
              <a:ea typeface="新細明體" panose="02020500000000000000" pitchFamily="18" charset="-120"/>
              <a:cs typeface="Times New Roman" panose="02020603050405020304" pitchFamily="18" charset="0"/>
            </a:rPr>
            <a:t> </a:t>
          </a:r>
          <a:endParaRPr lang="zh-TW" sz="1200">
            <a:effectLst/>
            <a:latin typeface="新細明體" panose="02020500000000000000" pitchFamily="18" charset="-12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0.9232</cdr:x>
      <cdr:y>0.77033</cdr:y>
    </cdr:from>
    <cdr:to>
      <cdr:x>0.99748</cdr:x>
      <cdr:y>0.85669</cdr:y>
    </cdr:to>
    <cdr:sp macro="" textlink="">
      <cdr:nvSpPr>
        <cdr:cNvPr id="3" name="文字方塊 14"/>
        <cdr:cNvSpPr txBox="1">
          <a:spLocks xmlns:a="http://schemas.openxmlformats.org/drawingml/2006/main" noChangeArrowheads="1"/>
        </cdr:cNvSpPr>
      </cdr:nvSpPr>
      <cdr:spPr bwMode="auto">
        <a:xfrm xmlns:a="http://schemas.openxmlformats.org/drawingml/2006/main">
          <a:off x="5588564" y="2582769"/>
          <a:ext cx="449651" cy="2895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sz="1000" kern="0">
              <a:effectLst/>
              <a:latin typeface="Calibri" panose="020F0502020204030204" pitchFamily="34" charset="0"/>
              <a:ea typeface="標楷體" panose="03000509000000000000" pitchFamily="65" charset="-120"/>
              <a:cs typeface="Times New Roman" panose="02020603050405020304" pitchFamily="18" charset="0"/>
            </a:rPr>
            <a:t>年</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0.02443</cdr:x>
      <cdr:y>0.0476</cdr:y>
    </cdr:from>
    <cdr:to>
      <cdr:x>0.08308</cdr:x>
      <cdr:y>0.13396</cdr:y>
    </cdr:to>
    <cdr:sp macro="" textlink="">
      <cdr:nvSpPr>
        <cdr:cNvPr id="4" name="文字方塊 14"/>
        <cdr:cNvSpPr txBox="1">
          <a:spLocks xmlns:a="http://schemas.openxmlformats.org/drawingml/2006/main" noChangeArrowheads="1"/>
        </cdr:cNvSpPr>
      </cdr:nvSpPr>
      <cdr:spPr bwMode="auto">
        <a:xfrm xmlns:a="http://schemas.openxmlformats.org/drawingml/2006/main">
          <a:off x="147885" y="159609"/>
          <a:ext cx="355036" cy="28954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altLang="en-US" sz="1000" kern="0">
              <a:effectLst/>
              <a:latin typeface="Calibri" panose="020F0502020204030204" pitchFamily="34" charset="0"/>
              <a:ea typeface="標楷體" panose="03000509000000000000" pitchFamily="65" charset="-120"/>
              <a:cs typeface="Times New Roman" panose="02020603050405020304" pitchFamily="18" charset="0"/>
            </a:rPr>
            <a:t>倍</a:t>
          </a:r>
          <a:endParaRPr lang="zh-TW" sz="10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0.13133</cdr:x>
      <cdr:y>0.40758</cdr:y>
    </cdr:from>
    <cdr:to>
      <cdr:x>0.15997</cdr:x>
      <cdr:y>0.43465</cdr:y>
    </cdr:to>
    <cdr:sp macro="" textlink="">
      <cdr:nvSpPr>
        <cdr:cNvPr id="6" name="向右箭號 5"/>
        <cdr:cNvSpPr/>
      </cdr:nvSpPr>
      <cdr:spPr>
        <a:xfrm xmlns:a="http://schemas.openxmlformats.org/drawingml/2006/main" flipH="1">
          <a:off x="795023" y="1366521"/>
          <a:ext cx="173352" cy="90790"/>
        </a:xfrm>
        <a:prstGeom xmlns:a="http://schemas.openxmlformats.org/drawingml/2006/main" prst="rightArrow">
          <a:avLst/>
        </a:prstGeom>
        <a:solidFill xmlns:a="http://schemas.openxmlformats.org/drawingml/2006/main">
          <a:schemeClr val="tx1"/>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tLang="en-US"/>
        </a:p>
      </cdr:txBody>
    </cdr:sp>
  </cdr:relSizeAnchor>
  <cdr:relSizeAnchor xmlns:cdr="http://schemas.openxmlformats.org/drawingml/2006/chartDrawing">
    <cdr:from>
      <cdr:x>0.12462</cdr:x>
      <cdr:y>0.22955</cdr:y>
    </cdr:from>
    <cdr:to>
      <cdr:x>0.12462</cdr:x>
      <cdr:y>0.60682</cdr:y>
    </cdr:to>
    <cdr:cxnSp macro="">
      <cdr:nvCxnSpPr>
        <cdr:cNvPr id="8" name="直線單箭頭接點 7"/>
        <cdr:cNvCxnSpPr/>
      </cdr:nvCxnSpPr>
      <cdr:spPr>
        <a:xfrm xmlns:a="http://schemas.openxmlformats.org/drawingml/2006/main">
          <a:off x="754380" y="769620"/>
          <a:ext cx="0" cy="1264920"/>
        </a:xfrm>
        <a:prstGeom xmlns:a="http://schemas.openxmlformats.org/drawingml/2006/main" prst="straightConnector1">
          <a:avLst/>
        </a:prstGeom>
        <a:ln xmlns:a="http://schemas.openxmlformats.org/drawingml/2006/main" w="15875">
          <a:solidFill>
            <a:schemeClr val="tx1"/>
          </a:solidFill>
          <a:prstDash val="dash"/>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0.15399</cdr:x>
      <cdr:y>0.38257</cdr:y>
    </cdr:from>
    <cdr:to>
      <cdr:x>0.33332</cdr:x>
      <cdr:y>0.47576</cdr:y>
    </cdr:to>
    <cdr:sp macro="" textlink="">
      <cdr:nvSpPr>
        <cdr:cNvPr id="9" name="文字方塊 38"/>
        <cdr:cNvSpPr txBox="1"/>
      </cdr:nvSpPr>
      <cdr:spPr>
        <a:xfrm xmlns:a="http://schemas.openxmlformats.org/drawingml/2006/main">
          <a:off x="932190" y="1282696"/>
          <a:ext cx="1085567" cy="31241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Times New Roman" panose="02020603050405020304" pitchFamily="18" charset="0"/>
            </a:rPr>
            <a:t>所得重分配效果</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0.90507</cdr:x>
      <cdr:y>0.28182</cdr:y>
    </cdr:from>
    <cdr:to>
      <cdr:x>0.90633</cdr:x>
      <cdr:y>0.6</cdr:y>
    </cdr:to>
    <cdr:cxnSp macro="">
      <cdr:nvCxnSpPr>
        <cdr:cNvPr id="10" name="直線單箭頭接點 9"/>
        <cdr:cNvCxnSpPr/>
      </cdr:nvCxnSpPr>
      <cdr:spPr>
        <a:xfrm xmlns:a="http://schemas.openxmlformats.org/drawingml/2006/main">
          <a:off x="5478780" y="944880"/>
          <a:ext cx="7620" cy="1066800"/>
        </a:xfrm>
        <a:prstGeom xmlns:a="http://schemas.openxmlformats.org/drawingml/2006/main" prst="straightConnector1">
          <a:avLst/>
        </a:prstGeom>
        <a:ln xmlns:a="http://schemas.openxmlformats.org/drawingml/2006/main" w="15875">
          <a:solidFill>
            <a:schemeClr val="tx1"/>
          </a:solidFill>
          <a:prstDash val="dash"/>
          <a:headEnd type="triangle"/>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0.69905</cdr:x>
      <cdr:y>0.3803</cdr:y>
    </cdr:from>
    <cdr:to>
      <cdr:x>0.87838</cdr:x>
      <cdr:y>0.47348</cdr:y>
    </cdr:to>
    <cdr:sp macro="" textlink="">
      <cdr:nvSpPr>
        <cdr:cNvPr id="12" name="文字方塊 38"/>
        <cdr:cNvSpPr txBox="1"/>
      </cdr:nvSpPr>
      <cdr:spPr>
        <a:xfrm xmlns:a="http://schemas.openxmlformats.org/drawingml/2006/main">
          <a:off x="4231650" y="1275076"/>
          <a:ext cx="1085567" cy="31241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zh-TW" altLang="en-US" sz="1000" kern="100">
              <a:effectLst/>
              <a:latin typeface="Calibri" panose="020F0502020204030204" pitchFamily="34" charset="0"/>
              <a:ea typeface="標楷體" panose="03000509000000000000" pitchFamily="65" charset="-120"/>
              <a:cs typeface="Times New Roman" panose="02020603050405020304" pitchFamily="18" charset="0"/>
            </a:rPr>
            <a:t>所得重分配效果</a:t>
          </a:r>
          <a:endParaRPr lang="zh-TW" sz="12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0.86898</cdr:x>
      <cdr:y>0.40303</cdr:y>
    </cdr:from>
    <cdr:to>
      <cdr:x>0.89762</cdr:x>
      <cdr:y>0.4301</cdr:y>
    </cdr:to>
    <cdr:sp macro="" textlink="">
      <cdr:nvSpPr>
        <cdr:cNvPr id="13" name="向右箭號 12"/>
        <cdr:cNvSpPr/>
      </cdr:nvSpPr>
      <cdr:spPr>
        <a:xfrm xmlns:a="http://schemas.openxmlformats.org/drawingml/2006/main">
          <a:off x="5260334" y="1351293"/>
          <a:ext cx="173352" cy="90763"/>
        </a:xfrm>
        <a:prstGeom xmlns:a="http://schemas.openxmlformats.org/drawingml/2006/main" prst="rightArrow">
          <a:avLst/>
        </a:prstGeom>
        <a:solidFill xmlns:a="http://schemas.openxmlformats.org/drawingml/2006/main">
          <a:schemeClr val="tx1"/>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ltLang="en-US"/>
        </a:p>
      </cdr:txBody>
    </cdr:sp>
  </cdr:relSizeAnchor>
</c:userShapes>
</file>

<file path=word/drawings/drawing4.xml><?xml version="1.0" encoding="utf-8"?>
<c:userShapes xmlns:c="http://schemas.openxmlformats.org/drawingml/2006/chart">
  <cdr:relSizeAnchor xmlns:cdr="http://schemas.openxmlformats.org/drawingml/2006/chartDrawing">
    <cdr:from>
      <cdr:x>0.04428</cdr:x>
      <cdr:y>0.01167</cdr:y>
    </cdr:from>
    <cdr:to>
      <cdr:x>0.86347</cdr:x>
      <cdr:y>0.07782</cdr:y>
    </cdr:to>
    <cdr:sp macro="" textlink="">
      <cdr:nvSpPr>
        <cdr:cNvPr id="3" name="文字方塊 2"/>
        <cdr:cNvSpPr txBox="1"/>
      </cdr:nvSpPr>
      <cdr:spPr>
        <a:xfrm xmlns:a="http://schemas.openxmlformats.org/drawingml/2006/main">
          <a:off x="182880" y="45720"/>
          <a:ext cx="3383280" cy="2590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0.02952</cdr:x>
      <cdr:y>0.0214</cdr:y>
    </cdr:from>
    <cdr:to>
      <cdr:x>0.8524</cdr:x>
      <cdr:y>0.07004</cdr:y>
    </cdr:to>
    <cdr:sp macro="" textlink="">
      <cdr:nvSpPr>
        <cdr:cNvPr id="4" name="文字方塊 3"/>
        <cdr:cNvSpPr txBox="1"/>
      </cdr:nvSpPr>
      <cdr:spPr>
        <a:xfrm xmlns:a="http://schemas.openxmlformats.org/drawingml/2006/main">
          <a:off x="121920" y="83820"/>
          <a:ext cx="3398520" cy="190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cdr:x>
      <cdr:y>0</cdr:y>
    </cdr:from>
    <cdr:to>
      <cdr:x>0.99037</cdr:x>
      <cdr:y>0.05837</cdr:y>
    </cdr:to>
    <cdr:sp macro="" textlink="">
      <cdr:nvSpPr>
        <cdr:cNvPr id="5" name="文字方塊 3"/>
        <cdr:cNvSpPr txBox="1"/>
      </cdr:nvSpPr>
      <cdr:spPr>
        <a:xfrm xmlns:a="http://schemas.openxmlformats.org/drawingml/2006/main">
          <a:off x="0" y="0"/>
          <a:ext cx="4090252" cy="228600"/>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a:spcAft>
              <a:spcPts val="0"/>
            </a:spcAft>
          </a:pPr>
          <a:r>
            <a:rPr lang="zh-TW"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圖</a:t>
          </a:r>
          <a:r>
            <a:rPr lang="en-US" altLang="zh-TW"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6</a:t>
          </a:r>
          <a:r>
            <a:rPr lang="zh-TW"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　</a:t>
          </a:r>
          <a:r>
            <a:rPr lang="en-US"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106</a:t>
          </a:r>
          <a:r>
            <a:rPr lang="zh-TW"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年</a:t>
          </a:r>
          <a:r>
            <a:rPr lang="en-US"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10</a:t>
          </a:r>
          <a:r>
            <a:rPr lang="zh-TW"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月至</a:t>
          </a:r>
          <a:r>
            <a:rPr lang="en-US"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112</a:t>
          </a:r>
          <a:r>
            <a:rPr lang="zh-TW"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年</a:t>
          </a:r>
          <a:r>
            <a:rPr lang="en-US"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12</a:t>
          </a:r>
          <a:r>
            <a:rPr lang="zh-TW" sz="1200" b="1" kern="100" spc="-50" baseline="0">
              <a:effectLst/>
              <a:latin typeface="標楷體" panose="03000509000000000000" pitchFamily="65" charset="-120"/>
              <a:ea typeface="標楷體" panose="03000509000000000000" pitchFamily="65" charset="-120"/>
              <a:cs typeface="Times New Roman" panose="02020603050405020304" pitchFamily="18" charset="0"/>
            </a:rPr>
            <a:t>月中央政府各部會鬆綁法規情形</a:t>
          </a:r>
          <a:endParaRPr lang="zh-TW" sz="1200" kern="100" spc="-50" baseline="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0.07865</cdr:x>
      <cdr:y>0.06944</cdr:y>
    </cdr:from>
    <cdr:to>
      <cdr:x>0.20927</cdr:x>
      <cdr:y>0.15278</cdr:y>
    </cdr:to>
    <cdr:sp macro="" textlink="">
      <cdr:nvSpPr>
        <cdr:cNvPr id="2" name="文字方塊 1"/>
        <cdr:cNvSpPr txBox="1"/>
      </cdr:nvSpPr>
      <cdr:spPr>
        <a:xfrm xmlns:a="http://schemas.openxmlformats.org/drawingml/2006/main">
          <a:off x="426720" y="190500"/>
          <a:ext cx="708660" cy="228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userShapes>
</file>

<file path=word/drawings/drawing6.xml><?xml version="1.0" encoding="utf-8"?>
<c:userShapes xmlns:c="http://schemas.openxmlformats.org/drawingml/2006/chart">
  <cdr:relSizeAnchor xmlns:cdr="http://schemas.openxmlformats.org/drawingml/2006/chartDrawing">
    <cdr:from>
      <cdr:x>0.56239</cdr:x>
      <cdr:y>0.16986</cdr:y>
    </cdr:from>
    <cdr:to>
      <cdr:x>0.89975</cdr:x>
      <cdr:y>0.30092</cdr:y>
    </cdr:to>
    <cdr:sp macro="" textlink="">
      <cdr:nvSpPr>
        <cdr:cNvPr id="2" name="文字方塊 1"/>
        <cdr:cNvSpPr txBox="1"/>
      </cdr:nvSpPr>
      <cdr:spPr>
        <a:xfrm xmlns:a="http://schemas.openxmlformats.org/drawingml/2006/main">
          <a:off x="1837024" y="387329"/>
          <a:ext cx="1101966" cy="29885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單位：新臺幣百萬元</a:t>
          </a:r>
        </a:p>
      </cdr:txBody>
    </cdr:sp>
  </cdr:relSizeAnchor>
</c:userShapes>
</file>

<file path=word/drawings/drawing7.xml><?xml version="1.0" encoding="utf-8"?>
<c:userShapes xmlns:c="http://schemas.openxmlformats.org/drawingml/2006/chart">
  <cdr:relSizeAnchor xmlns:cdr="http://schemas.openxmlformats.org/drawingml/2006/chartDrawing">
    <cdr:from>
      <cdr:x>0.50009</cdr:x>
      <cdr:y>0.12599</cdr:y>
    </cdr:from>
    <cdr:to>
      <cdr:x>0.98716</cdr:x>
      <cdr:y>0.26216</cdr:y>
    </cdr:to>
    <cdr:sp macro="" textlink="">
      <cdr:nvSpPr>
        <cdr:cNvPr id="2" name="文字方塊 1"/>
        <cdr:cNvSpPr txBox="1"/>
      </cdr:nvSpPr>
      <cdr:spPr>
        <a:xfrm xmlns:a="http://schemas.openxmlformats.org/drawingml/2006/main">
          <a:off x="1596044" y="281689"/>
          <a:ext cx="1554479" cy="30445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單位：新臺幣百萬元</a:t>
          </a:r>
        </a:p>
      </cdr:txBody>
    </cdr:sp>
  </cdr:relSizeAnchor>
</c:userShapes>
</file>

<file path=word/drawings/drawing8.xml><?xml version="1.0" encoding="utf-8"?>
<c:userShapes xmlns:c="http://schemas.openxmlformats.org/drawingml/2006/chart">
  <cdr:relSizeAnchor xmlns:cdr="http://schemas.openxmlformats.org/drawingml/2006/chartDrawing">
    <cdr:from>
      <cdr:x>0.00885</cdr:x>
      <cdr:y>0.90701</cdr:y>
    </cdr:from>
    <cdr:to>
      <cdr:x>0.91775</cdr:x>
      <cdr:y>1</cdr:y>
    </cdr:to>
    <cdr:sp macro="" textlink="">
      <cdr:nvSpPr>
        <cdr:cNvPr id="2" name="文字方塊 1"/>
        <cdr:cNvSpPr txBox="1"/>
      </cdr:nvSpPr>
      <cdr:spPr>
        <a:xfrm xmlns:a="http://schemas.openxmlformats.org/drawingml/2006/main">
          <a:off x="31203" y="2230661"/>
          <a:ext cx="3203768" cy="22869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zh-TW" sz="900" b="0">
              <a:effectLst/>
              <a:latin typeface="標楷體" panose="03000509000000000000" pitchFamily="65" charset="-120"/>
              <a:ea typeface="標楷體" panose="03000509000000000000" pitchFamily="65" charset="-120"/>
              <a:cs typeface="+mn-cs"/>
            </a:rPr>
            <a:t>資料來源：整理自</a:t>
          </a:r>
          <a:r>
            <a:rPr lang="zh-TW" altLang="en-US" sz="900" b="0">
              <a:effectLst/>
              <a:latin typeface="標楷體" panose="03000509000000000000" pitchFamily="65" charset="-120"/>
              <a:ea typeface="標楷體" panose="03000509000000000000" pitchFamily="65" charset="-120"/>
              <a:cs typeface="+mn-cs"/>
            </a:rPr>
            <a:t>經濟部</a:t>
          </a:r>
          <a:r>
            <a:rPr lang="zh-TW" altLang="zh-TW" sz="900" b="0">
              <a:effectLst/>
              <a:latin typeface="標楷體" panose="03000509000000000000" pitchFamily="65" charset="-120"/>
              <a:ea typeface="標楷體" panose="03000509000000000000" pitchFamily="65" charset="-120"/>
              <a:cs typeface="+mn-cs"/>
            </a:rPr>
            <a:t>能源</a:t>
          </a:r>
          <a:r>
            <a:rPr lang="zh-TW" altLang="en-US" sz="900" b="0">
              <a:effectLst/>
              <a:latin typeface="標楷體" panose="03000509000000000000" pitchFamily="65" charset="-120"/>
              <a:ea typeface="標楷體" panose="03000509000000000000" pitchFamily="65" charset="-120"/>
              <a:cs typeface="+mn-cs"/>
            </a:rPr>
            <a:t>署</a:t>
          </a:r>
          <a:r>
            <a:rPr lang="zh-TW" altLang="zh-TW" sz="900" b="0">
              <a:effectLst/>
              <a:latin typeface="標楷體" panose="03000509000000000000" pitchFamily="65" charset="-120"/>
              <a:ea typeface="標楷體" panose="03000509000000000000" pitchFamily="65" charset="-120"/>
              <a:cs typeface="+mn-cs"/>
            </a:rPr>
            <a:t>提供資料。</a:t>
          </a:r>
          <a:endParaRPr lang="zh-TW" altLang="en-US" sz="900" b="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0.23686</cdr:x>
      <cdr:y>0.4854</cdr:y>
    </cdr:from>
    <cdr:to>
      <cdr:x>0.33696</cdr:x>
      <cdr:y>0.60103</cdr:y>
    </cdr:to>
    <cdr:grpSp>
      <cdr:nvGrpSpPr>
        <cdr:cNvPr id="8" name="群組 7"/>
        <cdr:cNvGrpSpPr/>
      </cdr:nvGrpSpPr>
      <cdr:grpSpPr>
        <a:xfrm xmlns:a="http://schemas.openxmlformats.org/drawingml/2006/main">
          <a:off x="859735" y="1193783"/>
          <a:ext cx="363304" cy="284360"/>
          <a:chOff x="992088" y="1601185"/>
          <a:chExt cx="390985" cy="136590"/>
        </a:xfrm>
      </cdr:grpSpPr>
      <cdr:cxnSp macro="">
        <cdr:nvCxnSpPr>
          <cdr:cNvPr id="4" name="肘形接點 3"/>
          <cdr:cNvCxnSpPr/>
        </cdr:nvCxnSpPr>
        <cdr:spPr>
          <a:xfrm xmlns:a="http://schemas.openxmlformats.org/drawingml/2006/main" flipV="1">
            <a:off x="1011024" y="1662830"/>
            <a:ext cx="69716" cy="14622"/>
          </a:xfrm>
          <a:prstGeom xmlns:a="http://schemas.openxmlformats.org/drawingml/2006/main" prst="bentConnector3">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sp macro="" textlink="">
        <cdr:nvSpPr>
          <cdr:cNvPr id="7" name="文字方塊 6"/>
          <cdr:cNvSpPr txBox="1"/>
        </cdr:nvSpPr>
        <cdr:spPr>
          <a:xfrm xmlns:a="http://schemas.openxmlformats.org/drawingml/2006/main">
            <a:off x="992088" y="1601185"/>
            <a:ext cx="390985" cy="13659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650"/>
              </a:lnSpc>
            </a:pPr>
            <a:r>
              <a:rPr lang="zh-TW" altLang="en-US" sz="600">
                <a:latin typeface="標楷體" panose="03000509000000000000" pitchFamily="65" charset="-120"/>
                <a:ea typeface="標楷體" panose="03000509000000000000" pitchFamily="65" charset="-120"/>
              </a:rPr>
              <a:t>缺口</a:t>
            </a:r>
            <a:endParaRPr lang="en-US" altLang="zh-TW" sz="6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600">
                <a:latin typeface="標楷體" panose="03000509000000000000" pitchFamily="65" charset="-120"/>
                <a:ea typeface="標楷體" panose="03000509000000000000" pitchFamily="65" charset="-120"/>
              </a:rPr>
              <a:t>98.9</a:t>
            </a:r>
            <a:endParaRPr lang="zh-TW" altLang="en-US" sz="6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0.3644</cdr:x>
      <cdr:y>0.43495</cdr:y>
    </cdr:from>
    <cdr:to>
      <cdr:x>0.4744</cdr:x>
      <cdr:y>0.53276</cdr:y>
    </cdr:to>
    <cdr:grpSp>
      <cdr:nvGrpSpPr>
        <cdr:cNvPr id="9" name="群組 8"/>
        <cdr:cNvGrpSpPr/>
      </cdr:nvGrpSpPr>
      <cdr:grpSpPr>
        <a:xfrm xmlns:a="http://schemas.openxmlformats.org/drawingml/2006/main">
          <a:off x="1322665" y="1069689"/>
          <a:ext cx="399259" cy="240556"/>
          <a:chOff x="810354" y="1248815"/>
          <a:chExt cx="280988" cy="240942"/>
        </a:xfrm>
      </cdr:grpSpPr>
      <cdr:cxnSp macro="">
        <cdr:nvCxnSpPr>
          <cdr:cNvPr id="10" name="肘形接點 9"/>
          <cdr:cNvCxnSpPr/>
        </cdr:nvCxnSpPr>
        <cdr:spPr>
          <a:xfrm xmlns:a="http://schemas.openxmlformats.org/drawingml/2006/main" flipV="1">
            <a:off x="815408" y="1382707"/>
            <a:ext cx="53064" cy="35600"/>
          </a:xfrm>
          <a:prstGeom xmlns:a="http://schemas.openxmlformats.org/drawingml/2006/main" prst="bentConnector3">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sp macro="" textlink="">
        <cdr:nvSpPr>
          <cdr:cNvPr id="11" name="文字方塊 3"/>
          <cdr:cNvSpPr txBox="1"/>
        </cdr:nvSpPr>
        <cdr:spPr>
          <a:xfrm xmlns:a="http://schemas.openxmlformats.org/drawingml/2006/main">
            <a:off x="810354" y="1248815"/>
            <a:ext cx="280988" cy="24094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600">
                <a:latin typeface="標楷體" panose="03000509000000000000" pitchFamily="65" charset="-120"/>
                <a:ea typeface="標楷體" panose="03000509000000000000" pitchFamily="65" charset="-120"/>
              </a:rPr>
              <a:t>缺口</a:t>
            </a:r>
            <a:endParaRPr lang="en-US" altLang="zh-TW" sz="6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600">
                <a:latin typeface="標楷體" panose="03000509000000000000" pitchFamily="65" charset="-120"/>
                <a:ea typeface="標楷體" panose="03000509000000000000" pitchFamily="65" charset="-120"/>
              </a:rPr>
              <a:t>187.5</a:t>
            </a:r>
            <a:endParaRPr lang="zh-TW" altLang="en-US" sz="6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0.4939</cdr:x>
      <cdr:y>0.37041</cdr:y>
    </cdr:from>
    <cdr:to>
      <cdr:x>0.60527</cdr:x>
      <cdr:y>0.4738</cdr:y>
    </cdr:to>
    <cdr:grpSp>
      <cdr:nvGrpSpPr>
        <cdr:cNvPr id="12" name="群組 11"/>
        <cdr:cNvGrpSpPr/>
      </cdr:nvGrpSpPr>
      <cdr:grpSpPr>
        <a:xfrm xmlns:a="http://schemas.openxmlformats.org/drawingml/2006/main">
          <a:off x="1792675" y="910971"/>
          <a:ext cx="404261" cy="254273"/>
          <a:chOff x="295701" y="1367146"/>
          <a:chExt cx="235953" cy="254682"/>
        </a:xfrm>
      </cdr:grpSpPr>
      <cdr:cxnSp macro="">
        <cdr:nvCxnSpPr>
          <cdr:cNvPr id="13" name="肘形接點 12"/>
          <cdr:cNvCxnSpPr/>
        </cdr:nvCxnSpPr>
        <cdr:spPr>
          <a:xfrm xmlns:a="http://schemas.openxmlformats.org/drawingml/2006/main" flipV="1">
            <a:off x="295701" y="1505384"/>
            <a:ext cx="44189" cy="40848"/>
          </a:xfrm>
          <a:prstGeom xmlns:a="http://schemas.openxmlformats.org/drawingml/2006/main" prst="bentConnector3">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sp macro="" textlink="">
        <cdr:nvSpPr>
          <cdr:cNvPr id="14" name="文字方塊 3"/>
          <cdr:cNvSpPr txBox="1"/>
        </cdr:nvSpPr>
        <cdr:spPr>
          <a:xfrm xmlns:a="http://schemas.openxmlformats.org/drawingml/2006/main">
            <a:off x="295998" y="1367146"/>
            <a:ext cx="235656" cy="25468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600">
                <a:latin typeface="標楷體" panose="03000509000000000000" pitchFamily="65" charset="-120"/>
                <a:ea typeface="標楷體" panose="03000509000000000000" pitchFamily="65" charset="-120"/>
              </a:rPr>
              <a:t>缺口</a:t>
            </a:r>
            <a:endParaRPr lang="en-US" altLang="zh-TW" sz="6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600">
                <a:latin typeface="標楷體" panose="03000509000000000000" pitchFamily="65" charset="-120"/>
                <a:ea typeface="標楷體" panose="03000509000000000000" pitchFamily="65" charset="-120"/>
              </a:rPr>
              <a:t>682.8</a:t>
            </a:r>
            <a:endParaRPr lang="zh-TW" altLang="en-US" sz="6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0.61915</cdr:x>
      <cdr:y>0.30232</cdr:y>
    </cdr:from>
    <cdr:to>
      <cdr:x>0.7754</cdr:x>
      <cdr:y>0.4057</cdr:y>
    </cdr:to>
    <cdr:grpSp>
      <cdr:nvGrpSpPr>
        <cdr:cNvPr id="15" name="群組 14"/>
        <cdr:cNvGrpSpPr/>
      </cdr:nvGrpSpPr>
      <cdr:grpSpPr>
        <a:xfrm xmlns:a="http://schemas.openxmlformats.org/drawingml/2006/main">
          <a:off x="2247309" y="743519"/>
          <a:ext cx="567141" cy="254248"/>
          <a:chOff x="-983174" y="2051941"/>
          <a:chExt cx="472967" cy="315310"/>
        </a:xfrm>
      </cdr:grpSpPr>
      <cdr:cxnSp macro="">
        <cdr:nvCxnSpPr>
          <cdr:cNvPr id="16" name="肘形接點 15"/>
          <cdr:cNvCxnSpPr/>
        </cdr:nvCxnSpPr>
        <cdr:spPr>
          <a:xfrm xmlns:a="http://schemas.openxmlformats.org/drawingml/2006/main" flipV="1">
            <a:off x="-973040" y="2219680"/>
            <a:ext cx="69998" cy="55815"/>
          </a:xfrm>
          <a:prstGeom xmlns:a="http://schemas.openxmlformats.org/drawingml/2006/main" prst="bentConnector3">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sp macro="" textlink="">
        <cdr:nvSpPr>
          <cdr:cNvPr id="17" name="文字方塊 3"/>
          <cdr:cNvSpPr txBox="1"/>
        </cdr:nvSpPr>
        <cdr:spPr>
          <a:xfrm xmlns:a="http://schemas.openxmlformats.org/drawingml/2006/main">
            <a:off x="-983174" y="2051941"/>
            <a:ext cx="472967" cy="31531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600">
                <a:latin typeface="標楷體" panose="03000509000000000000" pitchFamily="65" charset="-120"/>
                <a:ea typeface="標楷體" panose="03000509000000000000" pitchFamily="65" charset="-120"/>
              </a:rPr>
              <a:t>缺口</a:t>
            </a:r>
            <a:endParaRPr lang="en-US" altLang="zh-TW" sz="6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600">
                <a:latin typeface="標楷體" panose="03000509000000000000" pitchFamily="65" charset="-120"/>
                <a:ea typeface="標楷體" panose="03000509000000000000" pitchFamily="65" charset="-120"/>
              </a:rPr>
              <a:t>1,049.8</a:t>
            </a:r>
            <a:endParaRPr lang="zh-TW" altLang="en-US" sz="6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0.74672</cdr:x>
      <cdr:y>0.23045</cdr:y>
    </cdr:from>
    <cdr:to>
      <cdr:x>0.8714</cdr:x>
      <cdr:y>0.33384</cdr:y>
    </cdr:to>
    <cdr:grpSp>
      <cdr:nvGrpSpPr>
        <cdr:cNvPr id="19" name="群組 18"/>
        <cdr:cNvGrpSpPr/>
      </cdr:nvGrpSpPr>
      <cdr:grpSpPr>
        <a:xfrm xmlns:a="http://schemas.openxmlformats.org/drawingml/2006/main">
          <a:off x="2710334" y="566764"/>
          <a:ext cx="452558" cy="254273"/>
          <a:chOff x="-4529416" y="3173402"/>
          <a:chExt cx="472967" cy="315310"/>
        </a:xfrm>
      </cdr:grpSpPr>
      <cdr:cxnSp macro="">
        <cdr:nvCxnSpPr>
          <cdr:cNvPr id="20" name="肘形接點 19"/>
          <cdr:cNvCxnSpPr/>
        </cdr:nvCxnSpPr>
        <cdr:spPr>
          <a:xfrm xmlns:a="http://schemas.openxmlformats.org/drawingml/2006/main" flipV="1">
            <a:off x="-4515238" y="3339419"/>
            <a:ext cx="82226" cy="51225"/>
          </a:xfrm>
          <a:prstGeom xmlns:a="http://schemas.openxmlformats.org/drawingml/2006/main" prst="bentConnector3">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sp macro="" textlink="">
        <cdr:nvSpPr>
          <cdr:cNvPr id="21" name="文字方塊 3"/>
          <cdr:cNvSpPr txBox="1"/>
        </cdr:nvSpPr>
        <cdr:spPr>
          <a:xfrm xmlns:a="http://schemas.openxmlformats.org/drawingml/2006/main">
            <a:off x="-4529416" y="3173402"/>
            <a:ext cx="472967" cy="31531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600">
                <a:latin typeface="標楷體" panose="03000509000000000000" pitchFamily="65" charset="-120"/>
                <a:ea typeface="標楷體" panose="03000509000000000000" pitchFamily="65" charset="-120"/>
              </a:rPr>
              <a:t>缺口</a:t>
            </a:r>
            <a:endParaRPr lang="en-US" altLang="zh-TW" sz="6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600">
                <a:latin typeface="標楷體" panose="03000509000000000000" pitchFamily="65" charset="-120"/>
                <a:ea typeface="標楷體" panose="03000509000000000000" pitchFamily="65" charset="-120"/>
              </a:rPr>
              <a:t>1,526.3</a:t>
            </a:r>
            <a:endParaRPr lang="zh-TW" altLang="en-US" sz="600">
              <a:latin typeface="標楷體" panose="03000509000000000000" pitchFamily="65" charset="-120"/>
              <a:ea typeface="標楷體" panose="03000509000000000000" pitchFamily="65" charset="-120"/>
            </a:endParaRPr>
          </a:p>
        </cdr:txBody>
      </cdr:sp>
    </cdr:grpSp>
  </cdr:relSizeAnchor>
  <cdr:relSizeAnchor xmlns:cdr="http://schemas.openxmlformats.org/drawingml/2006/chartDrawing">
    <cdr:from>
      <cdr:x>0.87554</cdr:x>
      <cdr:y>0.14104</cdr:y>
    </cdr:from>
    <cdr:to>
      <cdr:x>1</cdr:x>
      <cdr:y>0.24442</cdr:y>
    </cdr:to>
    <cdr:grpSp>
      <cdr:nvGrpSpPr>
        <cdr:cNvPr id="22" name="群組 21"/>
        <cdr:cNvGrpSpPr/>
      </cdr:nvGrpSpPr>
      <cdr:grpSpPr>
        <a:xfrm xmlns:a="http://schemas.openxmlformats.org/drawingml/2006/main">
          <a:off x="3177914" y="346860"/>
          <a:ext cx="451757" cy="254248"/>
          <a:chOff x="-11964213" y="5625112"/>
          <a:chExt cx="425052" cy="315310"/>
        </a:xfrm>
      </cdr:grpSpPr>
      <cdr:cxnSp macro="">
        <cdr:nvCxnSpPr>
          <cdr:cNvPr id="23" name="肘形接點 22"/>
          <cdr:cNvCxnSpPr/>
        </cdr:nvCxnSpPr>
        <cdr:spPr>
          <a:xfrm xmlns:a="http://schemas.openxmlformats.org/drawingml/2006/main" flipV="1">
            <a:off x="-11956556" y="5788952"/>
            <a:ext cx="82409" cy="53407"/>
          </a:xfrm>
          <a:prstGeom xmlns:a="http://schemas.openxmlformats.org/drawingml/2006/main" prst="bentConnector3">
            <a:avLst/>
          </a:prstGeom>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sp macro="" textlink="">
        <cdr:nvSpPr>
          <cdr:cNvPr id="24" name="文字方塊 3"/>
          <cdr:cNvSpPr txBox="1"/>
        </cdr:nvSpPr>
        <cdr:spPr>
          <a:xfrm xmlns:a="http://schemas.openxmlformats.org/drawingml/2006/main">
            <a:off x="-11964213" y="5625112"/>
            <a:ext cx="425052" cy="31531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ts val="650"/>
              </a:lnSpc>
            </a:pPr>
            <a:r>
              <a:rPr lang="zh-TW" altLang="en-US" sz="600">
                <a:latin typeface="標楷體" panose="03000509000000000000" pitchFamily="65" charset="-120"/>
                <a:ea typeface="標楷體" panose="03000509000000000000" pitchFamily="65" charset="-120"/>
              </a:rPr>
              <a:t>缺口</a:t>
            </a:r>
            <a:endParaRPr lang="en-US" altLang="zh-TW" sz="600">
              <a:latin typeface="標楷體" panose="03000509000000000000" pitchFamily="65" charset="-120"/>
              <a:ea typeface="標楷體" panose="03000509000000000000" pitchFamily="65" charset="-120"/>
            </a:endParaRPr>
          </a:p>
          <a:p xmlns:a="http://schemas.openxmlformats.org/drawingml/2006/main">
            <a:pPr>
              <a:lnSpc>
                <a:spcPts val="650"/>
              </a:lnSpc>
            </a:pPr>
            <a:r>
              <a:rPr lang="en-US" altLang="zh-TW" sz="600">
                <a:latin typeface="標楷體" panose="03000509000000000000" pitchFamily="65" charset="-120"/>
                <a:ea typeface="標楷體" panose="03000509000000000000" pitchFamily="65" charset="-120"/>
              </a:rPr>
              <a:t>1,582.3</a:t>
            </a:r>
            <a:endParaRPr lang="zh-TW" altLang="en-US" sz="600">
              <a:latin typeface="標楷體" panose="03000509000000000000" pitchFamily="65" charset="-120"/>
              <a:ea typeface="標楷體" panose="03000509000000000000" pitchFamily="65" charset="-120"/>
            </a:endParaRPr>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251B7F-A872-4688-BE8F-F5C5BEE2E0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5068</TotalTime>
  <Pages>120</Pages>
  <Words>20165</Words>
  <Characters>114944</Characters>
  <Application>Microsoft Office Word</Application>
  <DocSecurity>0</DocSecurity>
  <Lines>957</Lines>
  <Paragraphs>269</Paragraphs>
  <ScaleCrop>false</ScaleCrop>
  <Company>Microsoft</Company>
  <LinksUpToDate>false</LinksUpToDate>
  <CharactersWithSpaces>134840</CharactersWithSpaces>
  <SharedDoc>false</SharedDoc>
  <HLinks>
    <vt:vector size="6" baseType="variant">
      <vt:variant>
        <vt:i4>1769542</vt:i4>
      </vt:variant>
      <vt:variant>
        <vt:i4>0</vt:i4>
      </vt:variant>
      <vt:variant>
        <vt:i4>0</vt:i4>
      </vt:variant>
      <vt:variant>
        <vt:i4>5</vt:i4>
      </vt:variant>
      <vt:variant>
        <vt:lpwstr>http://www.rootlaw.com.tw/LawContent.aspx?LawID=A040040101012000-0951124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貳、經濟部主管</dc:title>
  <dc:creator>Sta</dc:creator>
  <cp:lastModifiedBy>張敏玲</cp:lastModifiedBy>
  <cp:revision>1355</cp:revision>
  <cp:lastPrinted>2024-07-06T05:38:00Z</cp:lastPrinted>
  <dcterms:created xsi:type="dcterms:W3CDTF">2022-07-11T00:36:00Z</dcterms:created>
  <dcterms:modified xsi:type="dcterms:W3CDTF">2024-07-12T06:25:00Z</dcterms:modified>
</cp:coreProperties>
</file>